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1960" w:hanging="1229"/>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16" w:lineRule="exact"/>
        <w:rPr>
          <w:rFonts w:ascii="MS PGothic" w:cs="MS PGothic" w:eastAsia="MS PGothic" w:hAnsi="MS PGothic"/>
          <w:sz w:val="18"/>
          <w:szCs w:val="18"/>
          <w:color w:val="auto"/>
        </w:rPr>
      </w:pPr>
    </w:p>
    <w:p>
      <w:pPr>
        <w:ind w:left="1960" w:right="5120"/>
        <w:spacing w:after="0" w:line="489" w:lineRule="auto"/>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AND EXCHANGE ACT OF 1934 For the fiscal year ended December 31, 2003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960" w:hanging="1192"/>
        <w:spacing w:after="0"/>
        <w:tabs>
          <w:tab w:leader="none" w:pos="1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1"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AND EXCHANGE ACT OF 1934</w:t>
      </w:r>
    </w:p>
    <w:p>
      <w:pPr>
        <w:spacing w:after="0" w:line="213" w:lineRule="exact"/>
        <w:rPr>
          <w:sz w:val="20"/>
          <w:szCs w:val="20"/>
          <w:color w:val="auto"/>
        </w:rPr>
      </w:pPr>
    </w:p>
    <w:p>
      <w:pPr>
        <w:ind w:left="196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ectPr>
          <w:pgSz w:w="11900" w:h="16838" w:orient="portrait"/>
          <w:cols w:equalWidth="0" w:num="1">
            <w:col w:w="11420"/>
          </w:cols>
          <w:pgMar w:left="240" w:top="975" w:right="239" w:bottom="9" w:gutter="0" w:footer="0" w:header="0"/>
        </w:sectPr>
      </w:pPr>
    </w:p>
    <w:p>
      <w:pPr>
        <w:spacing w:after="0" w:line="256"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(State or other jurisdiction of</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incorporation or organization)</w:t>
      </w:r>
    </w:p>
    <w:p>
      <w:pPr>
        <w:spacing w:after="0" w:line="213"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63" w:lineRule="exact"/>
        <w:rPr>
          <w:sz w:val="20"/>
          <w:szCs w:val="20"/>
          <w:color w:val="auto"/>
        </w:rPr>
      </w:pPr>
    </w:p>
    <w:p>
      <w:pPr>
        <w:jc w:val="center"/>
        <w:ind w:left="3200"/>
        <w:spacing w:after="0"/>
        <w:rPr>
          <w:sz w:val="20"/>
          <w:szCs w:val="20"/>
          <w:color w:val="auto"/>
        </w:rPr>
      </w:pPr>
      <w:r>
        <w:rPr>
          <w:rFonts w:ascii="Arial" w:cs="Arial" w:eastAsia="Arial" w:hAnsi="Arial"/>
          <w:sz w:val="15"/>
          <w:szCs w:val="15"/>
          <w:b w:val="1"/>
          <w:bCs w:val="1"/>
          <w:color w:val="auto"/>
        </w:rPr>
        <w:t>Registrant’s telephone number, including area code: (713) 512-6200</w:t>
      </w:r>
    </w:p>
    <w:p>
      <w:pPr>
        <w:spacing w:after="0" w:line="260"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73-1309529</w:t>
      </w:r>
    </w:p>
    <w:p>
      <w:pPr>
        <w:spacing w:after="0" w:line="21" w:lineRule="exact"/>
        <w:rPr>
          <w:sz w:val="20"/>
          <w:szCs w:val="20"/>
          <w:color w:val="auto"/>
        </w:rPr>
      </w:pPr>
    </w:p>
    <w:p>
      <w:pPr>
        <w:jc w:val="center"/>
        <w:ind w:right="164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64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pacing w:after="0" w:line="279"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77002</w:t>
      </w:r>
    </w:p>
    <w:p>
      <w:pPr>
        <w:spacing w:after="0" w:line="21" w:lineRule="exact"/>
        <w:rPr>
          <w:sz w:val="20"/>
          <w:szCs w:val="20"/>
          <w:color w:val="auto"/>
        </w:rPr>
      </w:pPr>
    </w:p>
    <w:p>
      <w:pPr>
        <w:jc w:val="center"/>
        <w:ind w:right="1640"/>
        <w:spacing w:after="0"/>
        <w:rPr>
          <w:sz w:val="20"/>
          <w:szCs w:val="20"/>
          <w:color w:val="auto"/>
        </w:rPr>
      </w:pPr>
      <w:r>
        <w:rPr>
          <w:rFonts w:ascii="Arial" w:cs="Arial" w:eastAsia="Arial" w:hAnsi="Arial"/>
          <w:sz w:val="18"/>
          <w:szCs w:val="18"/>
          <w:i w:val="1"/>
          <w:iCs w:val="1"/>
          <w:color w:val="auto"/>
        </w:rPr>
        <w:t>(Zip code)</w:t>
      </w:r>
    </w:p>
    <w:p>
      <w:pPr>
        <w:spacing w:after="0" w:line="1028" w:lineRule="exact"/>
        <w:rPr>
          <w:sz w:val="20"/>
          <w:szCs w:val="20"/>
          <w:color w:val="auto"/>
        </w:rPr>
      </w:pPr>
    </w:p>
    <w:p>
      <w:pPr>
        <w:sectPr>
          <w:pgSz w:w="11900" w:h="16838" w:orient="portrait"/>
          <w:cols w:equalWidth="0" w:num="2">
            <w:col w:w="8240" w:space="240"/>
            <w:col w:w="2940"/>
          </w:cols>
          <w:pgMar w:left="240" w:top="975" w:right="239" w:bottom="9" w:gutter="0" w:footer="0" w:header="0"/>
          <w:type w:val="continuous"/>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360" w:type="dxa"/>
            <w:vAlign w:val="bottom"/>
          </w:tcPr>
          <w:p>
            <w:pPr>
              <w:spacing w:after="0"/>
              <w:rPr>
                <w:sz w:val="15"/>
                <w:szCs w:val="15"/>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exchange on which registered</w:t>
            </w:r>
          </w:p>
        </w:tc>
      </w:tr>
      <w:tr>
        <w:trPr>
          <w:trHeight w:val="95"/>
        </w:trPr>
        <w:tc>
          <w:tcPr>
            <w:tcW w:w="5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Borders>
              <w:bottom w:val="single" w:sz="8" w:color="808080"/>
            </w:tcBorders>
          </w:tcPr>
          <w:p>
            <w:pPr>
              <w:spacing w:after="0"/>
              <w:rPr>
                <w:sz w:val="8"/>
                <w:szCs w:val="8"/>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36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 Convertible Subordinated Notes due 2005</w:t>
      </w:r>
    </w:p>
    <w:p>
      <w:pPr>
        <w:spacing w:after="0" w:line="258" w:lineRule="exact"/>
        <w:rPr>
          <w:sz w:val="20"/>
          <w:szCs w:val="20"/>
          <w:color w:val="auto"/>
        </w:rPr>
      </w:pPr>
    </w:p>
    <w:p>
      <w:pPr>
        <w:ind w:right="4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o</w:t>
      </w:r>
    </w:p>
    <w:p>
      <w:pPr>
        <w:spacing w:after="0" w:line="189" w:lineRule="exact"/>
        <w:rPr>
          <w:sz w:val="20"/>
          <w:szCs w:val="20"/>
          <w:color w:val="auto"/>
        </w:rPr>
      </w:pPr>
    </w:p>
    <w:p>
      <w:pPr>
        <w:ind w:left="340"/>
        <w:spacing w:after="0" w:line="207" w:lineRule="exact"/>
        <w:tabs>
          <w:tab w:leader="none" w:pos="10020" w:val="left"/>
          <w:tab w:leader="none" w:pos="1092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Securities Exchange Act of 1934).</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2003, was approximately $14.1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18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February 12, 2004 was 576,872,627 (excluding treasury shares of 53,409,834).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43" w:lineRule="exact"/>
        <w:rPr>
          <w:sz w:val="20"/>
          <w:szCs w:val="20"/>
          <w:color w:val="auto"/>
        </w:rPr>
      </w:pPr>
    </w:p>
    <w:p>
      <w:pPr>
        <w:ind w:left="2960"/>
        <w:spacing w:after="0"/>
        <w:tabs>
          <w:tab w:leader="none" w:pos="8580" w:val="left"/>
        </w:tabs>
        <w:rPr>
          <w:sz w:val="20"/>
          <w:szCs w:val="20"/>
          <w:color w:val="auto"/>
        </w:rPr>
      </w:pPr>
      <w:r>
        <w:rPr>
          <w:rFonts w:ascii="Arial" w:cs="Arial" w:eastAsia="Arial" w:hAnsi="Arial"/>
          <w:sz w:val="14"/>
          <w:szCs w:val="14"/>
          <w:b w:val="1"/>
          <w:bCs w:val="1"/>
          <w:color w:val="auto"/>
        </w:rPr>
        <w:t>Document</w:t>
      </w:r>
      <w:r>
        <w:rPr>
          <w:sz w:val="20"/>
          <w:szCs w:val="20"/>
          <w:color w:val="auto"/>
        </w:rPr>
        <w:tab/>
      </w:r>
      <w:r>
        <w:rPr>
          <w:rFonts w:ascii="Arial" w:cs="Arial" w:eastAsia="Arial" w:hAnsi="Arial"/>
          <w:sz w:val="14"/>
          <w:szCs w:val="14"/>
          <w:b w:val="1"/>
          <w:bCs w:val="1"/>
          <w:color w:val="auto"/>
        </w:rPr>
        <w:t>Incorporated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75" w:right="239" w:bottom="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780" w:type="dxa"/>
            <w:vAlign w:val="bottom"/>
          </w:tcPr>
          <w:p>
            <w:pPr>
              <w:ind w:left="2420"/>
              <w:spacing w:after="0"/>
              <w:rPr>
                <w:sz w:val="20"/>
                <w:szCs w:val="20"/>
                <w:color w:val="auto"/>
              </w:rPr>
            </w:pPr>
            <w:r>
              <w:rPr>
                <w:rFonts w:ascii="Arial" w:cs="Arial" w:eastAsia="Arial" w:hAnsi="Arial"/>
                <w:sz w:val="18"/>
                <w:szCs w:val="18"/>
                <w:color w:val="auto"/>
              </w:rPr>
              <w:t>Proxy Statement for the</w:t>
            </w:r>
          </w:p>
        </w:tc>
        <w:tc>
          <w:tcPr>
            <w:tcW w:w="4660" w:type="dxa"/>
            <w:vAlign w:val="bottom"/>
            <w:gridSpan w:val="2"/>
          </w:tcPr>
          <w:p>
            <w:pPr>
              <w:ind w:left="2100"/>
              <w:spacing w:after="0"/>
              <w:rPr>
                <w:sz w:val="20"/>
                <w:szCs w:val="20"/>
                <w:color w:val="auto"/>
              </w:rPr>
            </w:pPr>
            <w:r>
              <w:rPr>
                <w:rFonts w:ascii="Arial" w:cs="Arial" w:eastAsia="Arial" w:hAnsi="Arial"/>
                <w:sz w:val="18"/>
                <w:szCs w:val="18"/>
                <w:color w:val="auto"/>
              </w:rPr>
              <w:t>Part III</w:t>
            </w:r>
          </w:p>
        </w:tc>
      </w:tr>
      <w:tr>
        <w:trPr>
          <w:trHeight w:val="222"/>
        </w:trPr>
        <w:tc>
          <w:tcPr>
            <w:tcW w:w="6780" w:type="dxa"/>
            <w:vAlign w:val="bottom"/>
          </w:tcPr>
          <w:p>
            <w:pPr>
              <w:ind w:left="1980"/>
              <w:spacing w:after="0"/>
              <w:rPr>
                <w:sz w:val="20"/>
                <w:szCs w:val="20"/>
                <w:color w:val="auto"/>
              </w:rPr>
            </w:pPr>
            <w:r>
              <w:rPr>
                <w:rFonts w:ascii="Arial" w:cs="Arial" w:eastAsia="Arial" w:hAnsi="Arial"/>
                <w:sz w:val="18"/>
                <w:szCs w:val="18"/>
                <w:color w:val="auto"/>
              </w:rPr>
              <w:t>2004 Annual Meeting of Stockholders</w:t>
            </w:r>
          </w:p>
        </w:tc>
        <w:tc>
          <w:tcPr>
            <w:tcW w:w="4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6780" w:type="dxa"/>
            <w:vAlign w:val="bottom"/>
            <w:tcBorders>
              <w:bottom w:val="single" w:sz="8" w:color="808080"/>
            </w:tcBorders>
          </w:tcPr>
          <w:p>
            <w:pPr>
              <w:spacing w:after="0"/>
              <w:rPr>
                <w:sz w:val="18"/>
                <w:szCs w:val="18"/>
                <w:color w:val="auto"/>
              </w:rPr>
            </w:pPr>
          </w:p>
        </w:tc>
        <w:tc>
          <w:tcPr>
            <w:tcW w:w="46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102"/>
        </w:trPr>
        <w:tc>
          <w:tcPr>
            <w:tcW w:w="6780" w:type="dxa"/>
            <w:vAlign w:val="bottom"/>
            <w:tcBorders>
              <w:bottom w:val="single" w:sz="8" w:color="808080"/>
            </w:tcBorders>
          </w:tcPr>
          <w:p>
            <w:pPr>
              <w:spacing w:after="0"/>
              <w:rPr>
                <w:sz w:val="8"/>
                <w:szCs w:val="8"/>
                <w:color w:val="auto"/>
              </w:rPr>
            </w:pPr>
          </w:p>
        </w:tc>
        <w:tc>
          <w:tcPr>
            <w:tcW w:w="4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20"/>
        </w:trPr>
        <w:tc>
          <w:tcPr>
            <w:tcW w:w="6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20" w:type="dxa"/>
            <w:vAlign w:val="bottom"/>
          </w:tcPr>
          <w:p>
            <w:pPr>
              <w:jc w:val="center"/>
              <w:ind w:right="292"/>
              <w:spacing w:after="0"/>
              <w:rPr>
                <w:sz w:val="20"/>
                <w:szCs w:val="20"/>
                <w:color w:val="auto"/>
              </w:rPr>
            </w:pPr>
            <w:r>
              <w:rPr>
                <w:rFonts w:ascii="Arial" w:cs="Arial" w:eastAsia="Arial" w:hAnsi="Arial"/>
                <w:sz w:val="18"/>
                <w:szCs w:val="18"/>
                <w:b w:val="1"/>
                <w:bCs w:val="1"/>
                <w:color w:val="auto"/>
                <w:w w:val="96"/>
              </w:rPr>
              <w:t>TABLE OF CONTENTS</w:t>
            </w:r>
          </w:p>
        </w:tc>
        <w:tc>
          <w:tcPr>
            <w:tcW w:w="4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596"/>
        </w:trPr>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1720" w:type="dxa"/>
            <w:vAlign w:val="bottom"/>
          </w:tcPr>
          <w:p>
            <w:pPr>
              <w:spacing w:after="0"/>
              <w:rPr>
                <w:sz w:val="24"/>
                <w:szCs w:val="24"/>
                <w:color w:val="auto"/>
              </w:rPr>
            </w:pPr>
          </w:p>
        </w:tc>
      </w:tr>
      <w:tr>
        <w:trPr>
          <w:trHeight w:val="95"/>
        </w:trPr>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r>
      <w:tr>
        <w:trPr>
          <w:trHeight w:val="102"/>
        </w:trPr>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620" w:type="dxa"/>
            <w:vAlign w:val="bottom"/>
            <w:shd w:val="clear" w:color="auto" w:fill="EEEEEE"/>
          </w:tcPr>
          <w:p>
            <w:pPr>
              <w:jc w:val="center"/>
              <w:ind w:right="292"/>
              <w:spacing w:after="0"/>
              <w:rPr>
                <w:sz w:val="20"/>
                <w:szCs w:val="20"/>
                <w:color w:val="auto"/>
              </w:rPr>
            </w:pPr>
            <w:r>
              <w:rPr>
                <w:rFonts w:ascii="Arial" w:cs="Arial" w:eastAsia="Arial" w:hAnsi="Arial"/>
                <w:sz w:val="18"/>
                <w:szCs w:val="18"/>
                <w:b w:val="1"/>
                <w:bCs w:val="1"/>
                <w:color w:val="auto"/>
                <w:w w:val="94"/>
              </w:rPr>
              <w:t>PART I</w:t>
            </w:r>
          </w:p>
        </w:tc>
        <w:tc>
          <w:tcPr>
            <w:tcW w:w="4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6620" w:type="dxa"/>
            <w:vAlign w:val="bottom"/>
          </w:tcPr>
          <w:p>
            <w:pPr>
              <w:ind w:left="24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Properties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62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Submission of Matters to a Vote of Security Holders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20" w:type="dxa"/>
            <w:vAlign w:val="bottom"/>
          </w:tcPr>
          <w:p>
            <w:pPr>
              <w:jc w:val="center"/>
              <w:ind w:right="292"/>
              <w:spacing w:after="0"/>
              <w:rPr>
                <w:sz w:val="20"/>
                <w:szCs w:val="20"/>
                <w:color w:val="auto"/>
              </w:rPr>
            </w:pPr>
            <w:r>
              <w:rPr>
                <w:rFonts w:ascii="Arial" w:cs="Arial" w:eastAsia="Arial" w:hAnsi="Arial"/>
                <w:sz w:val="18"/>
                <w:szCs w:val="18"/>
                <w:b w:val="1"/>
                <w:bCs w:val="1"/>
                <w:color w:val="auto"/>
                <w:w w:val="99"/>
              </w:rPr>
              <w:t>PART II</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Market for Registrant’s Common Equity and Related Stockholder Matters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620" w:type="dxa"/>
            <w:vAlign w:val="bottom"/>
          </w:tcPr>
          <w:p>
            <w:pPr>
              <w:ind w:left="240"/>
              <w:spacing w:after="0"/>
              <w:rPr>
                <w:sz w:val="20"/>
                <w:szCs w:val="20"/>
                <w:color w:val="auto"/>
              </w:rPr>
            </w:pPr>
            <w:r>
              <w:rPr>
                <w:rFonts w:ascii="Arial" w:cs="Arial" w:eastAsia="Arial" w:hAnsi="Arial"/>
                <w:sz w:val="18"/>
                <w:szCs w:val="18"/>
                <w:color w:val="auto"/>
              </w:rPr>
              <w:t>Selected Financial Data</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7.</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4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Operations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662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 About Market Risk</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8.</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Financial Statements and Supplementary Data</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6620" w:type="dxa"/>
            <w:vAlign w:val="bottom"/>
          </w:tcPr>
          <w:p>
            <w:pPr>
              <w:ind w:left="240"/>
              <w:spacing w:after="0"/>
              <w:rPr>
                <w:sz w:val="20"/>
                <w:szCs w:val="20"/>
                <w:color w:val="auto"/>
              </w:rPr>
            </w:pPr>
            <w:r>
              <w:rPr>
                <w:rFonts w:ascii="Arial" w:cs="Arial" w:eastAsia="Arial" w:hAnsi="Arial"/>
                <w:sz w:val="18"/>
                <w:szCs w:val="18"/>
                <w:color w:val="auto"/>
              </w:rPr>
              <w:t>Changes in and Disagreements with Accountants on Accounting and Financial</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2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9"/>
                <w:szCs w:val="19"/>
                <w:color w:val="auto"/>
              </w:rPr>
            </w:pPr>
          </w:p>
        </w:tc>
      </w:tr>
      <w:tr>
        <w:trPr>
          <w:trHeight w:val="218"/>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9A.</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Controls and Procedures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20" w:type="dxa"/>
            <w:vAlign w:val="bottom"/>
          </w:tcPr>
          <w:p>
            <w:pPr>
              <w:jc w:val="center"/>
              <w:ind w:right="312"/>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10.</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Directors and Executive Officers of the Registrant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11.</w:t>
            </w:r>
          </w:p>
        </w:tc>
        <w:tc>
          <w:tcPr>
            <w:tcW w:w="6620" w:type="dxa"/>
            <w:vAlign w:val="bottom"/>
          </w:tcPr>
          <w:p>
            <w:pPr>
              <w:ind w:left="240"/>
              <w:spacing w:after="0"/>
              <w:rPr>
                <w:sz w:val="20"/>
                <w:szCs w:val="20"/>
                <w:color w:val="auto"/>
              </w:rPr>
            </w:pPr>
            <w:r>
              <w:rPr>
                <w:rFonts w:ascii="Arial" w:cs="Arial" w:eastAsia="Arial" w:hAnsi="Arial"/>
                <w:sz w:val="18"/>
                <w:szCs w:val="18"/>
                <w:color w:val="auto"/>
              </w:rPr>
              <w:t>Executive Compensation</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12.</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Security Ownership of Certain Beneficial Owners and Management and Related</w:t>
            </w:r>
          </w:p>
        </w:tc>
        <w:tc>
          <w:tcPr>
            <w:tcW w:w="4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Stockholder Matters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13.</w:t>
            </w:r>
          </w:p>
        </w:tc>
        <w:tc>
          <w:tcPr>
            <w:tcW w:w="6620" w:type="dxa"/>
            <w:vAlign w:val="bottom"/>
          </w:tcPr>
          <w:p>
            <w:pPr>
              <w:ind w:left="240"/>
              <w:spacing w:after="0"/>
              <w:rPr>
                <w:sz w:val="20"/>
                <w:szCs w:val="20"/>
                <w:color w:val="auto"/>
              </w:rPr>
            </w:pPr>
            <w:r>
              <w:rPr>
                <w:rFonts w:ascii="Arial" w:cs="Arial" w:eastAsia="Arial" w:hAnsi="Arial"/>
                <w:sz w:val="18"/>
                <w:szCs w:val="18"/>
                <w:color w:val="auto"/>
              </w:rPr>
              <w:t>Certain Relationships and Related Transactions</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14.</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Principal Accounting Fees and Services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20" w:type="dxa"/>
            <w:vAlign w:val="bottom"/>
          </w:tcPr>
          <w:p>
            <w:pPr>
              <w:jc w:val="center"/>
              <w:ind w:right="312"/>
              <w:spacing w:after="0"/>
              <w:rPr>
                <w:sz w:val="20"/>
                <w:szCs w:val="20"/>
                <w:color w:val="auto"/>
              </w:rPr>
            </w:pPr>
            <w:r>
              <w:rPr>
                <w:rFonts w:ascii="Arial" w:cs="Arial" w:eastAsia="Arial" w:hAnsi="Arial"/>
                <w:sz w:val="18"/>
                <w:szCs w:val="18"/>
                <w:b w:val="1"/>
                <w:bCs w:val="1"/>
                <w:color w:val="auto"/>
                <w:w w:val="98"/>
              </w:rPr>
              <w:t>PART IV</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15.</w:t>
            </w:r>
          </w:p>
        </w:tc>
        <w:tc>
          <w:tcPr>
            <w:tcW w:w="66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Financial Statement Schedules, Exhibits, and Reports on Form 8-K</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1720" w:type="dxa"/>
            <w:vAlign w:val="bottom"/>
          </w:tcPr>
          <w:p>
            <w:pPr>
              <w:spacing w:after="0"/>
              <w:rPr>
                <w:sz w:val="18"/>
                <w:szCs w:val="18"/>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right="180" w:firstLine="324"/>
        <w:spacing w:after="0" w:line="298" w:lineRule="auto"/>
        <w:rPr>
          <w:sz w:val="20"/>
          <w:szCs w:val="20"/>
          <w:color w:val="auto"/>
        </w:rPr>
      </w:pPr>
      <w:r>
        <w:rPr>
          <w:rFonts w:ascii="Arial" w:cs="Arial" w:eastAsia="Arial" w:hAnsi="Arial"/>
          <w:sz w:val="16"/>
          <w:szCs w:val="16"/>
          <w:color w:val="auto"/>
        </w:rPr>
        <w:t xml:space="preserve">The financial statements in this report represent the consolidation of Waste Management, Inc., a Delaware corporation, its majority-owned subsidiaries and entities required to be consolidated pursuant to the Financial Accounting Standards Board’s (“FASB”) Interpretation No. 46, </w:t>
      </w:r>
      <w:r>
        <w:rPr>
          <w:rFonts w:ascii="Arial" w:cs="Arial" w:eastAsia="Arial" w:hAnsi="Arial"/>
          <w:sz w:val="16"/>
          <w:szCs w:val="16"/>
          <w:i w:val="1"/>
          <w:iCs w:val="1"/>
          <w:color w:val="auto"/>
        </w:rPr>
        <w:t>Consolidation of Variable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Entities </w:t>
      </w:r>
      <w:r>
        <w:rPr>
          <w:rFonts w:ascii="Arial" w:cs="Arial" w:eastAsia="Arial" w:hAnsi="Arial"/>
          <w:sz w:val="16"/>
          <w:szCs w:val="16"/>
          <w:color w:val="auto"/>
        </w:rPr>
        <w:t>(“FIN 46”). Waste Management, Inc. is a holding company that conducts all of its operations through its subsidiaries. The terms “the Company,” “we,”</w:t>
      </w:r>
      <w:r>
        <w:rPr>
          <w:rFonts w:ascii="Arial" w:cs="Arial" w:eastAsia="Arial" w:hAnsi="Arial"/>
          <w:sz w:val="16"/>
          <w:szCs w:val="16"/>
          <w:i w:val="1"/>
          <w:iCs w:val="1"/>
          <w:color w:val="auto"/>
        </w:rPr>
        <w:t xml:space="preserve"> </w:t>
      </w:r>
      <w:r>
        <w:rPr>
          <w:rFonts w:ascii="Arial" w:cs="Arial" w:eastAsia="Arial" w:hAnsi="Arial"/>
          <w:sz w:val="16"/>
          <w:szCs w:val="16"/>
          <w:color w:val="auto"/>
        </w:rPr>
        <w:t>“us” or “our” refer to Waste Management, Inc. and its consolidated subsidiaries.</w:t>
      </w:r>
    </w:p>
    <w:p>
      <w:pPr>
        <w:spacing w:after="0" w:line="194"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 During 2003, none of our customers accounted for more than 1% of our operating revenue. We employed approximately 51,700 people as of December 31, 2003.</w:t>
      </w:r>
    </w:p>
    <w:p>
      <w:pPr>
        <w:spacing w:after="0" w:line="19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parent company was incorporated in Oklahoma in 1987 under the name “USA Waste Services, Inc.” and was reincorporated as a Delaware company in 1995. In a 1998 merger, Waste Management, Inc. became a 100% owned subsidiary and changed its name to Waste Management Holdings, Inc. At the same time, our parent company changed its name to Waste Management, Inc. 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goals are operational excellence and financial strength, which we seek by concentrating on (i) providing excellent customer service, (ii) lowering costs,</w:t>
      </w:r>
    </w:p>
    <w:p>
      <w:pPr>
        <w:spacing w:after="0" w:line="38"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increasing cash flow and (iv) maintaining our credit ratings at investment grade. We focus and continue to make progress on the following key initiatives:</w:t>
      </w:r>
    </w:p>
    <w:p>
      <w:pPr>
        <w:spacing w:after="0" w:line="241" w:lineRule="exact"/>
        <w:rPr>
          <w:rFonts w:ascii="Arial" w:cs="Arial" w:eastAsia="Arial" w:hAnsi="Arial"/>
          <w:sz w:val="16"/>
          <w:szCs w:val="16"/>
          <w:color w:val="auto"/>
        </w:rPr>
      </w:pPr>
    </w:p>
    <w:p>
      <w:pPr>
        <w:ind w:left="460" w:right="180" w:hanging="101"/>
        <w:spacing w:after="0" w:line="332" w:lineRule="auto"/>
        <w:tabs>
          <w:tab w:leader="none" w:pos="46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Asset Utilization </w:t>
      </w:r>
      <w:r>
        <w:rPr>
          <w:rFonts w:ascii="Arial" w:cs="Arial" w:eastAsia="Arial" w:hAnsi="Arial"/>
          <w:sz w:val="16"/>
          <w:szCs w:val="16"/>
          <w:color w:val="auto"/>
        </w:rPr>
        <w:t>— Implementing and updating integrated local business strategies for our operations, including collection, disposal (including waste-to-energy plants), and transfer, to achieve benefits of integrated operations and to improve our overall utilization of our asset base;</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Service Excellence </w:t>
      </w:r>
      <w:r>
        <w:rPr>
          <w:rFonts w:ascii="Arial" w:cs="Arial" w:eastAsia="Arial" w:hAnsi="Arial"/>
          <w:sz w:val="18"/>
          <w:szCs w:val="18"/>
          <w:color w:val="auto"/>
        </w:rPr>
        <w:t>— Designing and implementing new ways to better meet our customers’ requirements;</w:t>
      </w:r>
    </w:p>
    <w:p>
      <w:pPr>
        <w:spacing w:after="0" w:line="279" w:lineRule="exact"/>
        <w:rPr>
          <w:rFonts w:ascii="Arial" w:cs="Arial" w:eastAsia="Arial" w:hAnsi="Arial"/>
          <w:sz w:val="18"/>
          <w:szCs w:val="18"/>
          <w:color w:val="auto"/>
        </w:rPr>
      </w:pPr>
    </w:p>
    <w:p>
      <w:pPr>
        <w:ind w:left="460" w:right="340" w:hanging="101"/>
        <w:spacing w:after="0" w:line="268"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Economies of Scale and Cost Efficiencies </w:t>
      </w:r>
      <w:r>
        <w:rPr>
          <w:rFonts w:ascii="Arial" w:cs="Arial" w:eastAsia="Arial" w:hAnsi="Arial"/>
          <w:sz w:val="18"/>
          <w:szCs w:val="18"/>
          <w:color w:val="auto"/>
        </w:rPr>
        <w:t>— Continuing to implement a procurement and sourcing process that leverages our size and total purchasing</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realize savings through consolidation and reduction of the number of suppliers;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Price/ Revenue Management </w:t>
      </w:r>
      <w:r>
        <w:rPr>
          <w:rFonts w:ascii="Arial" w:cs="Arial" w:eastAsia="Arial" w:hAnsi="Arial"/>
          <w:sz w:val="16"/>
          <w:szCs w:val="16"/>
          <w:color w:val="auto"/>
        </w:rPr>
        <w:t>— Improving our pricing analysis capabilities, and developing and implementing new revenue management systems;</w:t>
      </w:r>
    </w:p>
    <w:p>
      <w:pPr>
        <w:spacing w:after="0" w:line="302" w:lineRule="exact"/>
        <w:rPr>
          <w:rFonts w:ascii="Arial" w:cs="Arial" w:eastAsia="Arial" w:hAnsi="Arial"/>
          <w:sz w:val="16"/>
          <w:szCs w:val="16"/>
          <w:color w:val="auto"/>
        </w:rPr>
      </w:pPr>
    </w:p>
    <w:p>
      <w:pPr>
        <w:ind w:left="460" w:right="280" w:hanging="101"/>
        <w:spacing w:after="0" w:line="268"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Sales Force Effectiveness </w:t>
      </w:r>
      <w:r>
        <w:rPr>
          <w:rFonts w:ascii="Arial" w:cs="Arial" w:eastAsia="Arial" w:hAnsi="Arial"/>
          <w:sz w:val="18"/>
          <w:szCs w:val="18"/>
          <w:color w:val="auto"/>
        </w:rPr>
        <w:t>— Providing tools, leadership and incentives throughout our organization designed to enable and encourage our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its effectiveness and increase revenue; and</w:t>
      </w:r>
    </w:p>
    <w:p>
      <w:pPr>
        <w:spacing w:after="0" w:line="212" w:lineRule="exact"/>
        <w:rPr>
          <w:rFonts w:ascii="Arial" w:cs="Arial" w:eastAsia="Arial" w:hAnsi="Arial"/>
          <w:sz w:val="18"/>
          <w:szCs w:val="18"/>
          <w:color w:val="auto"/>
        </w:rPr>
      </w:pPr>
    </w:p>
    <w:p>
      <w:pPr>
        <w:ind w:left="460" w:right="140" w:hanging="101"/>
        <w:spacing w:after="0" w:line="332" w:lineRule="auto"/>
        <w:tabs>
          <w:tab w:leader="none" w:pos="46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Value — </w:t>
      </w:r>
      <w:r>
        <w:rPr>
          <w:rFonts w:ascii="Arial" w:cs="Arial" w:eastAsia="Arial" w:hAnsi="Arial"/>
          <w:sz w:val="16"/>
          <w:szCs w:val="16"/>
          <w:color w:val="auto"/>
        </w:rPr>
        <w:t>Enhancing shareholder value through share repurchases, increased cash dividends, emphasizing earnings and cash flow growth,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maintaining a strong, liquid and flexible financial condition. We strive to maintain close relationships with shareholders, banks, bondholders,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t>credit rating agencies, surety companies and regulators to ensure adequate access to a variety of capital markets and funding sources.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manage and evaluate our operations through seven operating Groups, five of which are organized by geographic area and the other two of which are organized by function. The geographic Groups include our Eastern, Midwest, Southern, Western and Canadian Groups, and our two functional Groups are the Recycling and Wheelabrator Groups. In 2002, we reorganized our operations to form market areas within the geographic Groups that are responsible for the sales, marketing and delivery of our services. We believe that this structure, which resulted in the elimination of one layer of field operations and two layers of administrative and support staff, better aligns our collection, transport, recycling and disposal resources. Additionally, we believe that the geographic structure results in a better use of our resources and more efficient service to our customers. We manage and evaluate our business through the seven Groups, which represent our reportable segments.</w:t>
      </w:r>
    </w:p>
    <w:p>
      <w:pPr>
        <w:spacing w:after="0" w:line="22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These reportable segments, when combined with certain other operations not managed through any of the seven Groups, comprise our North American Solid Waste, or NASW, operations. NASW, our core business, provides integrated waste management services consisting of collection, disposal (solid and hazardous waste landfills), transfer, waste-to-energy facilities and independent power production plants that are managed by Wheelabrator, and recycling and other miscellaneous services to commercial, industrial, municipal and residential customers throughout the United States, Puerto Rico and Canada. The operations not managed through our seven Groups, which include methane gas recovery, rentals, in-plant services and other miscellaneous services, are presented in this report as “Other NASW.”</w:t>
      </w:r>
    </w:p>
    <w:p>
      <w:pPr>
        <w:spacing w:after="0" w:line="225"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Until December 31, 2001 our operations included waste management operations in Mexico and certain countries outside of North America and until March 31, 2002 included non-solid waste operations. These divested operations are presented in this report as “Other.” Although we no longer hold any revenue generating assets related to the Other operations, we continue to incur minimal administrative expenses in connection with these divested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 w:name="page7"/>
    <w:bookmarkEnd w:id="6"/>
    <w:p>
      <w:pPr>
        <w:ind w:firstLine="324"/>
        <w:spacing w:after="0" w:line="298" w:lineRule="auto"/>
        <w:rPr>
          <w:sz w:val="20"/>
          <w:szCs w:val="20"/>
          <w:color w:val="auto"/>
        </w:rPr>
      </w:pPr>
      <w:r>
        <w:rPr>
          <w:rFonts w:ascii="Arial" w:cs="Arial" w:eastAsia="Arial" w:hAnsi="Arial"/>
          <w:sz w:val="16"/>
          <w:szCs w:val="16"/>
          <w:color w:val="auto"/>
        </w:rPr>
        <w:t xml:space="preserve">The table below shows the total revenues (in millions) contributed annually by each of our reportable segments in the three-year period ended December 31, 2003. The 2002 and 2001 information has been restated to conform to the current year presentation, which includes our newly formed Recycling Group. More information about our results of operations by reportable segment is included in Note 20 to the consolidated financial statements and in the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included in this report.</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Eastern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2,213</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Southern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2,468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NASW</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(2,157)</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1"/>
              </w:rPr>
              <w:t>(1,999)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(1,994)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Total NASW</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11,134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11,162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Net 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11,142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11,322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NASW</w:t>
      </w:r>
    </w:p>
    <w:p>
      <w:pPr>
        <w:spacing w:after="0" w:line="25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services provided by our NASW segments include collection, landfill (solid and hazardous waste landfills), transfer, Wheelabrator (waste-to-energy facilities and independent power production plants), and recycling and other services, as described below. The following table shows revenues (in millions) contributed by these services for each of the three years indicated.</w:t>
      </w: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7,791</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7,598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7,584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Intercompany</w:t>
            </w:r>
          </w:p>
        </w:tc>
        <w:tc>
          <w:tcPr>
            <w:tcW w:w="3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(1,999)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NASW</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11,134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11,162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i w:val="1"/>
          <w:iCs w:val="1"/>
          <w:color w:val="auto"/>
        </w:rPr>
        <w:t xml:space="preserve">Collection. </w:t>
      </w:r>
      <w:r>
        <w:rPr>
          <w:rFonts w:ascii="Arial" w:cs="Arial" w:eastAsia="Arial" w:hAnsi="Arial"/>
          <w:sz w:val="16"/>
          <w:szCs w:val="16"/>
          <w:color w:val="auto"/>
        </w:rPr>
        <w:t>Our commitment to customers begins with a vast waste collection network. Collection involves picking up and transporting waste from where it</w:t>
      </w:r>
      <w:r>
        <w:rPr>
          <w:rFonts w:ascii="Arial" w:cs="Arial" w:eastAsia="Arial" w:hAnsi="Arial"/>
          <w:sz w:val="16"/>
          <w:szCs w:val="16"/>
          <w:i w:val="1"/>
          <w:iCs w:val="1"/>
          <w:color w:val="auto"/>
        </w:rPr>
        <w:t xml:space="preserve"> </w:t>
      </w:r>
      <w:r>
        <w:rPr>
          <w:rFonts w:ascii="Arial" w:cs="Arial" w:eastAsia="Arial" w:hAnsi="Arial"/>
          <w:sz w:val="16"/>
          <w:szCs w:val="16"/>
          <w:color w:val="auto"/>
        </w:rPr>
        <w:t>was generated to a transfer station or disposal site. We generally provide collection services under two types of arrangements:</w:t>
      </w:r>
    </w:p>
    <w:p>
      <w:pPr>
        <w:spacing w:after="0" w:line="139" w:lineRule="exact"/>
        <w:rPr>
          <w:sz w:val="20"/>
          <w:szCs w:val="20"/>
          <w:color w:val="auto"/>
        </w:rPr>
      </w:pPr>
    </w:p>
    <w:p>
      <w:pPr>
        <w:ind w:left="460" w:hanging="101"/>
        <w:spacing w:after="0" w:line="29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generally we have a one to three-year service agreement. The fees under the agreements are influenced by factors such as collection frequency, type of collection equipment furnished by us, type and volume or weight of the waste collected, distance to the disposal facility, labor costs, cost of disposal and general market factors. As part of the service, we provide steel containers to most of our customers to store their solid waste between pick-up dates. Containers vary in size and type according to the needs of our customers or restrictions of their communities and are designed so that they can be lifted mechanically and either emptied into a truck’s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8" w:right="339" w:bottom="1440" w:gutter="0" w:footer="0" w:header="0"/>
        </w:sectPr>
      </w:pPr>
    </w:p>
    <w:bookmarkStart w:id="7" w:name="page8"/>
    <w:bookmarkEnd w:id="7"/>
    <w:p>
      <w:pPr>
        <w:ind w:left="460" w:right="140"/>
        <w:spacing w:after="0" w:line="268" w:lineRule="auto"/>
        <w:rPr>
          <w:sz w:val="20"/>
          <w:szCs w:val="20"/>
          <w:color w:val="auto"/>
        </w:rPr>
      </w:pPr>
      <w:r>
        <w:rPr>
          <w:rFonts w:ascii="Arial" w:cs="Arial" w:eastAsia="Arial" w:hAnsi="Arial"/>
          <w:sz w:val="18"/>
          <w:szCs w:val="18"/>
          <w:color w:val="auto"/>
        </w:rPr>
        <w:t>compaction hopper or directly into a disposal site. By using these containers, we can service most of our commercial and industrial customers with trucks operated by only one employee.</w:t>
      </w:r>
    </w:p>
    <w:p>
      <w:pPr>
        <w:spacing w:after="0" w:line="213" w:lineRule="exact"/>
        <w:rPr>
          <w:sz w:val="20"/>
          <w:szCs w:val="20"/>
          <w:color w:val="auto"/>
        </w:rPr>
      </w:pPr>
    </w:p>
    <w:p>
      <w:pPr>
        <w:ind w:left="460" w:right="140" w:hanging="101"/>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most residential collection services, we have a contract with, or a franchise granted by, a municipality or regional authority that gives us the exclusive right to service all or a portion of the homes in an area. These contracts or franchises are typically for one to five years, but can sometimes be longer.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9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depository for solid waste in North America and we have the largest network of landfills in North America. Solid waste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landfills are built and operated on land with geological and hydrological properties that limit the possibility of water pollution, and are operated under prescribed procedures. A landfill must be maintained to meet federal, state or provincial and local regulations. The operation and closure of a solid waste landfill includes excavation, construction of liners, continuous spreading and compacting of waste, covering of waste with earth or other inert material and constructing final capping of the landfill. These operations are carefully planned to maintain sanitary conditions, to maximize the use of the airspace and to prepare the site so it can ultimately be used for other purposes.</w:t>
      </w:r>
    </w:p>
    <w:p>
      <w:pPr>
        <w:spacing w:after="0" w:line="225" w:lineRule="exact"/>
        <w:rPr>
          <w:sz w:val="20"/>
          <w:szCs w:val="20"/>
          <w:color w:val="auto"/>
        </w:rPr>
      </w:pPr>
    </w:p>
    <w:p>
      <w:pPr>
        <w:ind w:right="340" w:firstLine="324"/>
        <w:spacing w:after="0" w:line="298" w:lineRule="auto"/>
        <w:rPr>
          <w:sz w:val="20"/>
          <w:szCs w:val="20"/>
          <w:color w:val="auto"/>
        </w:rPr>
      </w:pPr>
      <w:r>
        <w:rPr>
          <w:rFonts w:ascii="Arial" w:cs="Arial" w:eastAsia="Arial" w:hAnsi="Arial"/>
          <w:sz w:val="16"/>
          <w:szCs w:val="16"/>
          <w:color w:val="auto"/>
        </w:rPr>
        <w:t>All solid waste management companies must have access to a disposal facility, such as a solid waste landfill. We believe it is usually preferable for our collection operations to use disposal facilities that we own or operate, which we refer to as internalization, rather than using third party disposal facilities. Internalization generally allows us to realize higher consolidated margins and stronger operating cash flows. The fees charged at disposal facilities, which are referred to as tipping fees, are based on market factors and the type and weight or volume of solid waste deposited.</w:t>
      </w:r>
    </w:p>
    <w:p>
      <w:pPr>
        <w:spacing w:after="0" w:line="19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also operate secure hazardous waste landfills in the United States. Under federal environmental laws, all hazardous waste landfills must be permitted by the federal government.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wastes into inert materials that are no longer hazardous. Our hazardous waste landfills are sited, constructed and operated in a manner designed to provide long-term containment of waste. We also operate a hazardous waste facility at which we isolate treated hazardous wastes in liquid form by injection into deep wells that have been drilled in rock formations far below the base of fresh water to a point that is separated by other substantial geological confining layers.</w:t>
      </w:r>
    </w:p>
    <w:p>
      <w:pPr>
        <w:spacing w:after="0" w:line="19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owned or operated 284 solid waste and five hazardous waste landfills at December 31, 2003 compared with 288 solid waste landfills and five hazardous waste landfills at December 31, 2002. The landfills that we operate but do not own are generally operated under a lease agreement or an operating contract. The differences between the two arrangements usually relate to the owner of the landfill operating permit. Generally, with a lease agreement, the permit is in our name and we operate the landfill for its entire life and make payments to the lessor, who is generally a private landowner, based either on a percentage of revenue or a rate per ton of waste received. We are generally responsible for closure and post-closure requirements under our lease agreements. For operating contracts, the owner of the property, generally a municipality, usually owns the permit and we operate the landfill for a contracted term, which may be the life of the landfill. The property owner is generally responsible for closure and post-closure obligations under our operating contracts.</w:t>
      </w:r>
    </w:p>
    <w:p>
      <w:pPr>
        <w:spacing w:after="0" w:line="19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Based on remaining permitted capacity as of December 31, 2003 and projected annual disposal volumes, the weighted average remaining landfill life for all of our owned or operated landfills is approximately 26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We are currently seeking expansion permits at 84 of our landfills for which we consider expansions to be probable. Although no assurances can be made that all future expansions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8" w:name="page9"/>
    <w:bookmarkEnd w:id="8"/>
    <w:p>
      <w:pPr>
        <w:ind w:right="480"/>
        <w:spacing w:after="0" w:line="306" w:lineRule="auto"/>
        <w:rPr>
          <w:sz w:val="20"/>
          <w:szCs w:val="20"/>
          <w:color w:val="auto"/>
        </w:rPr>
      </w:pPr>
      <w:r>
        <w:rPr>
          <w:rFonts w:ascii="Arial" w:cs="Arial" w:eastAsia="Arial" w:hAnsi="Arial"/>
          <w:sz w:val="16"/>
          <w:szCs w:val="16"/>
          <w:color w:val="auto"/>
        </w:rPr>
        <w:t>will be permitted as designed, the weighted average remaining landfill life for all owned or operated landfills is approximately 36 years when considering remaining permitted capacity, probable expansion capacity and projected annual disposal volume. At December 31, 2003 and 2002, the expected remaining capacity in cubic yards and tonnage of waste that can be accepted at our owned or operated landfills is shown below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December 31, 2003</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9"/>
              </w:rPr>
              <w:t>December 31, 2002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95"/>
        </w:trPr>
        <w:tc>
          <w:tcPr>
            <w:tcW w:w="33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r>
        <w:trPr>
          <w:trHeight w:val="237"/>
        </w:trPr>
        <w:tc>
          <w:tcPr>
            <w:tcW w:w="3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Probable</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Probable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49"/>
        </w:trPr>
        <w:tc>
          <w:tcPr>
            <w:tcW w:w="33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Permitted</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Expansion</w:t>
            </w: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Permitted</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Expansion</w:t>
            </w:r>
          </w:p>
        </w:tc>
        <w:tc>
          <w:tcPr>
            <w:tcW w:w="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74"/>
        </w:trPr>
        <w:tc>
          <w:tcPr>
            <w:tcW w:w="3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Capacity</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Capacity</w:t>
            </w:r>
          </w:p>
        </w:tc>
      </w:tr>
      <w:tr>
        <w:trPr>
          <w:trHeight w:val="95"/>
        </w:trPr>
        <w:tc>
          <w:tcPr>
            <w:tcW w:w="338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r>
        <w:trPr>
          <w:trHeight w:val="309"/>
        </w:trPr>
        <w:tc>
          <w:tcPr>
            <w:tcW w:w="3380" w:type="dxa"/>
            <w:vAlign w:val="bottom"/>
          </w:tcPr>
          <w:p>
            <w:pPr>
              <w:spacing w:after="0"/>
              <w:rPr>
                <w:sz w:val="20"/>
                <w:szCs w:val="20"/>
                <w:color w:val="auto"/>
              </w:rPr>
            </w:pPr>
            <w:r>
              <w:rPr>
                <w:rFonts w:ascii="Arial" w:cs="Arial" w:eastAsia="Arial" w:hAnsi="Arial"/>
                <w:sz w:val="18"/>
                <w:szCs w:val="18"/>
                <w:color w:val="auto"/>
              </w:rPr>
              <w:t>Remaining cubic yards</w:t>
            </w: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3,928</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1,535</w:t>
            </w:r>
          </w:p>
        </w:tc>
        <w:tc>
          <w:tcPr>
            <w:tcW w:w="12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5,463</w:t>
            </w:r>
          </w:p>
        </w:tc>
        <w:tc>
          <w:tcPr>
            <w:tcW w:w="15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3,471</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1,644</w:t>
            </w:r>
          </w:p>
        </w:tc>
        <w:tc>
          <w:tcPr>
            <w:tcW w:w="13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5,115</w:t>
            </w: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Remaining tonnage</w:t>
            </w: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3,368</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1,297</w:t>
            </w:r>
          </w:p>
        </w:tc>
        <w:tc>
          <w:tcPr>
            <w:tcW w:w="12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4,665</w:t>
            </w:r>
          </w:p>
        </w:tc>
        <w:tc>
          <w:tcPr>
            <w:tcW w:w="15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2,857</w:t>
            </w:r>
          </w:p>
        </w:tc>
        <w:tc>
          <w:tcPr>
            <w:tcW w:w="1380" w:type="dxa"/>
            <w:vAlign w:val="bottom"/>
            <w:gridSpan w:val="2"/>
          </w:tcPr>
          <w:p>
            <w:pPr>
              <w:jc w:val="right"/>
              <w:ind w:right="232"/>
              <w:spacing w:after="0"/>
              <w:rPr>
                <w:sz w:val="20"/>
                <w:szCs w:val="20"/>
                <w:color w:val="auto"/>
              </w:rPr>
            </w:pPr>
            <w:r>
              <w:rPr>
                <w:rFonts w:ascii="Arial" w:cs="Arial" w:eastAsia="Arial" w:hAnsi="Arial"/>
                <w:sz w:val="18"/>
                <w:szCs w:val="18"/>
                <w:color w:val="auto"/>
              </w:rPr>
              <w:t>1,385</w:t>
            </w:r>
          </w:p>
        </w:tc>
        <w:tc>
          <w:tcPr>
            <w:tcW w:w="1300" w:type="dxa"/>
            <w:vAlign w:val="bottom"/>
            <w:gridSpan w:val="2"/>
          </w:tcPr>
          <w:p>
            <w:pPr>
              <w:jc w:val="center"/>
              <w:ind w:left="192"/>
              <w:spacing w:after="0"/>
              <w:rPr>
                <w:sz w:val="20"/>
                <w:szCs w:val="20"/>
                <w:color w:val="auto"/>
              </w:rPr>
            </w:pPr>
            <w:r>
              <w:rPr>
                <w:rFonts w:ascii="Arial" w:cs="Arial" w:eastAsia="Arial" w:hAnsi="Arial"/>
                <w:sz w:val="18"/>
                <w:szCs w:val="18"/>
                <w:color w:val="auto"/>
                <w:w w:val="84"/>
              </w:rPr>
              <w:t>4,242</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reflects landfill capacity and airspace changes, as measured in tons of waste, for landfills owned or operated by us during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and 2002 (in millions):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December 31, 2003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December 31, 2002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Probable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Probable</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Permitted</w:t>
            </w:r>
          </w:p>
        </w:tc>
        <w:tc>
          <w:tcPr>
            <w:tcW w:w="2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Expansion</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Permitted</w:t>
            </w:r>
          </w:p>
        </w:tc>
        <w:tc>
          <w:tcPr>
            <w:tcW w:w="26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Expansion</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Capacity</w:t>
            </w:r>
          </w:p>
        </w:tc>
        <w:tc>
          <w:tcPr>
            <w:tcW w:w="28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80" w:type="dxa"/>
            <w:vAlign w:val="bottom"/>
          </w:tcPr>
          <w:p>
            <w:pPr>
              <w:spacing w:after="0"/>
              <w:rPr>
                <w:sz w:val="15"/>
                <w:szCs w:val="15"/>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Capacity</w:t>
            </w:r>
          </w:p>
        </w:tc>
        <w:tc>
          <w:tcPr>
            <w:tcW w:w="260" w:type="dxa"/>
            <w:vAlign w:val="bottom"/>
          </w:tcPr>
          <w:p>
            <w:pPr>
              <w:spacing w:after="0"/>
              <w:rPr>
                <w:sz w:val="15"/>
                <w:szCs w:val="15"/>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Capacity</w:t>
            </w:r>
          </w:p>
        </w:tc>
        <w:tc>
          <w:tcPr>
            <w:tcW w:w="26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Capacity</w:t>
            </w:r>
          </w:p>
        </w:tc>
        <w:tc>
          <w:tcPr>
            <w:tcW w:w="26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2,857</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1,385</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4,242</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2,748</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1,420</w:t>
            </w:r>
          </w:p>
        </w:tc>
        <w:tc>
          <w:tcPr>
            <w:tcW w:w="3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4,168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Acquisitions, divestitures, newly permitted</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tcPr>
          <w:p>
            <w:pPr>
              <w:ind w:left="120"/>
              <w:spacing w:after="0"/>
              <w:rPr>
                <w:sz w:val="20"/>
                <w:szCs w:val="20"/>
                <w:color w:val="auto"/>
              </w:rPr>
            </w:pPr>
            <w:r>
              <w:rPr>
                <w:rFonts w:ascii="Arial" w:cs="Arial" w:eastAsia="Arial" w:hAnsi="Arial"/>
                <w:sz w:val="18"/>
                <w:szCs w:val="18"/>
                <w:color w:val="auto"/>
              </w:rPr>
              <w:t>landfills and closures(a)</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New expansions pursued</w:t>
            </w:r>
          </w:p>
        </w:tc>
        <w:tc>
          <w:tcPr>
            <w:tcW w:w="4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Expansion permits granted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Airspace consumed</w:t>
            </w:r>
          </w:p>
        </w:tc>
        <w:tc>
          <w:tcPr>
            <w:tcW w:w="12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(117)</w:t>
            </w:r>
          </w:p>
        </w:tc>
        <w:tc>
          <w:tcPr>
            <w:tcW w:w="148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Changes in engineering estimates(b)</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end of year</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3,368</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1,297</w:t>
            </w:r>
          </w:p>
        </w:tc>
        <w:tc>
          <w:tcPr>
            <w:tcW w:w="3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4,665</w:t>
            </w:r>
          </w:p>
        </w:tc>
        <w:tc>
          <w:tcPr>
            <w:tcW w:w="2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2,857</w:t>
            </w:r>
          </w:p>
        </w:tc>
        <w:tc>
          <w:tcPr>
            <w:tcW w:w="4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1,385</w:t>
            </w:r>
          </w:p>
        </w:tc>
        <w:tc>
          <w:tcPr>
            <w:tcW w:w="3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4,242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6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provided for 2003 includes changes in the landfill capacity related to three newly permitted landfill sites and the divestiture of one landfill operated under contract.</w:t>
      </w:r>
    </w:p>
    <w:p>
      <w:pPr>
        <w:spacing w:after="0" w:line="212" w:lineRule="exact"/>
        <w:rPr>
          <w:rFonts w:ascii="Arial" w:cs="Arial" w:eastAsia="Arial" w:hAnsi="Arial"/>
          <w:sz w:val="18"/>
          <w:szCs w:val="18"/>
          <w:color w:val="auto"/>
        </w:rPr>
      </w:pPr>
    </w:p>
    <w:p>
      <w:pPr>
        <w:ind w:left="460" w:right="6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engineering estimates result in either changes to the available remaining landfill capacity in terms of volume or changes in the utilization of such landfill capacity, affecting the number of tons that can be placed in the future. The majority of the increase in capacity during 2003 resulting from changes in engineering estimates is due to an increase in the estimated tons per cubic yard that can be placed in our remaining landfill airspace. Estimates of the amount of waste that can be placed in the future are reviewed annually by our engineers and are based on a number of factors, including standard engineering techniques, historical data and improvements in landfill operational procedures.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 Additionally, future airspace utilization may be affected by changes in the types of waste materials received at our landfills.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estimated operating lives, based on remaining permitted and probable expansion capacity and projected annual disposal volume (in years)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is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rPr>
              <w:t>0 to 5</w:t>
            </w:r>
          </w:p>
        </w:tc>
        <w:tc>
          <w:tcPr>
            <w:tcW w:w="340" w:type="dxa"/>
            <w:vAlign w:val="bottom"/>
          </w:tcPr>
          <w:p>
            <w:pPr>
              <w:spacing w:after="0"/>
              <w:rPr>
                <w:sz w:val="15"/>
                <w:szCs w:val="15"/>
                <w:color w:val="auto"/>
              </w:rPr>
            </w:pPr>
          </w:p>
        </w:tc>
        <w:tc>
          <w:tcPr>
            <w:tcW w:w="760" w:type="dxa"/>
            <w:vAlign w:val="bottom"/>
            <w:gridSpan w:val="3"/>
          </w:tcPr>
          <w:p>
            <w:pPr>
              <w:ind w:left="180"/>
              <w:spacing w:after="0"/>
              <w:rPr>
                <w:sz w:val="20"/>
                <w:szCs w:val="20"/>
                <w:color w:val="auto"/>
              </w:rPr>
            </w:pPr>
            <w:r>
              <w:rPr>
                <w:rFonts w:ascii="Arial" w:cs="Arial" w:eastAsia="Arial" w:hAnsi="Arial"/>
                <w:sz w:val="14"/>
                <w:szCs w:val="14"/>
                <w:b w:val="1"/>
                <w:bCs w:val="1"/>
                <w:color w:val="auto"/>
              </w:rPr>
              <w:t>6 to 10</w:t>
            </w:r>
          </w:p>
        </w:tc>
        <w:tc>
          <w:tcPr>
            <w:tcW w:w="340" w:type="dxa"/>
            <w:vAlign w:val="bottom"/>
          </w:tcPr>
          <w:p>
            <w:pPr>
              <w:spacing w:after="0"/>
              <w:rPr>
                <w:sz w:val="15"/>
                <w:szCs w:val="15"/>
                <w:color w:val="auto"/>
              </w:rPr>
            </w:pPr>
          </w:p>
        </w:tc>
        <w:tc>
          <w:tcPr>
            <w:tcW w:w="880" w:type="dxa"/>
            <w:vAlign w:val="bottom"/>
            <w:gridSpan w:val="3"/>
          </w:tcPr>
          <w:p>
            <w:pPr>
              <w:ind w:left="220"/>
              <w:spacing w:after="0"/>
              <w:rPr>
                <w:sz w:val="20"/>
                <w:szCs w:val="20"/>
                <w:color w:val="auto"/>
              </w:rPr>
            </w:pPr>
            <w:r>
              <w:rPr>
                <w:rFonts w:ascii="Arial" w:cs="Arial" w:eastAsia="Arial" w:hAnsi="Arial"/>
                <w:sz w:val="14"/>
                <w:szCs w:val="14"/>
                <w:b w:val="1"/>
                <w:bCs w:val="1"/>
                <w:color w:val="auto"/>
              </w:rPr>
              <w:t>11 to 20</w:t>
            </w:r>
          </w:p>
        </w:tc>
        <w:tc>
          <w:tcPr>
            <w:tcW w:w="340" w:type="dxa"/>
            <w:vAlign w:val="bottom"/>
          </w:tcPr>
          <w:p>
            <w:pPr>
              <w:spacing w:after="0"/>
              <w:rPr>
                <w:sz w:val="15"/>
                <w:szCs w:val="15"/>
                <w:color w:val="auto"/>
              </w:rPr>
            </w:pPr>
          </w:p>
        </w:tc>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21 to 40</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Owned/operated through lease</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contracts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Total landfills</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volume of waste, as measured in tons, that we received in 2003 and 2002 at all of our landfills is shown below (tons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ind w:left="66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Tons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Tons</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Sites</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Tons</w:t>
            </w:r>
          </w:p>
        </w:tc>
        <w:tc>
          <w:tcPr>
            <w:tcW w:w="280" w:type="dxa"/>
            <w:vAlign w:val="bottom"/>
          </w:tcPr>
          <w:p>
            <w:pPr>
              <w:spacing w:after="0"/>
              <w:rPr>
                <w:sz w:val="15"/>
                <w:szCs w:val="15"/>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Per Day</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Sites</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Tons</w:t>
            </w:r>
          </w:p>
        </w:tc>
        <w:tc>
          <w:tcPr>
            <w:tcW w:w="280" w:type="dxa"/>
            <w:vAlign w:val="bottom"/>
          </w:tcPr>
          <w:p>
            <w:pPr>
              <w:spacing w:after="0"/>
              <w:rPr>
                <w:sz w:val="15"/>
                <w:szCs w:val="15"/>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Per Day</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Solid waste landfills</w:t>
            </w:r>
          </w:p>
        </w:tc>
        <w:tc>
          <w:tcPr>
            <w:tcW w:w="2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4"/>
              </w:rPr>
              <w:t>284(a)</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115,706</w:t>
            </w:r>
          </w:p>
        </w:tc>
        <w:tc>
          <w:tcPr>
            <w:tcW w:w="2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113,795</w:t>
            </w:r>
          </w:p>
        </w:tc>
        <w:tc>
          <w:tcPr>
            <w:tcW w:w="2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1,771</w:t>
            </w:r>
          </w:p>
        </w:tc>
        <w:tc>
          <w:tcPr>
            <w:tcW w:w="2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1,112</w:t>
            </w:r>
          </w:p>
        </w:tc>
        <w:tc>
          <w:tcPr>
            <w:tcW w:w="2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117,477</w:t>
            </w:r>
          </w:p>
        </w:tc>
        <w:tc>
          <w:tcPr>
            <w:tcW w:w="2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114,907</w:t>
            </w:r>
          </w:p>
        </w:tc>
        <w:tc>
          <w:tcPr>
            <w:tcW w:w="2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580" w:type="dxa"/>
            <w:vAlign w:val="bottom"/>
            <w:gridSpan w:val="3"/>
            <w:vMerge w:val="restart"/>
          </w:tcPr>
          <w:p>
            <w:pPr>
              <w:ind w:left="580"/>
              <w:spacing w:after="0"/>
              <w:rPr>
                <w:sz w:val="20"/>
                <w:szCs w:val="20"/>
                <w:color w:val="auto"/>
              </w:rPr>
            </w:pPr>
            <w:r>
              <w:rPr>
                <w:rFonts w:ascii="Arial" w:cs="Arial" w:eastAsia="Arial" w:hAnsi="Arial"/>
                <w:sz w:val="18"/>
                <w:szCs w:val="18"/>
                <w:color w:val="auto"/>
              </w:rPr>
              <w:t>Solid waste landfills closed during related year</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9"/>
                <w:szCs w:val="9"/>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9"/>
                <w:szCs w:val="9"/>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8"/>
                <w:szCs w:val="18"/>
                <w:color w:val="auto"/>
              </w:rPr>
              <w:t>2,286</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80" w:type="dxa"/>
            <w:vAlign w:val="bottom"/>
            <w:gridSpan w:val="3"/>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580" w:type="dxa"/>
            <w:vAlign w:val="bottom"/>
            <w:gridSpan w:val="3"/>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117,668(b)</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117,193(c)</w:t>
            </w:r>
          </w:p>
        </w:tc>
        <w:tc>
          <w:tcPr>
            <w:tcW w:w="2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1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closed three landfills in 2003; successfully permitted three new landfills; and had a net decrease in operating contracts of four, including one that was divested. We also had one landfill previously operated under contract that has been reclassified as owned.</w:t>
      </w:r>
    </w:p>
    <w:p>
      <w:pPr>
        <w:spacing w:after="0" w:line="21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amount includes approximately 1.1 million tons that were received at our landfills but were used for beneficial purposes, generally redirected from the permitted airspace to other areas of the landfill. Waste types that are frequently identified for beneficial use include green waste for composting and clean dirt for on-site construction projects.</w:t>
      </w:r>
    </w:p>
    <w:p>
      <w:pPr>
        <w:spacing w:after="0" w:line="221"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amount includes approximately 1.2 million tons that were received at our landfills but were used for beneficial purposes, generally redirected from the permitted airspace to other areas of the landfill. Waste types that are frequently identified for beneficial use include green waste for composting and clean dirt for on-site construction projects.</w:t>
      </w:r>
    </w:p>
    <w:p>
      <w:pPr>
        <w:spacing w:after="0" w:line="221" w:lineRule="exact"/>
        <w:rPr>
          <w:sz w:val="20"/>
          <w:szCs w:val="20"/>
          <w:color w:val="auto"/>
        </w:rPr>
      </w:pPr>
    </w:p>
    <w:p>
      <w:pPr>
        <w:ind w:right="360" w:firstLine="270"/>
        <w:spacing w:after="0" w:line="306" w:lineRule="auto"/>
        <w:rPr>
          <w:sz w:val="20"/>
          <w:szCs w:val="20"/>
          <w:color w:val="auto"/>
        </w:rPr>
      </w:pPr>
      <w:r>
        <w:rPr>
          <w:rFonts w:ascii="Arial" w:cs="Arial" w:eastAsia="Arial" w:hAnsi="Arial"/>
          <w:sz w:val="16"/>
          <w:szCs w:val="16"/>
          <w:color w:val="auto"/>
        </w:rPr>
        <w:t>When a landfill we own or operate (i) reaches its permitted waste capacity, (ii) is permanently capped and (iii) receives certification of closure from the applicable regulatory agency, management of the site, including any remediation activities, is generally transferred to our closed sites management group. At December 31, 2003, we manage 173 closed landfills, most of which are managed by our closed sites management group.</w:t>
      </w:r>
    </w:p>
    <w:p>
      <w:pPr>
        <w:spacing w:after="0" w:line="18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Transfer stations are located near residential and commercial collection routes where collection trucks take the solid waste that has been collected.</w:t>
      </w:r>
      <w:r>
        <w:rPr>
          <w:rFonts w:ascii="Arial" w:cs="Arial" w:eastAsia="Arial" w:hAnsi="Arial"/>
          <w:sz w:val="18"/>
          <w:szCs w:val="18"/>
          <w:i w:val="1"/>
          <w:iCs w:val="1"/>
          <w:color w:val="auto"/>
        </w:rPr>
        <w:t xml:space="preserve"> </w:t>
      </w:r>
      <w:r>
        <w:rPr>
          <w:rFonts w:ascii="Arial" w:cs="Arial" w:eastAsia="Arial" w:hAnsi="Arial"/>
          <w:sz w:val="18"/>
          <w:szCs w:val="18"/>
          <w:color w:val="auto"/>
        </w:rPr>
        <w:t>The solid waste is then consolidated and transported by transfer trucks or by rail to disposal sites. Fees at transfer stations are usually based on the type and volume or weight of the waste transferred, the distance to the disposal site and general market factors. At December 31, 2003, we owned or operated 366 transfer stations in North America. There are two main reasons for using transfer stations:</w:t>
      </w:r>
    </w:p>
    <w:p>
      <w:pPr>
        <w:spacing w:after="0" w:line="197" w:lineRule="exact"/>
        <w:rPr>
          <w:sz w:val="20"/>
          <w:szCs w:val="20"/>
          <w:color w:val="auto"/>
        </w:rPr>
      </w:pPr>
    </w:p>
    <w:p>
      <w:pPr>
        <w:ind w:left="460" w:hanging="101"/>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stations reduce the cost of transporting waste to disposal sites because transfer trucks, railcars or rail containers have larger capacities than collection trucks, allowing us to deliver more waste to the disposal facility in each trip. Waste is also often compacted at transfer stations, which in addition to the consolidation of the waste, increases the efficiency of our collection personnel and equipment because they are able to focus on collection activities rather than making trips to the disposal sites.</w:t>
      </w:r>
    </w:p>
    <w:p>
      <w:pPr>
        <w:spacing w:after="0" w:line="224"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stations improve internalization by allowing us to retain fees that we would otherwise pay to third parties to dispose of waste we collect. A greater percentage of the waste we collect can be disposed of at one of our own disposal sites because the waste coming into one of our transfer stations will usually be taken to one of our own disposal facilities. Additionally, more waste is internalized because the transfer vehicles can transport waste longer distances to one of our disposal facilities.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transfer stations that we operate but do not own are generally operated through lease agreements under which we lease property from third parties. There are some instances where transfer stations are operated under contract, generally for municipalities. In most cases we own the permits and will be responsible for all of the regulatory requirements in accordance with the lease and operating agreement terms.</w:t>
      </w:r>
    </w:p>
    <w:p>
      <w:pPr>
        <w:spacing w:after="0" w:line="221"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i w:val="1"/>
          <w:iCs w:val="1"/>
          <w:color w:val="auto"/>
        </w:rPr>
        <w:t xml:space="preserve">Wheelabrator. </w:t>
      </w:r>
      <w:r>
        <w:rPr>
          <w:rFonts w:ascii="Arial" w:cs="Arial" w:eastAsia="Arial" w:hAnsi="Arial"/>
          <w:sz w:val="16"/>
          <w:szCs w:val="16"/>
          <w:color w:val="auto"/>
        </w:rPr>
        <w:t>Through Wheelabrator, we own or operate 17 waste-to-energy facilities that accept solid waste for disposal. Fees at our waste-to-energy</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are influenced by the market rates for electricity, type and volume of waste received and other general market factors. Our waste-to-energy facilities are capable of processing up to 24,250 tons of solid waste each day. In 2003, our waste-to-energy facilities received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10" w:name="page11"/>
    <w:bookmarkEnd w:id="10"/>
    <w:p>
      <w:pPr>
        <w:ind w:right="240"/>
        <w:spacing w:after="0" w:line="256" w:lineRule="auto"/>
        <w:rPr>
          <w:sz w:val="20"/>
          <w:szCs w:val="20"/>
          <w:color w:val="auto"/>
        </w:rPr>
      </w:pPr>
      <w:r>
        <w:rPr>
          <w:rFonts w:ascii="Arial" w:cs="Arial" w:eastAsia="Arial" w:hAnsi="Arial"/>
          <w:sz w:val="18"/>
          <w:szCs w:val="18"/>
          <w:color w:val="auto"/>
        </w:rPr>
        <w:t>approximately 7.7 million total tons, or approximately 21,200 tons per day, compared to approximately 7.5 million total tons, or approximately 20,700 tons per day, in 2002. The solid waste is burned at high temperatures in specially designed boilers at these facilities, producing heat that is converted into high-pressure steam. We use that steam to generate electricity for sale to electric utilities under long-term contracts. Our waste-to-energy facilities can generate up to an aggregate of 690 megawatts (“mW”) of renewable electricity per hour.</w:t>
      </w:r>
    </w:p>
    <w:p>
      <w:pPr>
        <w:spacing w:after="0" w:line="22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Wheelabrator operations also include six independent power production plants that convert various waste and conventional fuels into electricity and steam. Fees at our independent power production plants are influenced by the market rates for electricity and steam, type and volume of waste received and other general market factors.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piles at the facility is used to reclaim the land damaged by decades of coal mining. In addition to electricity production, the plants also produce steam, which is sold to industrial and commercial users. The plants can produce a total of 246 mW of electricity per hour.</w:t>
      </w:r>
    </w:p>
    <w:p>
      <w:pPr>
        <w:spacing w:after="0" w:line="19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Recycling. </w:t>
      </w:r>
      <w:r>
        <w:rPr>
          <w:rFonts w:ascii="Arial" w:cs="Arial" w:eastAsia="Arial" w:hAnsi="Arial"/>
          <w:sz w:val="18"/>
          <w:szCs w:val="18"/>
          <w:color w:val="auto"/>
        </w:rPr>
        <w:t>Our Recycling Group is comprised of Recycle America Alliance, L.L.C. (“RAA”). RAA was formed in January 2003 to improve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and future growth of recycling programs and includes certain recycling assets transferred from our geographic operating Groups as well as assets contributed by the Peltz Group, who maintains approximately nine percent of the equity interest in RAA. In addition to our Recycling Group, our five geographic operating Groups provide certain recycling services. The recycling services provided by other than RAA are generally those which are embedded within the Groups’ other operations and therefore were not transferred to RAA.</w:t>
      </w:r>
    </w:p>
    <w:p>
      <w:pPr>
        <w:spacing w:after="0" w:line="22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Recycling involves the separation of reusable materials from the waste stream for processing and resale or other disposition. Our recycling operations include the following:</w:t>
      </w:r>
    </w:p>
    <w:p>
      <w:pPr>
        <w:spacing w:after="0" w:line="213" w:lineRule="exact"/>
        <w:rPr>
          <w:sz w:val="20"/>
          <w:szCs w:val="20"/>
          <w:color w:val="auto"/>
        </w:rPr>
      </w:pPr>
    </w:p>
    <w:p>
      <w:pPr>
        <w:ind w:left="360" w:right="40" w:firstLine="324"/>
        <w:spacing w:after="0" w:line="255" w:lineRule="auto"/>
        <w:rPr>
          <w:sz w:val="20"/>
          <w:szCs w:val="20"/>
          <w:color w:val="auto"/>
        </w:rPr>
      </w:pPr>
      <w:r>
        <w:rPr>
          <w:rFonts w:ascii="Arial" w:cs="Arial" w:eastAsia="Arial" w:hAnsi="Arial"/>
          <w:sz w:val="18"/>
          <w:szCs w:val="18"/>
          <w:i w:val="1"/>
          <w:iCs w:val="1"/>
          <w:color w:val="auto"/>
        </w:rPr>
        <w:t xml:space="preserve">Collection and materials processing </w:t>
      </w:r>
      <w:r>
        <w:rPr>
          <w:rFonts w:ascii="Arial" w:cs="Arial" w:eastAsia="Arial" w:hAnsi="Arial"/>
          <w:sz w:val="18"/>
          <w:szCs w:val="18"/>
          <w:color w:val="auto"/>
        </w:rPr>
        <w:t>— we collect recyclable materials from residential, commercial and industrial customers and direct these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to a material recovery facility (“MRF”) for processing. We operate 138 MRFs where paper, glass, metals, plastics and compost are recovered for resale. We also operate 16 secondary processing facilities where materials received from MRFs can be further processed into raw products used in the manufacturing of consumer goods. Specifically, material processing services include data destruction, shredding, automated color sorting, composting, and construction and demolition processing.</w:t>
      </w:r>
    </w:p>
    <w:p>
      <w:pPr>
        <w:spacing w:after="0" w:line="251" w:lineRule="exact"/>
        <w:rPr>
          <w:sz w:val="20"/>
          <w:szCs w:val="20"/>
          <w:color w:val="auto"/>
        </w:rPr>
      </w:pPr>
    </w:p>
    <w:p>
      <w:pPr>
        <w:ind w:left="360" w:right="120" w:firstLine="324"/>
        <w:spacing w:after="0" w:line="259" w:lineRule="auto"/>
        <w:rPr>
          <w:sz w:val="20"/>
          <w:szCs w:val="20"/>
          <w:color w:val="auto"/>
        </w:rPr>
      </w:pPr>
      <w:r>
        <w:rPr>
          <w:rFonts w:ascii="Arial" w:cs="Arial" w:eastAsia="Arial" w:hAnsi="Arial"/>
          <w:sz w:val="18"/>
          <w:szCs w:val="18"/>
          <w:i w:val="1"/>
          <w:iCs w:val="1"/>
          <w:color w:val="auto"/>
        </w:rPr>
        <w:t xml:space="preserve">Glass recycling </w:t>
      </w:r>
      <w:r>
        <w:rPr>
          <w:rFonts w:ascii="Arial" w:cs="Arial" w:eastAsia="Arial" w:hAnsi="Arial"/>
          <w:sz w:val="18"/>
          <w:szCs w:val="18"/>
          <w:color w:val="auto"/>
        </w:rPr>
        <w:t>— using state-of-the-art sorting and processing technology, we remove contaminants from color-separated glass to produce and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furnace-ready cullet (crushed and cleaned post-consumer glass used to make new glass products). Our innovative glass processing capabilities increase material recovery and overall product quality.</w:t>
      </w:r>
    </w:p>
    <w:p>
      <w:pPr>
        <w:spacing w:after="0" w:line="248" w:lineRule="exact"/>
        <w:rPr>
          <w:sz w:val="20"/>
          <w:szCs w:val="20"/>
          <w:color w:val="auto"/>
        </w:rPr>
      </w:pPr>
    </w:p>
    <w:p>
      <w:pPr>
        <w:ind w:left="360" w:right="280" w:firstLine="324"/>
        <w:spacing w:after="0" w:line="268" w:lineRule="auto"/>
        <w:rPr>
          <w:sz w:val="20"/>
          <w:szCs w:val="20"/>
          <w:color w:val="auto"/>
        </w:rPr>
      </w:pPr>
      <w:r>
        <w:rPr>
          <w:rFonts w:ascii="Arial" w:cs="Arial" w:eastAsia="Arial" w:hAnsi="Arial"/>
          <w:sz w:val="18"/>
          <w:szCs w:val="18"/>
          <w:i w:val="1"/>
          <w:iCs w:val="1"/>
          <w:color w:val="auto"/>
        </w:rPr>
        <w:t xml:space="preserve">Plastics and rubber materials recycling </w:t>
      </w:r>
      <w:r>
        <w:rPr>
          <w:rFonts w:ascii="Arial" w:cs="Arial" w:eastAsia="Arial" w:hAnsi="Arial"/>
          <w:sz w:val="18"/>
          <w:szCs w:val="18"/>
          <w:color w:val="auto"/>
        </w:rPr>
        <w:t>— using state-of-the-art sorting and processing technology, we process, inventory and sell plastic and rubber</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making the recycling of such items more cost effective and convenient.</w:t>
      </w:r>
    </w:p>
    <w:p>
      <w:pPr>
        <w:spacing w:after="0" w:line="240" w:lineRule="exact"/>
        <w:rPr>
          <w:sz w:val="20"/>
          <w:szCs w:val="20"/>
          <w:color w:val="auto"/>
        </w:rPr>
      </w:pPr>
    </w:p>
    <w:p>
      <w:pPr>
        <w:jc w:val="both"/>
        <w:ind w:left="360" w:right="260" w:firstLine="324"/>
        <w:spacing w:after="0" w:line="370" w:lineRule="auto"/>
        <w:rPr>
          <w:sz w:val="20"/>
          <w:szCs w:val="20"/>
          <w:color w:val="auto"/>
        </w:rPr>
      </w:pPr>
      <w:r>
        <w:rPr>
          <w:rFonts w:ascii="Arial" w:cs="Arial" w:eastAsia="Arial" w:hAnsi="Arial"/>
          <w:sz w:val="15"/>
          <w:szCs w:val="15"/>
          <w:i w:val="1"/>
          <w:iCs w:val="1"/>
          <w:color w:val="auto"/>
        </w:rPr>
        <w:t xml:space="preserve">Electronics recycling services </w:t>
      </w:r>
      <w:r>
        <w:rPr>
          <w:rFonts w:ascii="Arial" w:cs="Arial" w:eastAsia="Arial" w:hAnsi="Arial"/>
          <w:sz w:val="15"/>
          <w:szCs w:val="15"/>
          <w:color w:val="auto"/>
        </w:rPr>
        <w:t>— we provide an innovative, customized approach to recycling discarded computers, communications equipment,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other electronic equipment. Services include the collection, sorting and disassembling of electronics in an effort to reuse or recycle all collected materials.</w:t>
      </w:r>
    </w:p>
    <w:p>
      <w:pPr>
        <w:spacing w:after="0" w:line="170" w:lineRule="exact"/>
        <w:rPr>
          <w:sz w:val="20"/>
          <w:szCs w:val="20"/>
          <w:color w:val="auto"/>
        </w:rPr>
      </w:pPr>
    </w:p>
    <w:p>
      <w:pPr>
        <w:jc w:val="both"/>
        <w:ind w:left="360" w:right="60" w:firstLine="324"/>
        <w:spacing w:after="0" w:line="259"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to customers world-wide. We manage the marketing of recyclable commodities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own facilities and for third parties by maintaining comprehensive service centers that continuously analyze market prices, logistics, market demands and product quality.</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Recycling fees are influenced by frequency of collection, type and volume or weight of the recyclable material, degree of processing required, the market value of the recovered material and other market factors.</w:t>
      </w:r>
    </w:p>
    <w:p>
      <w:pPr>
        <w:spacing w:after="0" w:line="21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i w:val="1"/>
          <w:iCs w:val="1"/>
          <w:color w:val="auto"/>
        </w:rPr>
        <w:t xml:space="preserve">Other NASW. </w:t>
      </w:r>
      <w:r>
        <w:rPr>
          <w:rFonts w:ascii="Arial" w:cs="Arial" w:eastAsia="Arial" w:hAnsi="Arial"/>
          <w:sz w:val="18"/>
          <w:szCs w:val="18"/>
          <w:color w:val="auto"/>
        </w:rPr>
        <w:t>We develop, operate and promote projects for the beneficial use of landfill gas through our Waste Management Renewable Energy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natural breakdown of waste deposited in a landfill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ind w:right="60"/>
        <w:spacing w:after="0" w:line="291" w:lineRule="auto"/>
        <w:rPr>
          <w:sz w:val="20"/>
          <w:szCs w:val="20"/>
          <w:color w:val="auto"/>
        </w:rPr>
      </w:pPr>
      <w:r>
        <w:rPr>
          <w:rFonts w:ascii="Arial" w:cs="Arial" w:eastAsia="Arial" w:hAnsi="Arial"/>
          <w:sz w:val="16"/>
          <w:szCs w:val="16"/>
          <w:color w:val="auto"/>
        </w:rPr>
        <w:t>produces landfill gas. The methane component of the landfill gas is a readily available, renewable energy source that can be gathered and used beneficially as an alternative to fossil fuel for a number of industrial and commercial applications. We actively pursue landfill gas beneficial use projects and at December 31, 2003 are producing commercial quantities of methane gas at 85 of our solid waste landfills. For 54 of these landfills, the processed gas is delivered to electricity generators. The electricity is then sold to public utilities, municipal utilities or power cooperatives. For 29 landfills, the gas is delivered by pipeline to industrial customers as a direct substitute for fossil fuels in industrial processes such as steam boilers, cement kilns and utility plants. At the remaining two landfills, we further process the gas to pipeline-quality natural gas, and then we sell it to natural gas suppliers.</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as part of our other operations, we rent and service portable restroom facilities to municipalities and commercial customers under the name Port-O-Let®, and provide street and parking lot sweeping services. We also provide in-plant services, in which we outsource our employees to provide full service waste management to customers at their plants. Our vertically integrated waste management operations allow us to provide these customers with full management of their waste, including finding recycling opportunities, minimizing their waste, determining the most efficient means available for waste collection and transporting and disposing of their waste.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solid waste industry is very competitive. Competition comes from a number of publicly-held solid waste companies, private solid waste companies, and large commercial and industrial companies handling their own waste collection or disposal operations. We also have competition from municipalities and regional government authorities with respect to residential and commercial solid waste collection and solid waste landfills. The municipalities and regional governmental authorities can subsidize the cost of service through the use of tax revenues and tax-exempt financing and therefore have a competitive advantage.</w:t>
      </w:r>
    </w:p>
    <w:p>
      <w:pPr>
        <w:spacing w:after="0" w:line="19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Operating costs, disposal costs and collection fees vary widely throughout the geographic areas in which we operate. The prices that we charge are determined locally, and typically vary by the volume and weight, type of waste collected, treatment requirements, risk of handling or disposal, frequency of collections, distance to final disposal sites, labor costs and amount and type of equipment furnished to the customer. We face intense competition based on quality of service and pricing. Under certain customer service contracts, our ability to pass on cost increases to our customers may be limited. From time to time, competitors may reduce the price of their services and accept lower margins in an effort to expand or maintain market share or to successfully obtain competitively bid contracts.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At December 31, 2003 we had approximately 51,700 full-time employees, of which approximately 8,000 were employed in administrative and sales positions and the balance in operations. Approximately 14,800 of our employees are covered by collective bargaining agreements that we negotiate with unions. We have not experienced a significant work stoppage, and management considers its employee relations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Financial assurance is generally required in municipal and governmental waste management contracts. It is also a requirement for obtaining or retaining disposal site or transfer station operating permits. Municipal and governmental waste management contracts typically require performance bonds or bank letters of credit to secure performance. We are also required to provide various forms of financial assurance for estimated closure, post-closure and remedial obligations at our landfills.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2" w:name="page13"/>
    <w:bookmarkEnd w:id="12"/>
    <w:p>
      <w:pPr>
        <w:ind w:right="40" w:firstLine="324"/>
        <w:spacing w:after="0" w:line="323" w:lineRule="auto"/>
        <w:rPr>
          <w:sz w:val="20"/>
          <w:szCs w:val="20"/>
          <w:color w:val="auto"/>
        </w:rPr>
      </w:pPr>
      <w:r>
        <w:rPr>
          <w:rFonts w:ascii="Arial" w:cs="Arial" w:eastAsia="Arial" w:hAnsi="Arial"/>
          <w:sz w:val="15"/>
          <w:szCs w:val="15"/>
          <w:color w:val="auto"/>
        </w:rPr>
        <w:t>We establish financial assurance in different ways, depending on the jurisdiction, including escrow-type accounts funded by revenues during the operational life of a facility, letters of credit, surety bonds, trust agreements and insurance. Although the supply of financial assurance instruments has become increasingly limited in recent years, we have not experienced an unmanageable difficulty in obtaining the financial assurance instruments required for our current operations. The following table summarizes the various forms and dollar amounts (in millions) of financial assurance that we had outstanding as of December 31, 2003:</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Letters of credit:</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facilities</w:t>
            </w:r>
          </w:p>
        </w:tc>
        <w:tc>
          <w:tcPr>
            <w:tcW w:w="3260" w:type="dxa"/>
            <w:vAlign w:val="bottom"/>
            <w:gridSpan w:val="5"/>
          </w:tcPr>
          <w:p>
            <w:pPr>
              <w:jc w:val="right"/>
              <w:ind w:right="1260"/>
              <w:spacing w:after="0"/>
              <w:rPr>
                <w:sz w:val="20"/>
                <w:szCs w:val="20"/>
                <w:color w:val="auto"/>
              </w:rPr>
            </w:pPr>
            <w:r>
              <w:rPr>
                <w:rFonts w:ascii="Arial" w:cs="Arial" w:eastAsia="Arial" w:hAnsi="Arial"/>
                <w:sz w:val="18"/>
                <w:szCs w:val="18"/>
                <w:color w:val="auto"/>
              </w:rPr>
              <w:t>$1,608(a)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LC and term loan agreements</w:t>
            </w:r>
          </w:p>
        </w:tc>
        <w:tc>
          <w:tcPr>
            <w:tcW w:w="140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1240"/>
              <w:spacing w:after="0"/>
              <w:rPr>
                <w:sz w:val="20"/>
                <w:szCs w:val="20"/>
                <w:color w:val="auto"/>
              </w:rPr>
            </w:pPr>
            <w:r>
              <w:rPr>
                <w:rFonts w:ascii="Arial" w:cs="Arial" w:eastAsia="Arial" w:hAnsi="Arial"/>
                <w:sz w:val="18"/>
                <w:szCs w:val="18"/>
                <w:color w:val="auto"/>
              </w:rPr>
              <w:t>284(b)</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Letter of credit facility</w:t>
            </w:r>
          </w:p>
        </w:tc>
        <w:tc>
          <w:tcPr>
            <w:tcW w:w="1400" w:type="dxa"/>
            <w:vAlign w:val="bottom"/>
          </w:tcPr>
          <w:p>
            <w:pPr>
              <w:spacing w:after="0"/>
              <w:rPr>
                <w:sz w:val="18"/>
                <w:szCs w:val="18"/>
                <w:color w:val="auto"/>
              </w:rPr>
            </w:pPr>
          </w:p>
        </w:tc>
        <w:tc>
          <w:tcPr>
            <w:tcW w:w="1860" w:type="dxa"/>
            <w:vAlign w:val="bottom"/>
            <w:gridSpan w:val="4"/>
          </w:tcPr>
          <w:p>
            <w:pPr>
              <w:jc w:val="right"/>
              <w:ind w:right="1260"/>
              <w:spacing w:after="0"/>
              <w:rPr>
                <w:sz w:val="20"/>
                <w:szCs w:val="20"/>
                <w:color w:val="auto"/>
              </w:rPr>
            </w:pPr>
            <w:r>
              <w:rPr>
                <w:rFonts w:ascii="Arial" w:cs="Arial" w:eastAsia="Arial" w:hAnsi="Arial"/>
                <w:sz w:val="18"/>
                <w:szCs w:val="18"/>
                <w:color w:val="auto"/>
              </w:rPr>
              <w:t>349(c)</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Other lines of credit</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40" w:type="dxa"/>
            <w:vAlign w:val="bottom"/>
            <w:gridSpan w:val="3"/>
          </w:tcPr>
          <w:p>
            <w:pPr>
              <w:ind w:left="1720"/>
              <w:spacing w:after="0"/>
              <w:rPr>
                <w:sz w:val="20"/>
                <w:szCs w:val="20"/>
                <w:color w:val="auto"/>
              </w:rPr>
            </w:pPr>
            <w:r>
              <w:rPr>
                <w:rFonts w:ascii="Arial" w:cs="Arial" w:eastAsia="Arial" w:hAnsi="Arial"/>
                <w:sz w:val="18"/>
                <w:szCs w:val="18"/>
                <w:color w:val="auto"/>
              </w:rPr>
              <w:t>Total letters of credit</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$2,387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Surety bonds:</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Issued by consolidated variable interest entity</w:t>
            </w:r>
          </w:p>
        </w:tc>
        <w:tc>
          <w:tcPr>
            <w:tcW w:w="1400" w:type="dxa"/>
            <w:vAlign w:val="bottom"/>
          </w:tcPr>
          <w:p>
            <w:pPr>
              <w:spacing w:after="0"/>
              <w:rPr>
                <w:sz w:val="18"/>
                <w:szCs w:val="18"/>
                <w:color w:val="auto"/>
              </w:rPr>
            </w:pPr>
          </w:p>
        </w:tc>
        <w:tc>
          <w:tcPr>
            <w:tcW w:w="1860" w:type="dxa"/>
            <w:vAlign w:val="bottom"/>
            <w:gridSpan w:val="4"/>
          </w:tcPr>
          <w:p>
            <w:pPr>
              <w:jc w:val="right"/>
              <w:ind w:right="1240"/>
              <w:spacing w:after="0"/>
              <w:rPr>
                <w:sz w:val="20"/>
                <w:szCs w:val="20"/>
                <w:color w:val="auto"/>
              </w:rPr>
            </w:pPr>
            <w:r>
              <w:rPr>
                <w:rFonts w:ascii="Arial" w:cs="Arial" w:eastAsia="Arial" w:hAnsi="Arial"/>
                <w:sz w:val="18"/>
                <w:szCs w:val="18"/>
                <w:color w:val="auto"/>
              </w:rPr>
              <w:t>220(d)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Issued by consolidated subsidiary</w:t>
            </w:r>
          </w:p>
        </w:tc>
        <w:tc>
          <w:tcPr>
            <w:tcW w:w="140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1260"/>
              <w:spacing w:after="0"/>
              <w:rPr>
                <w:sz w:val="20"/>
                <w:szCs w:val="20"/>
                <w:color w:val="auto"/>
              </w:rPr>
            </w:pPr>
            <w:r>
              <w:rPr>
                <w:rFonts w:ascii="Arial" w:cs="Arial" w:eastAsia="Arial" w:hAnsi="Arial"/>
                <w:sz w:val="18"/>
                <w:szCs w:val="18"/>
                <w:color w:val="auto"/>
              </w:rPr>
              <w:t>388(e)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Issued by affiliated entity</w:t>
            </w:r>
          </w:p>
        </w:tc>
        <w:tc>
          <w:tcPr>
            <w:tcW w:w="1400" w:type="dxa"/>
            <w:vAlign w:val="bottom"/>
          </w:tcPr>
          <w:p>
            <w:pPr>
              <w:spacing w:after="0"/>
              <w:rPr>
                <w:sz w:val="18"/>
                <w:szCs w:val="18"/>
                <w:color w:val="auto"/>
              </w:rPr>
            </w:pPr>
          </w:p>
        </w:tc>
        <w:tc>
          <w:tcPr>
            <w:tcW w:w="1860" w:type="dxa"/>
            <w:vAlign w:val="bottom"/>
            <w:gridSpan w:val="4"/>
          </w:tcPr>
          <w:p>
            <w:pPr>
              <w:jc w:val="right"/>
              <w:ind w:right="1280"/>
              <w:spacing w:after="0"/>
              <w:rPr>
                <w:sz w:val="20"/>
                <w:szCs w:val="20"/>
                <w:color w:val="auto"/>
              </w:rPr>
            </w:pPr>
            <w:r>
              <w:rPr>
                <w:rFonts w:ascii="Arial" w:cs="Arial" w:eastAsia="Arial" w:hAnsi="Arial"/>
                <w:sz w:val="18"/>
                <w:szCs w:val="18"/>
                <w:color w:val="auto"/>
                <w:w w:val="90"/>
              </w:rPr>
              <w:t>1,041(f)</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Issued by third party surety companies</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873</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4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40" w:type="dxa"/>
            <w:vAlign w:val="bottom"/>
            <w:gridSpan w:val="3"/>
          </w:tcPr>
          <w:p>
            <w:pPr>
              <w:ind w:left="1720"/>
              <w:spacing w:after="0"/>
              <w:rPr>
                <w:sz w:val="20"/>
                <w:szCs w:val="20"/>
                <w:color w:val="auto"/>
              </w:rPr>
            </w:pPr>
            <w:r>
              <w:rPr>
                <w:rFonts w:ascii="Arial" w:cs="Arial" w:eastAsia="Arial" w:hAnsi="Arial"/>
                <w:sz w:val="18"/>
                <w:szCs w:val="18"/>
                <w:color w:val="auto"/>
              </w:rPr>
              <w:t>Total surety bonds</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2,522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Insurance policies:</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Issued by consolidated subsidiary</w:t>
            </w:r>
          </w:p>
        </w:tc>
        <w:tc>
          <w:tcPr>
            <w:tcW w:w="1400" w:type="dxa"/>
            <w:vAlign w:val="bottom"/>
          </w:tcPr>
          <w:p>
            <w:pPr>
              <w:spacing w:after="0"/>
              <w:rPr>
                <w:sz w:val="18"/>
                <w:szCs w:val="18"/>
                <w:color w:val="auto"/>
              </w:rPr>
            </w:pPr>
          </w:p>
        </w:tc>
        <w:tc>
          <w:tcPr>
            <w:tcW w:w="1860" w:type="dxa"/>
            <w:vAlign w:val="bottom"/>
            <w:gridSpan w:val="4"/>
          </w:tcPr>
          <w:p>
            <w:pPr>
              <w:jc w:val="right"/>
              <w:ind w:right="1260"/>
              <w:spacing w:after="0"/>
              <w:rPr>
                <w:sz w:val="20"/>
                <w:szCs w:val="20"/>
                <w:color w:val="auto"/>
              </w:rPr>
            </w:pPr>
            <w:r>
              <w:rPr>
                <w:rFonts w:ascii="Arial" w:cs="Arial" w:eastAsia="Arial" w:hAnsi="Arial"/>
                <w:sz w:val="18"/>
                <w:szCs w:val="18"/>
                <w:color w:val="auto"/>
              </w:rPr>
              <w:t>833(e)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Issued by affiliated entity</w:t>
            </w:r>
          </w:p>
        </w:tc>
        <w:tc>
          <w:tcPr>
            <w:tcW w:w="1400" w:type="dxa"/>
            <w:vAlign w:val="bottom"/>
            <w:shd w:val="clear" w:color="auto" w:fill="EEEEEE"/>
          </w:tcPr>
          <w:p>
            <w:pPr>
              <w:spacing w:after="0"/>
              <w:rPr>
                <w:sz w:val="18"/>
                <w:szCs w:val="18"/>
                <w:color w:val="auto"/>
              </w:rPr>
            </w:pPr>
          </w:p>
        </w:tc>
        <w:tc>
          <w:tcPr>
            <w:tcW w:w="1860" w:type="dxa"/>
            <w:vAlign w:val="bottom"/>
            <w:gridSpan w:val="4"/>
            <w:shd w:val="clear" w:color="auto" w:fill="EEEEEE"/>
          </w:tcPr>
          <w:p>
            <w:pPr>
              <w:jc w:val="right"/>
              <w:ind w:right="1280"/>
              <w:spacing w:after="0"/>
              <w:rPr>
                <w:sz w:val="20"/>
                <w:szCs w:val="20"/>
                <w:color w:val="auto"/>
              </w:rPr>
            </w:pPr>
            <w:r>
              <w:rPr>
                <w:rFonts w:ascii="Arial" w:cs="Arial" w:eastAsia="Arial" w:hAnsi="Arial"/>
                <w:sz w:val="18"/>
                <w:szCs w:val="18"/>
                <w:color w:val="auto"/>
              </w:rPr>
              <w:t>17(f)</w:t>
            </w:r>
          </w:p>
        </w:tc>
        <w:tc>
          <w:tcPr>
            <w:tcW w:w="0" w:type="dxa"/>
            <w:vAlign w:val="bottom"/>
          </w:tcPr>
          <w:p>
            <w:pPr>
              <w:spacing w:after="0"/>
              <w:rPr>
                <w:sz w:val="1"/>
                <w:szCs w:val="1"/>
                <w:color w:val="auto"/>
              </w:rPr>
            </w:pPr>
          </w:p>
        </w:tc>
      </w:tr>
      <w:tr>
        <w:trPr>
          <w:trHeight w:val="108"/>
        </w:trPr>
        <w:tc>
          <w:tcPr>
            <w:tcW w:w="6440" w:type="dxa"/>
            <w:vAlign w:val="bottom"/>
            <w:gridSpan w:val="3"/>
            <w:vMerge w:val="restart"/>
          </w:tcPr>
          <w:p>
            <w:pPr>
              <w:ind w:left="1720"/>
              <w:spacing w:after="0"/>
              <w:rPr>
                <w:sz w:val="20"/>
                <w:szCs w:val="20"/>
                <w:color w:val="auto"/>
              </w:rPr>
            </w:pPr>
            <w:r>
              <w:rPr>
                <w:rFonts w:ascii="Arial" w:cs="Arial" w:eastAsia="Arial" w:hAnsi="Arial"/>
                <w:sz w:val="18"/>
                <w:szCs w:val="18"/>
                <w:color w:val="auto"/>
              </w:rPr>
              <w:t>Total insurance policies</w:t>
            </w:r>
          </w:p>
        </w:tc>
        <w:tc>
          <w:tcPr>
            <w:tcW w:w="1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850(g)</w:t>
            </w:r>
          </w:p>
        </w:tc>
        <w:tc>
          <w:tcPr>
            <w:tcW w:w="0" w:type="dxa"/>
            <w:vAlign w:val="bottom"/>
          </w:tcPr>
          <w:p>
            <w:pPr>
              <w:spacing w:after="0"/>
              <w:rPr>
                <w:sz w:val="1"/>
                <w:szCs w:val="1"/>
                <w:color w:val="auto"/>
              </w:rPr>
            </w:pPr>
          </w:p>
        </w:tc>
      </w:tr>
      <w:tr>
        <w:trPr>
          <w:trHeight w:val="316"/>
        </w:trPr>
        <w:tc>
          <w:tcPr>
            <w:tcW w:w="644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Funded trust and escrow agreements</w:t>
            </w:r>
          </w:p>
        </w:tc>
        <w:tc>
          <w:tcPr>
            <w:tcW w:w="1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205(h)</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Financial guarantees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140(i)</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financial assurance</w:t>
            </w:r>
          </w:p>
        </w:tc>
        <w:tc>
          <w:tcPr>
            <w:tcW w:w="30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$6,104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left="460" w:right="2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three-year, $650 million syndicated revolving credit facility and a five-year, $1.75 billion syndicated revolving credit facility. The three-year revolver matures in June 2005 and the five-year revolver matures in June 2006. At December 31, 2003, we had unused and available credit capacity of approximately $792 million under these revolving credit facilities.</w:t>
      </w:r>
    </w:p>
    <w:p>
      <w:pPr>
        <w:spacing w:after="0" w:line="221"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June 2003 we entered into a five-year, $15 million letter of credit and term loan agreement, a seven-year, $175 million letter of credit and term loan agreement, and a ten-year, $105 million letter of credit and term loan agreement, which expire in June 2008, 2010, and 2013, respectively (collectively, the “LC and term loan agreements”).</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2003 we entered into a five-year, $350 million letter of credit facility (the “letter of credit facility”).</w:t>
      </w:r>
    </w:p>
    <w:p>
      <w:pPr>
        <w:spacing w:after="0" w:line="25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$220 million of the surety bonds we had obtained at December 31, 2003 have been provided by a variable interest entity that we began consolidating during the third quarter of 2003. See Note 19 to the consolidated financial statements for discussion of this entity’s characteristics and our assessment of our interest in the entity under the provisions of FIN 46.</w:t>
      </w:r>
    </w:p>
    <w:p>
      <w:pPr>
        <w:spacing w:after="0" w:line="221" w:lineRule="exact"/>
        <w:rPr>
          <w:rFonts w:ascii="Arial" w:cs="Arial" w:eastAsia="Arial" w:hAnsi="Arial"/>
          <w:sz w:val="18"/>
          <w:szCs w:val="18"/>
          <w:color w:val="auto"/>
        </w:rPr>
      </w:pPr>
    </w:p>
    <w:p>
      <w:pPr>
        <w:ind w:left="460" w:right="160" w:hanging="452"/>
        <w:spacing w:after="0" w:line="335"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use surety bonds and insurance policies issued by a wholly-owned insurance subsidiary, National Guaranty Insurance Company of Vermont, the sole business of which is to issue financial assurance to the parent holding company and its other subsidiaries. National Guaranty Insurance Company is authorized to write up to $1.2 billion in surety bonds or insurance policies for our closure and post-closure requirements and waste collection contracts.</w:t>
      </w:r>
    </w:p>
    <w:p>
      <w:pPr>
        <w:spacing w:after="0" w:line="169" w:lineRule="exact"/>
        <w:rPr>
          <w:rFonts w:ascii="Arial" w:cs="Arial" w:eastAsia="Arial" w:hAnsi="Arial"/>
          <w:sz w:val="15"/>
          <w:szCs w:val="15"/>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use surety bonds and insurance policies issued by an affiliated entity, Evergreen National Indemnity Company, that we have an investment in but no controlling interest and as such is accounted for under the equity method.</w:t>
      </w:r>
    </w:p>
    <w:p>
      <w:pPr>
        <w:spacing w:after="0" w:line="21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states, insurance policies may be used as a form of financial assurance. As of December 31, 2003, approximately $850 million of our anticipated closure and post-closure obligations have been insured using this financial assurance mechanism.</w:t>
      </w:r>
    </w:p>
    <w:p>
      <w:pPr>
        <w:spacing w:after="0" w:line="212"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several of our landfills, we deposit cash into trust funds or escrow accounts that are legally restricted for purposes of settling closure, post-closure and remedial obligations. Balances maintained in these trust funds and escrow accounts will fluctuate based on (i) changes in statutory requirements; (ii) the ongoing use of funds for qualifying closure, post-closure and remedial activities; (iii) acquisitions or divestitures of landfills; and (iv) changes in the fair value of the underlying financial instruments.</w:t>
      </w:r>
    </w:p>
    <w:p>
      <w:pPr>
        <w:spacing w:after="0" w:line="224"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guarantees are provided on behalf of our subsidiaries to municipalities, customers and regulatory authorities. They are provided primarily to support our performance of landfill closure and post-closure activities.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8" w:right="319" w:bottom="796" w:gutter="0" w:footer="0" w:header="0"/>
        </w:sectPr>
      </w:pPr>
    </w:p>
    <w:bookmarkStart w:id="13" w:name="page14"/>
    <w:bookmarkEnd w:id="13"/>
    <w:p>
      <w:pPr>
        <w:ind w:right="100" w:firstLine="270"/>
        <w:spacing w:after="0" w:line="294" w:lineRule="auto"/>
        <w:rPr>
          <w:sz w:val="20"/>
          <w:szCs w:val="20"/>
          <w:color w:val="auto"/>
        </w:rPr>
      </w:pPr>
      <w:r>
        <w:rPr>
          <w:rFonts w:ascii="Arial" w:cs="Arial" w:eastAsia="Arial" w:hAnsi="Arial"/>
          <w:sz w:val="16"/>
          <w:szCs w:val="16"/>
          <w:color w:val="auto"/>
        </w:rPr>
        <w:t>The restricted funds held in our trust funds and escrow accounts may be drawn and used to meet the closure, post-closure and remedial obligations for which the trust and escrow agreements were established. Other than these permitted draws on funds, virtually no claims have been made against our financial assurance instruments in the past, and considering our current financial position, management does not expect that these instruments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Insurance</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also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workers compensation, auto and general liability insurance programs have per incident deductibles of $750,000, $20,000 and $2 million, respectively. Except as discussed in Notes 4 and 10 to the consolidated financial statements, we do not expect the impact of any known casualty, property, environmental or other contingency to be material to our financial condition,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Environmental Protection Agency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224" w:lineRule="exact"/>
        <w:rPr>
          <w:sz w:val="20"/>
          <w:szCs w:val="20"/>
          <w:color w:val="auto"/>
        </w:rPr>
      </w:pPr>
    </w:p>
    <w:p>
      <w:pPr>
        <w:ind w:right="20" w:firstLine="324"/>
        <w:spacing w:after="0" w:line="310" w:lineRule="auto"/>
        <w:rPr>
          <w:sz w:val="20"/>
          <w:szCs w:val="20"/>
          <w:color w:val="auto"/>
        </w:rPr>
      </w:pPr>
      <w:r>
        <w:rPr>
          <w:rFonts w:ascii="Arial" w:cs="Arial" w:eastAsia="Arial" w:hAnsi="Arial"/>
          <w:sz w:val="15"/>
          <w:szCs w:val="15"/>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or provincial and local provisions that regulate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necessary required permits and approvals. There cannot be any assurances that we will be able to obtain or maintain necessary governmental approvals. Once obtained, operating permits are subject to modification and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225" w:lineRule="exact"/>
        <w:rPr>
          <w:sz w:val="20"/>
          <w:szCs w:val="20"/>
          <w:color w:val="auto"/>
        </w:rPr>
      </w:pPr>
    </w:p>
    <w:p>
      <w:pPr>
        <w:ind w:left="460" w:right="180" w:hanging="101"/>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Resource Conservation and Recovery Act of 1976, as amended (“RCRA”), regulates handling, transporting and disposing of hazardous and non-hazardous wastes and delegates authority to states to develop programs to ensure the safe disposal of solid wastes.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We incur costs in complying with these standards in the ordinary course of our operations.</w:t>
      </w:r>
    </w:p>
    <w:p>
      <w:pPr>
        <w:spacing w:after="0" w:line="196" w:lineRule="exact"/>
        <w:rPr>
          <w:rFonts w:ascii="Arial" w:cs="Arial" w:eastAsia="Arial" w:hAnsi="Arial"/>
          <w:sz w:val="16"/>
          <w:szCs w:val="16"/>
          <w:color w:val="auto"/>
        </w:rPr>
      </w:pPr>
    </w:p>
    <w:p>
      <w:pPr>
        <w:ind w:left="460" w:right="20" w:hanging="101"/>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is also known as Superfund (“CERCLA”), provides for federal authority to respond directly to releases or threatened releases of hazardous substances into the environment. CERCLA’s primary means for avoiding such releases is to impose liability for cleanup of disposal sites on current and former owners and operators, generators of the waste and transporters who select the disposal site.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14" w:name="page15"/>
    <w:bookmarkEnd w:id="14"/>
    <w:p>
      <w:pPr>
        <w:ind w:left="460" w:right="120"/>
        <w:spacing w:after="0" w:line="259" w:lineRule="auto"/>
        <w:rPr>
          <w:sz w:val="20"/>
          <w:szCs w:val="20"/>
          <w:color w:val="auto"/>
        </w:rPr>
      </w:pPr>
      <w:r>
        <w:rPr>
          <w:rFonts w:ascii="Arial" w:cs="Arial" w:eastAsia="Arial" w:hAnsi="Arial"/>
          <w:sz w:val="18"/>
          <w:szCs w:val="18"/>
          <w:color w:val="auto"/>
        </w:rPr>
        <w:t>Liability under CERCLA is not dependent on the intentional disposal of hazardous wastes; it can be based upon the release or threatened release even as a result of lawful, unintentional and non-negligent action, of any one of the more than 700 “hazardous substances” listed by the EPA, even in very small quantities.</w:t>
      </w:r>
    </w:p>
    <w:p>
      <w:pPr>
        <w:spacing w:after="0" w:line="221" w:lineRule="exact"/>
        <w:rPr>
          <w:sz w:val="20"/>
          <w:szCs w:val="20"/>
          <w:color w:val="auto"/>
        </w:rPr>
      </w:pPr>
    </w:p>
    <w:p>
      <w:pPr>
        <w:ind w:left="460" w:right="20" w:hanging="101"/>
        <w:spacing w:after="0" w:line="289"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Water Pollution Control Act of 1972 (the “Clean Water Act”) regulates the discharge of pollutants into streams, rivers, groundwater, or other surface waters from a variety of sources, including solid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from landfills that require landfills to obtain storm water discharge permits. In addition, if a landfill or a transfer station discharges wastewater through a sewage system to a publicly-owned treatment works, the facility must comply with discharge limits imposed by the treatment works. Also, before development or expansion of a landfill may alter or affect “wetlands,” a permit may have to be obtained. The Clean Water Act provides for civil, criminal and administrative penalties for violations of its provisions.</w:t>
      </w:r>
    </w:p>
    <w:p>
      <w:pPr>
        <w:spacing w:after="0" w:line="199" w:lineRule="exact"/>
        <w:rPr>
          <w:rFonts w:ascii="Arial" w:cs="Arial" w:eastAsia="Arial" w:hAnsi="Arial"/>
          <w:sz w:val="16"/>
          <w:szCs w:val="16"/>
          <w:color w:val="auto"/>
        </w:rPr>
      </w:pPr>
    </w:p>
    <w:p>
      <w:pPr>
        <w:ind w:left="460" w:right="40" w:hanging="101"/>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Clean Air Act of 1970, as amended, provides for increased federal, state and local regulation of the emission of air pollutants. The EPA has applied the Clean Air Act to certain of our operations, including solid waste landfills and waste collection vehicles. Additionally, in 1996 the EPA issued new source performance standards for new landfills and emission guidelines for existing landfills to control emissions of landfill gases. The regulations impose limits on air emissions from solid waste landfills, subject most of our solid waste landfills to certain permitting requirements and, in some instances, require installation of methane gas recovery systems to reduce emissions to allowable limits. We currently are producing commercial quantities of methane gas at 85 of our solid waste landfills.</w:t>
      </w:r>
    </w:p>
    <w:p>
      <w:pPr>
        <w:spacing w:after="0" w:line="225"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record keeping, disclosures and procedural requirements. Various standards for notices of hazards, safety in excavation and demolition work, and the handling of asbestos, may apply to our operations.</w:t>
      </w:r>
    </w:p>
    <w:p>
      <w:pPr>
        <w:spacing w:after="0" w:line="224" w:lineRule="exact"/>
        <w:rPr>
          <w:sz w:val="20"/>
          <w:szCs w:val="20"/>
          <w:color w:val="auto"/>
        </w:rPr>
      </w:pPr>
    </w:p>
    <w:p>
      <w:pPr>
        <w:ind w:right="460" w:firstLine="324"/>
        <w:spacing w:after="0" w:line="335" w:lineRule="auto"/>
        <w:rPr>
          <w:sz w:val="20"/>
          <w:szCs w:val="20"/>
          <w:color w:val="auto"/>
        </w:rPr>
      </w:pPr>
      <w:r>
        <w:rPr>
          <w:rFonts w:ascii="Arial" w:cs="Arial" w:eastAsia="Arial" w:hAnsi="Arial"/>
          <w:sz w:val="15"/>
          <w:szCs w:val="15"/>
          <w:color w:val="auto"/>
        </w:rPr>
        <w:t>There are also various state or provincial and local regulations that affect our operations. Sometimes states’ regulations are more strict than comparable federal laws and regulations. Additionally, our collection and landfill operations could be affected by the trend toward requiring the development of waste reduction and recycling programs, and legislative and regulatory measures requiring or encouraging waste reduction at the source and waste recycling.</w:t>
      </w:r>
    </w:p>
    <w:p>
      <w:pPr>
        <w:spacing w:after="0" w:line="16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was unconstitutional. However, other courts have refused to apply the Supreme Court precedent in various circumstances. In addition, from time to time, the United States Congress has considered legislation authorizing states to adopt regulations, restrictions, or taxes on the importation of out-of-state or out-of-jurisdiction waste. These congressional efforts have to date been unsuccessful. The United States Congress’ adoption of legislation allowing restrictions on interstate transportation of out-of-state or out-of-jurisdiction waste or certain types of flow control, the adoption of legislation affecting interstate transportation of waste at the state level, or the courts’ interpretation or validation of flow control legislation could adversely affect our solid waste management services.</w:t>
      </w:r>
    </w:p>
    <w:p>
      <w:pPr>
        <w:spacing w:after="0" w:line="20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Many states, provinces and local jurisdictions have enacted “fitness” laws that allow the agencies that have jurisdiction over waste services contracts or permits to deny or revoke these contracts or permits based on the applicant or permit holder’s compliance history. Some states, provinces and local jurisdictions go further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 w:name="page16"/>
    <w:bookmarkEnd w:id="15"/>
    <w:p>
      <w:pPr>
        <w:ind w:right="40"/>
        <w:spacing w:after="0" w:line="256" w:lineRule="auto"/>
        <w:rPr>
          <w:sz w:val="20"/>
          <w:szCs w:val="20"/>
          <w:color w:val="auto"/>
        </w:rPr>
      </w:pPr>
      <w:r>
        <w:rPr>
          <w:rFonts w:ascii="Arial" w:cs="Arial" w:eastAsia="Arial" w:hAnsi="Arial"/>
          <w:sz w:val="18"/>
          <w:szCs w:val="18"/>
          <w:color w:val="auto"/>
        </w:rPr>
        <w:t>and consider the compliance history of the parent, subsidiaries or affiliated companies, in addition to the applicant or permit 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22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See Note 4 to the consolidated financial statements for disclosures relating to our current assessments of the impact of regulations on our current and future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Influencing Future Results and Accuracy of Forward-Looking Statements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w:t>
      </w:r>
    </w:p>
    <w:p>
      <w:pPr>
        <w:spacing w:after="0" w:line="19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Outlined below are some of the risks that we face and that could affect our business and financial position for 2004 and beyond. However, they are not the only risks that we face. There may be additional risks that we do not presently know of or that we currently believe are immaterial which could also impair our business and financial position.</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could be liable for environmental damages resulting from our operations</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could be liable if our operations cause environmental damage to our properties or to the property of other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 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172" w:lineRule="exact"/>
        <w:rPr>
          <w:sz w:val="20"/>
          <w:szCs w:val="20"/>
          <w:color w:val="auto"/>
        </w:rPr>
      </w:pPr>
    </w:p>
    <w:p>
      <w:pPr>
        <w:ind w:left="460" w:right="460" w:hanging="101"/>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12" w:lineRule="exact"/>
        <w:rPr>
          <w:rFonts w:ascii="Arial" w:cs="Arial" w:eastAsia="Arial" w:hAnsi="Arial"/>
          <w:sz w:val="18"/>
          <w:szCs w:val="18"/>
          <w:color w:val="auto"/>
        </w:rPr>
      </w:pPr>
    </w:p>
    <w:p>
      <w:pPr>
        <w:ind w:left="460" w:right="580" w:hanging="101"/>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adverse outcome of one or more of these proceedings could result in, among other things, material increases in our liabilities.</w:t>
      </w:r>
    </w:p>
    <w:p>
      <w:pPr>
        <w:spacing w:after="0" w:line="252"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From time to time, we have received citations or notices from governmental authorities that our operations are not in compliance with our permits or certain environmental or land use laws and regulations. In the future we may receive additional citations or notices. We generally seek to work with the authorities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6" w:name="page17"/>
    <w:bookmarkEnd w:id="16"/>
    <w:p>
      <w:pPr>
        <w:ind w:right="400"/>
        <w:spacing w:after="0" w:line="268" w:lineRule="auto"/>
        <w:rPr>
          <w:sz w:val="20"/>
          <w:szCs w:val="20"/>
          <w:color w:val="auto"/>
        </w:rPr>
      </w:pPr>
      <w:r>
        <w:rPr>
          <w:rFonts w:ascii="Arial" w:cs="Arial" w:eastAsia="Arial" w:hAnsi="Arial"/>
          <w:sz w:val="18"/>
          <w:szCs w:val="18"/>
          <w:color w:val="auto"/>
        </w:rPr>
        <w:t>resolve the issues raised by these citations or notices. If we are not successful in these resolutions, we may incur fines, penalties or other sanctions that could result in material unanticipated costs or liabilities.</w:t>
      </w:r>
    </w:p>
    <w:p>
      <w:pPr>
        <w:spacing w:after="0" w:line="213"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The amount of insurance required to be maintained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but are aware of recent decreases in the availability and increases in the cost of financial assurance. We do not anticipate any unmanageable difficulty in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Governmental regulations or levies may restrict our operations or increase our costs of operations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197"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or processing facilities or expanding existing facilities;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mandates regarding the disposal of solid waste.</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Regulations also affect the siting, design and closure of landfills and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operations.</w:t>
      </w:r>
    </w:p>
    <w:p>
      <w:pPr>
        <w:spacing w:after="0" w:line="200" w:lineRule="exact"/>
        <w:rPr>
          <w:sz w:val="20"/>
          <w:szCs w:val="20"/>
          <w:color w:val="auto"/>
        </w:rPr>
      </w:pPr>
    </w:p>
    <w:p>
      <w:pPr>
        <w:spacing w:after="0" w:line="237" w:lineRule="exact"/>
        <w:rPr>
          <w:sz w:val="20"/>
          <w:szCs w:val="20"/>
          <w:color w:val="auto"/>
        </w:rPr>
      </w:pPr>
    </w:p>
    <w:p>
      <w:pPr>
        <w:ind w:left="360" w:right="320"/>
        <w:spacing w:after="0" w:line="268" w:lineRule="auto"/>
        <w:rPr>
          <w:sz w:val="20"/>
          <w:szCs w:val="20"/>
          <w:color w:val="auto"/>
        </w:rPr>
      </w:pPr>
      <w:r>
        <w:rPr>
          <w:rFonts w:ascii="Arial" w:cs="Arial" w:eastAsia="Arial" w:hAnsi="Arial"/>
          <w:sz w:val="18"/>
          <w:szCs w:val="18"/>
          <w:b w:val="1"/>
          <w:bCs w:val="1"/>
          <w:i w:val="1"/>
          <w:iCs w:val="1"/>
          <w:color w:val="auto"/>
        </w:rPr>
        <w:t>The possibility of disposal site developments, expansion projects or pending acquisitions not being completed or certain other events could result in a material charge against our earnings</w:t>
      </w:r>
    </w:p>
    <w:p>
      <w:pPr>
        <w:spacing w:after="0" w:line="21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accordance with generally accepted accounting principles, we capitalize certain expenditures and advances relating to disposal site development, expansion projects and acquisitions. We expense indirect acquisition costs as incurred, such as executive salaries, general corporate overhead, public affairs and other corporate services. Our policy is to charge against earnings any unamortized capitalized expenditures and advances relating to any facility or operation that is permanently shut down or determined to be impaired, any pending acquisition that is not consummated and any disposal site development or expansion project that is not completed or determined to be impaired. The charge against earnings is reduced by any portion of the capitalized expenditures and advances that we estimate will be recoverable, through sale or otherwise.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7" w:name="page18"/>
    <w:bookmarkEnd w:id="17"/>
    <w:p>
      <w:pPr>
        <w:jc w:val="both"/>
        <w:ind w:right="60"/>
        <w:spacing w:after="0" w:line="259" w:lineRule="auto"/>
        <w:rPr>
          <w:sz w:val="20"/>
          <w:szCs w:val="20"/>
          <w:color w:val="auto"/>
        </w:rPr>
      </w:pPr>
      <w:r>
        <w:rPr>
          <w:rFonts w:ascii="Arial" w:cs="Arial" w:eastAsia="Arial" w:hAnsi="Arial"/>
          <w:sz w:val="18"/>
          <w:szCs w:val="18"/>
          <w:color w:val="auto"/>
        </w:rPr>
        <w:t>future periods, we may be required to incur charges against earnings in accordance with this policy, or due to other events that cause impairments. Depending on the magnitude, any such charges could have a material adverse effect on our results of operations and possibly our ability to meet the financial covenants in our credit arrangements, which could negatively affect our liquidity.</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development and acceptance of alternatives to landfill disposal and waste-to-energy facilities could reduce our ability to operate at full capacity</w:t>
      </w:r>
    </w:p>
    <w:p>
      <w:pPr>
        <w:spacing w:after="0" w:line="287"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Our customers are increasingly using alternatives to landfill disposal, such as recycling and composting. In addition, some state and local governments mandate recycling and waste reduction at the source and prohibit the disposal of certain types of wastes, such as yard wastes,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business is seasonal in nature and our revenues and results vary from quarter-to-quarter</w:t>
      </w:r>
    </w:p>
    <w:p>
      <w:pPr>
        <w:spacing w:after="0" w:line="252"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are adversely affected by these seasonal changes. In addition, particularly harsh weather conditions may result in the temporary suspension of certain of our operations.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Fluctuations in commodity prices affect our operating revenues</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recycling operations process for sale certain recyclable materials, including fibers, aluminum and glass, all of which are subject to significant price fluctuations. The majority of the recyclables that we process for sale are fibers, including old corrugated cardboard (“OCC”), and old newsprint (“ONP”). We enter into commodity price derivatives in an effort to mitigate some of the variability in cash flows from the sales of fibers at floating prices. In the past three years, the year-over-year changes in the quarterly average market prices for OCC ranged from a decrease of as much as 66% to an increase of as much as 131%. The same comparisons for ONP have ranged from a decrease of as much as 48% to an increase of as much as 64%. These fluctuations can affect future operating income and cash flows.</w:t>
      </w:r>
    </w:p>
    <w:p>
      <w:pPr>
        <w:spacing w:after="0" w:line="225"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 operations. Our landfill gas recovery and waste-to-energy operations generally enter into long-term sales agreements. Therefore, market fluctuations do not have a significant effect on these operations in the short-term. However, revenues from our independent power production plants can be effected by price fluctuations. In the past two years, the year-over-year changes in the average quarterly electricity prices have ranged from increases of as much as 7% to decreases of as much as 39%.</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uncertainties relating to pending litigation and investigations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and some of our subsidiaries are also currently involved in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Intense competition could reduce our profitability</w:t>
      </w:r>
    </w:p>
    <w:p>
      <w:pPr>
        <w:spacing w:after="0" w:line="25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8" w:name="page19"/>
    <w:bookmarkEnd w:id="18"/>
    <w:p>
      <w:pPr>
        <w:ind w:right="160"/>
        <w:spacing w:after="0" w:line="256" w:lineRule="auto"/>
        <w:rPr>
          <w:sz w:val="20"/>
          <w:szCs w:val="20"/>
          <w:color w:val="auto"/>
        </w:rPr>
      </w:pPr>
      <w:r>
        <w:rPr>
          <w:rFonts w:ascii="Arial" w:cs="Arial" w:eastAsia="Arial" w:hAnsi="Arial"/>
          <w:sz w:val="18"/>
          <w:szCs w:val="18"/>
          <w:color w:val="auto"/>
        </w:rPr>
        <w:t>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contracts.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management’s attention and increase our operating expenses</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any labor disruptions, our operating expenses could increase significantly, which could adversely affect our financial condition, results of operations and cash flows.</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Fluctuations in fuel costs could affect our operating expenses</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risks relating to general economic conditions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operations and cash flows.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need additional capital</w:t>
      </w:r>
    </w:p>
    <w:p>
      <w:pPr>
        <w:spacing w:after="0" w:line="252"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We currently expect to meet our anticipated cash needs for capital expenditures, acquisitions and other cash expenditures with our cash flows from operations and, to the extent necessary, additional financings. However, our Board of Directors approved a stock repurchase program pursuant to which we may, at management’s discretion, repurchase up to $1 billion of our common stock in 2004. Our Board of Directors also initiated a quarterly dividend, which resulted in the declaration of an $0.1875 per share dividend for the first quarter of 2004. If our cash flows from operations are less than is currently expected, or our capital expenditures or acquisitions increase, we may elect to incur more indebtedness or decrease share repurchase activity. However, there can be no assurances that we will be able to obtain additional financings on acceptable terms. In these circumstances, we would likely use our revolving credit facilities to meet our cash needs.</w:t>
      </w:r>
    </w:p>
    <w:p>
      <w:pPr>
        <w:spacing w:after="0" w:line="186"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Our credit facilities require us to comply with certain financial ratios.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9" w:name="page20"/>
    <w:bookmarkEnd w:id="19"/>
    <w:p>
      <w:pPr>
        <w:ind w:right="280"/>
        <w:spacing w:after="0" w:line="268" w:lineRule="auto"/>
        <w:rPr>
          <w:sz w:val="20"/>
          <w:szCs w:val="20"/>
          <w:color w:val="auto"/>
        </w:rPr>
      </w:pPr>
      <w:r>
        <w:rPr>
          <w:rFonts w:ascii="Arial" w:cs="Arial" w:eastAsia="Arial" w:hAnsi="Arial"/>
          <w:sz w:val="18"/>
          <w:szCs w:val="18"/>
          <w:color w:val="auto"/>
        </w:rPr>
        <w:t>borrowings immediately due and payable, which we may not be able to pay in full. Default under our credit agreements or unavailability of this capital source could have a material adverse effect on our ability to meet our borrowing and bonding needs.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experience possible errors or problems upon implementation of new information technology systems</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Upon implementation of new information technology systems, we may experience problems that could adversely affect, or even temporarily disrupt, all or a portion of our operations until resolved.</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We may experience adverse impacts on our results of operations as a result of adopting new accounting standards or interpretations</w:t>
      </w:r>
    </w:p>
    <w:p>
      <w:pPr>
        <w:spacing w:after="0" w:line="275"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Our implementation of and compliance with changes in accounting rules, including new accounting rules and interpretations, could adversely affect our operating results or cause unanticipated fluctuations in our operating results in future periods.</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principal executive offices are in Houston, Texas, where we lease approximately 400,000 square feet under leases expiring at various times through 2010. We also have U.S. field-based administrative offices in Arizona, Illinois, Pennsylvania, New Hampshire and Georgia and a field-based administrative office in Ontario, Canada.</w:t>
      </w:r>
    </w:p>
    <w:p>
      <w:pPr>
        <w:spacing w:after="0" w:line="221" w:lineRule="exact"/>
        <w:rPr>
          <w:sz w:val="20"/>
          <w:szCs w:val="20"/>
          <w:color w:val="auto"/>
        </w:rPr>
      </w:pPr>
    </w:p>
    <w:p>
      <w:pPr>
        <w:jc w:val="both"/>
        <w:ind w:right="140" w:firstLine="324"/>
        <w:spacing w:after="0" w:line="306" w:lineRule="auto"/>
        <w:rPr>
          <w:sz w:val="20"/>
          <w:szCs w:val="20"/>
          <w:color w:val="auto"/>
        </w:rPr>
      </w:pPr>
      <w:r>
        <w:rPr>
          <w:rFonts w:ascii="Arial" w:cs="Arial" w:eastAsia="Arial" w:hAnsi="Arial"/>
          <w:sz w:val="16"/>
          <w:szCs w:val="16"/>
          <w:color w:val="auto"/>
        </w:rPr>
        <w:t>Our principal property and equipment consist of land (primarily landfills and other disposal facilities, transfer stations and bases for collection operations), buildings, and vehicles and equipment. We own or lease real property in most locations where we have operations. We have operations in each of the fifty states other than Montana and Wyoming. We also have operations in the District of Columbia, Puerto Rico and throughout Canada.</w:t>
      </w:r>
    </w:p>
    <w:p>
      <w:pPr>
        <w:spacing w:after="0" w:line="18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At December 31, 2003, of our 289 active landfills, 247 were either owned or operated through lease agreements. These sites occupy approximately 134,900 acres of land, including approximately 33,500 permitted acres and approximately 6,000 acres we consider to be probable expansion acreage for landfill use. Our remaining 42 landfills were operated through contractual agreements, primarily with municipalities. At December 31, 2003, we operated 366 transfer stations, 138 material recovery facilities and 16 secondary processing facilities. We also owned or operated 17 waste-to-energy facilities and six independent power production plants as of December 31, 2003.</w:t>
      </w:r>
    </w:p>
    <w:p>
      <w:pPr>
        <w:spacing w:after="0" w:line="224"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 xml:space="preserve">We believe that our vehicles, equipment, and operating properties are adequately maintained and adequate for our current operations. However, we expect to continue to make investments in additional equipment and property for expansion, for replacement of assets, and in connection with future acquisitions. For more information, see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within this report.</w:t>
      </w:r>
    </w:p>
    <w:p>
      <w:pPr>
        <w:spacing w:after="0" w:line="3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Information regarding our legal proceedings can be found under the “Litigation” section of Note 10 in the consolidated financial statements included in this report.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0" w:name="page21"/>
    <w:bookmarkEnd w:id="20"/>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submit any matters to a vote of our stockholders during the fourth quarter of 2003.</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and Related Stockholder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Our common stock is traded on the New York Stock Exchange (“NYSE”) under the symbol “WMI.” The following table sets forth the range of the high and low per share sales prices for our common stock as reported on the NYSE.</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2002</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$31.25</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28.89</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26.42</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25.20</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2003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$24.55</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26.03</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26.93</w:t>
            </w:r>
          </w:p>
        </w:tc>
        <w:tc>
          <w:tcPr>
            <w:tcW w:w="10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29.72</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First Quarter (through February 12, 2004)</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$30.10</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On February 12, 2004, the closing sale price as reported on the NYSE was $29.39 per share. The number of holders of record of our common stock at February 12, 2004 was 19,555.</w:t>
      </w:r>
    </w:p>
    <w:p>
      <w:pPr>
        <w:spacing w:after="0" w:line="21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declared and paid cash dividends of $0.01 per share, or approximately $6 million, during each of 2001, 2002 and 2003. In August 2003, we announced that our Board of Directors approved a quarterly dividend program beginning in 2004. We declared our first quarterly dividend of $0.1875 per share, which will be paid March 25, 2004 to stockholders of record as of March 1, 2004. See Note 14 to the consolidated financial statements for a discussion of restrictions that limit our ability to pay dividends.</w:t>
      </w:r>
    </w:p>
    <w:p>
      <w:pPr>
        <w:spacing w:after="0" w:line="2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for each of 2002, 2003 and 2004, to be implemented at management’s discretion. The purchases may be made in either open market or privately negotiated transactions. We repurchased approximately 38 million shares for approximately $1 billion and 22 million shares for approximately $574 million during 2002 and 2003, respectively. Share repurchases in 2003 were less than the $1 billion allowed because we used funds that would have otherwise been available for this program to settle our securities class action lawsuit and for our acquisition program. See Note 14 to the consolidated financial statements for further discussion of our share repurchases.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79" w:right="299" w:bottom="1440" w:gutter="0" w:footer="0" w:header="0"/>
        </w:sectPr>
      </w:pPr>
    </w:p>
    <w:bookmarkStart w:id="21" w:name="page22"/>
    <w:bookmarkEnd w:id="21"/>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information below was derived from the audited consolidated financial statements included in this report and in reports we have previously filed with the SEC. This information should be read together with those consolidated financial statements and the notes to the consolidated financial statements.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2003(a)</w:t>
            </w:r>
          </w:p>
        </w:tc>
        <w:tc>
          <w:tcPr>
            <w:tcW w:w="280" w:type="dxa"/>
            <w:vAlign w:val="bottom"/>
          </w:tcPr>
          <w:p>
            <w:pPr>
              <w:spacing w:after="0"/>
              <w:rPr>
                <w:sz w:val="22"/>
                <w:szCs w:val="22"/>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2002(a)</w:t>
            </w:r>
          </w:p>
        </w:tc>
        <w:tc>
          <w:tcPr>
            <w:tcW w:w="280" w:type="dxa"/>
            <w:vAlign w:val="bottom"/>
          </w:tcPr>
          <w:p>
            <w:pPr>
              <w:spacing w:after="0"/>
              <w:rPr>
                <w:sz w:val="22"/>
                <w:szCs w:val="22"/>
                <w:color w:val="auto"/>
              </w:rPr>
            </w:pPr>
          </w:p>
        </w:tc>
        <w:tc>
          <w:tcPr>
            <w:tcW w:w="1380" w:type="dxa"/>
            <w:vAlign w:val="bottom"/>
            <w:gridSpan w:val="5"/>
          </w:tcPr>
          <w:p>
            <w:pPr>
              <w:ind w:left="280"/>
              <w:spacing w:after="0"/>
              <w:rPr>
                <w:sz w:val="20"/>
                <w:szCs w:val="20"/>
                <w:color w:val="auto"/>
              </w:rPr>
            </w:pPr>
            <w:r>
              <w:rPr>
                <w:rFonts w:ascii="Arial" w:cs="Arial" w:eastAsia="Arial" w:hAnsi="Arial"/>
                <w:sz w:val="14"/>
                <w:szCs w:val="14"/>
                <w:b w:val="1"/>
                <w:bCs w:val="1"/>
                <w:color w:val="auto"/>
              </w:rPr>
              <w:t>2001(a)</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2000(b)</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1999(c)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86"/>
              </w:rPr>
              <w:t>(In millions, except per share amounts)</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11,574</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11,142</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12,492</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13,127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Operating (exclusive of depreciation and amortization</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400"/>
              <w:spacing w:after="0"/>
              <w:rPr>
                <w:sz w:val="20"/>
                <w:szCs w:val="20"/>
                <w:color w:val="auto"/>
              </w:rPr>
            </w:pPr>
            <w:r>
              <w:rPr>
                <w:rFonts w:ascii="Arial" w:cs="Arial" w:eastAsia="Arial" w:hAnsi="Arial"/>
                <w:sz w:val="18"/>
                <w:szCs w:val="18"/>
                <w:color w:val="auto"/>
              </w:rPr>
              <w:t>shown below)</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7,517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6,880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6,666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8,269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1,392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1,738</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Merger, acquisition and restructuring related costs</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Asset impairments and unusual items</w:t>
            </w: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3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10,034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9,498</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10,039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11,454</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12,587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Minority interest</w:t>
            </w:r>
          </w:p>
        </w:tc>
        <w:tc>
          <w:tcPr>
            <w:tcW w:w="3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(loss) before income taxes and accounting changes</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(loss) before accounting changes</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Accounting changes, net of taxes</w:t>
            </w: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(97)</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105"/>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Income (loss) before accounting changes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(0.16)</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Accounting changes, net of taxes</w:t>
            </w: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(0.16)</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05"/>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Income (loss) before accounting changes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(0.16)</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Accounting changes, net of taxes</w:t>
            </w:r>
          </w:p>
        </w:tc>
        <w:tc>
          <w:tcPr>
            <w:tcW w:w="3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(0.16)</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05"/>
        </w:trPr>
        <w:tc>
          <w:tcPr>
            <w:tcW w:w="2080" w:type="dxa"/>
            <w:vAlign w:val="bottom"/>
            <w:gridSpan w:val="2"/>
          </w:tcPr>
          <w:p>
            <w:pPr>
              <w:spacing w:after="0"/>
              <w:rPr>
                <w:sz w:val="9"/>
                <w:szCs w:val="9"/>
                <w:color w:val="auto"/>
              </w:rPr>
            </w:pPr>
          </w:p>
        </w:tc>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gridSpan w:val="2"/>
          </w:tcPr>
          <w:p>
            <w:pPr>
              <w:spacing w:after="0"/>
              <w:rPr>
                <w:sz w:val="5"/>
                <w:szCs w:val="5"/>
                <w:color w:val="auto"/>
              </w:rPr>
            </w:pPr>
          </w:p>
        </w:tc>
        <w:tc>
          <w:tcPr>
            <w:tcW w:w="3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3"/>
          </w:tcPr>
          <w:p>
            <w:pPr>
              <w:spacing w:after="0"/>
              <w:rPr>
                <w:sz w:val="20"/>
                <w:szCs w:val="20"/>
                <w:color w:val="auto"/>
              </w:rPr>
            </w:pPr>
            <w:r>
              <w:rPr>
                <w:rFonts w:ascii="Arial" w:cs="Arial" w:eastAsia="Arial" w:hAnsi="Arial"/>
                <w:sz w:val="18"/>
                <w:szCs w:val="18"/>
                <w:color w:val="auto"/>
              </w:rPr>
              <w:t>Cash dividends per common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(744)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Goodwill and other intangible assets, net</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5,422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5,184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5,193</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Total assets(d)</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20,656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19,856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19,490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18,565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Debt, including current portion</w:t>
            </w: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8,511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8,293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8,485</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11,498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5,392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4,402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808080"/>
            </w:tcBorders>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500" w:hanging="452"/>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For more information regarding this financial data, see the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section included in this report. For disclosures associated with the impact of the adoption of new accounting pronouncements and changes in our accounting policies on the comparability of this information, see Notes 2 and 6 of the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35" w:right="239" w:bottom="0"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ind w:left="452" w:right="620" w:hanging="452"/>
        <w:spacing w:after="0" w:line="268" w:lineRule="auto"/>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2000, we incurred $749 million in asset impairment and unusual item costs due primarily to the sale of our international operations and the termination of Waste Management Holdings’ defined benefit plan.</w:t>
      </w:r>
    </w:p>
    <w:p>
      <w:pPr>
        <w:spacing w:after="0" w:line="212" w:lineRule="exact"/>
        <w:rPr>
          <w:rFonts w:ascii="Arial" w:cs="Arial" w:eastAsia="Arial" w:hAnsi="Arial"/>
          <w:sz w:val="18"/>
          <w:szCs w:val="18"/>
          <w:color w:val="auto"/>
        </w:rPr>
      </w:pPr>
    </w:p>
    <w:p>
      <w:pPr>
        <w:ind w:left="452" w:hanging="452"/>
        <w:spacing w:after="0" w:line="294"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1999, we initiated a comprehensive internal review of our accounting records, systems, processes and controls at the direction of our Board of Directors. We experienced significant difficulty in the integration and conversion of information and accounting systems subsequent to the 1998 merger in which WM Holdings became our subsidiary. As a result of these systems and process issues, and other issues raised during the 1999 accounting review, we recorded $1.2 billion in after-tax charges. These charges had a pervasive impact on the December 31, 1999 Statement of Operations. See our Annual Report on Form 10-K for the year ended December 31, 1999 for further discussion.</w:t>
      </w:r>
    </w:p>
    <w:p>
      <w:pPr>
        <w:spacing w:after="0" w:line="196" w:lineRule="exact"/>
        <w:rPr>
          <w:rFonts w:ascii="Arial" w:cs="Arial" w:eastAsia="Arial" w:hAnsi="Arial"/>
          <w:sz w:val="16"/>
          <w:szCs w:val="16"/>
          <w:color w:val="auto"/>
        </w:rPr>
      </w:pPr>
    </w:p>
    <w:p>
      <w:pPr>
        <w:ind w:left="452" w:right="60" w:hanging="452"/>
        <w:spacing w:after="0" w:line="298" w:lineRule="auto"/>
        <w:tabs>
          <w:tab w:leader="none" w:pos="4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discussed in Note 2 of our consolidated financial statements we changed our classification of estimated insurance recoveries beginning December 31, 2003. In our December 31, 2002 balance sheet, we have reclassified approximately $225 million of estimated insurance recoveries in order to conform the prior year’s presentation of our assets and liabilities with the current year’s presentation. We did not make similar reclassifications in the balance sheets of any period before 2002 because we determined that the reclassification did not materially impact the financial information presented.</w:t>
      </w:r>
    </w:p>
    <w:p>
      <w:pPr>
        <w:spacing w:after="0" w:line="16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185" w:right="279" w:bottom="1440" w:gutter="0" w:footer="0" w:header="0"/>
        </w:sectPr>
      </w:pPr>
    </w:p>
    <w:bookmarkStart w:id="24" w:name="page25"/>
    <w:bookmarkEnd w:id="24"/>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8"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Below is a discussion of our operations for the three years ended December 31, 2003. This discussion may contain forward-looking statements that anticipate results based on management’s plans that are subject to uncertainty. We discuss in more detail various factors that could cause actual results to differ from expectations in Item 1 of this report, under the section “Factors Influencing Future Results and Accuracy of Forward-Looking Statements.” The following discussion should be read in light of that disclosure and together with the consolidated financial statements and the notes to the consolidated financial statements.</w:t>
      </w:r>
    </w:p>
    <w:p>
      <w:pPr>
        <w:spacing w:after="0" w:line="39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in an industry that provides an essential service needed by nearly every business and person. Our success depends on our ability to focus on our core business, operational excellence and financial strength and flexibility. In 2003, we continued to build financial strength by meeting our goal of producing adjusted free cash flow in the range of $900 million to $1 billion. Free cash flow is not a financial measure computed in accordance with generally accepted accounting principles. However, we include it in our communications to stockholders because we believe that the amount of cash we produce from our non-financing activities that is available to us for such things as acquisitions, share repurchases, debt reductions and dividends is important in evaluating our performance, including meeting our goal of providing value to our stockholders. We compute free cash flow by taking the net cash that was provided by our operating activities, subtracting capital expenditures and adding proceeds from our divestitures and other sales of assets. Free cash flow is then adjusted for certain cash flow activity that we consider unusual for the year. In 2003, the net cash provided by our operating activities was approximately $1.9 billion. We spent approximately $1.2 billion for capital expenditures. After adding back the proceeds we received of approximately $74 million from divestitures of businesses and other asset sales, our free cash flow was approximately $800 million. We adjusted this amount to take into consideration the approximately $223 million net cash impact for the settlement of our stockholder class action settlement, giving us approximately $1.02 billion of adjusted free cash flow in 2003.</w:t>
      </w:r>
    </w:p>
    <w:p>
      <w:pPr>
        <w:spacing w:after="0" w:line="208"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To help us improve our business and operations, we have developed branded initiatives like WasteRoute and Service Machine, as well as other initiatives to improve safety, procurement, operations, cost control and sales. Although we made significant progress in 2003, we have much more to do in 2004 and beyond and our Company is now better positioned to reap the benefits of the programs we have put in place.</w:t>
      </w:r>
    </w:p>
    <w:p>
      <w:pPr>
        <w:spacing w:after="0" w:line="18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An integral part of our focus has been on internal, or organic, growth. In 2003, internal revenue growth was 0.9%, or $103 million, as compared to 2002. The biggest driver in this increase was price, and we continue to work on our pricing program. However, volumes declined as compared to the prior year, due mostly to the loss of a large contract with the City of Chicago early in the year, offsetting some of our pricing achievement. We believe some of our performance in 2003 was due to general economic factors, although increased competition also played a part. We cannot control the economy, but we can compete, and therefore we focused on customer churn rates and sales force effectiveness. In 2003, we continued to hold our customer churn rate below 10%, which we see as a benchmark for success, and we maintained the same amount of new sales dollars in 2003 as compared to the prior year, even with a smaller sales force. Moreover, it is generally believed that the waste industry lags the economy by six to nine months. Consequently, our sales force effectiveness program, including our pricing strategy, should result in greater internal revenue growth if the recent economic recovery continues in 2004 and beyond. Finally, we also actively pursue strategic acquisitions in our NASW operations. Through acquisitions, we increased our 2003 revenue by $334 million.</w:t>
      </w:r>
    </w:p>
    <w:p>
      <w:pPr>
        <w:spacing w:after="0" w:line="20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To achieve our goal of operational excellence, we have been working hard to seek operational and cost efficiencies. In 2003, we further streamlined our operating infrastructure, which resulted in the elimination of about 1,300 employee positions and 470 contract workers. For 2003, we saw cost savings from the reorganization in our selling, general and administrative costs, while at the same time growing our total revenues by 4%. The reorganization changed the roles of our people in the field so that our operating sites are responsible for delivering service and operational excellence and the market areas are responsible for implementing strategy, improving performance and ensuring profitability in their markets.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bookmarkStart w:id="25" w:name="page26"/>
    <w:bookmarkEnd w:id="25"/>
    <w:p>
      <w:pPr>
        <w:ind w:right="80" w:firstLine="324"/>
        <w:spacing w:after="0" w:line="291" w:lineRule="auto"/>
        <w:rPr>
          <w:sz w:val="20"/>
          <w:szCs w:val="20"/>
          <w:color w:val="auto"/>
        </w:rPr>
      </w:pPr>
      <w:r>
        <w:rPr>
          <w:rFonts w:ascii="Arial" w:cs="Arial" w:eastAsia="Arial" w:hAnsi="Arial"/>
          <w:sz w:val="16"/>
          <w:szCs w:val="16"/>
          <w:color w:val="auto"/>
        </w:rPr>
        <w:t>When measured on an initiative-by-initiative basis, which is the way we measure our goals internally, we believe that our efforts on cost reductions and efficiency programs are paying off. We have continued to decrease the maintenance cost per driver hour, which is the primary performance metric for fleet maintenance. We also are focusing on container maintenance, and have created improvement plans and conducted test pilots to see where we can reduce costs. Additionally, our focus on our safety program resulted in another year-over-year decrease in recordable injuries and vehicle accidents, although our per claim costs continued to rise, offsetting the financial benefit of the reduced number of claims. Finally, our WasteRoute initiative reduced the number of routes we have, and now we are looking for opportunities to further save on route-related costs.</w:t>
      </w:r>
    </w:p>
    <w:p>
      <w:pPr>
        <w:spacing w:after="0" w:line="20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operating costs and expenses for 2003 do not show the level of improvement we believe we have made in our initiatives to cut overall costs. This is due to an increase in those costs as a result of a recharacterization of expenses that had previously been classified as selling, general and administrative costs, increased costs of goods sold due to acquisitions of recycling businesses, the implementation of SFAS No. 143, increased disposal costs at third party facilities and increased labor rates. However, we believe that we have the momentum necessary to continue all of our efforts and make progress in 2004. We also believe that we have our organizational structure and field based management at the appropriate size for the current economy as well as for business opportunities from an expanding economy.</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Critical Accounting Estimates and Assumptions</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preparing our financial statements, we make several estimates and assumptions that affect our assets and liabilities and revenues and expenses. We must make these estimates and assumptions because certain of the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below.</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Effective January 1, 2003, our method of accounting for landfill closure and post-closure, as well as landfill final capping, changed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adoption of Statement of Financial Accounting Standards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Through December 31, 2002, the waste industry generally recognized expenses associated with (i) amortization of capitalized and future landfill asset costs and (ii) future closure and post-closure obligations on a units-of-consumption basis as airspace was consumed over the life of the related landfill. This practice, referred to as life-cycle accounting within the waste industry, continues to be followed, with the exception of capitalized and future landfill final capping costs. As a result of the adoption of SFAS No. 143, future final capping costs are identified by specific capping event and amortized over the specific estimated capacity related to that event rather than over the life of the entire landfill, as was the practice prior to our adoption of SFAS No. 143.</w:t>
      </w:r>
    </w:p>
    <w:p>
      <w:pPr>
        <w:spacing w:after="0" w:line="199" w:lineRule="exact"/>
        <w:rPr>
          <w:sz w:val="20"/>
          <w:szCs w:val="20"/>
          <w:color w:val="auto"/>
        </w:rPr>
      </w:pPr>
    </w:p>
    <w:p>
      <w:pPr>
        <w:ind w:right="100" w:firstLine="324"/>
        <w:spacing w:after="0" w:line="314" w:lineRule="auto"/>
        <w:rPr>
          <w:sz w:val="20"/>
          <w:szCs w:val="20"/>
          <w:color w:val="auto"/>
        </w:rPr>
      </w:pPr>
      <w:r>
        <w:rPr>
          <w:rFonts w:ascii="Arial" w:cs="Arial" w:eastAsia="Arial" w:hAnsi="Arial"/>
          <w:sz w:val="15"/>
          <w:szCs w:val="15"/>
          <w:color w:val="auto"/>
        </w:rPr>
        <w:t>The cost estimates for final capping, closure and post-closure activities at landfills for which we have responsibility are estimated based on our interpretations of current requirements and proposed or anticipated regulatory changes. We also estimate additional costs, pursuant to the requirements of SFAS No. 143, based on the amount a third party would charge us to perform such activities even when we expect to perform these activities internally. We estimate the airspace to be consumed related to each final capping event and the timing of each final capping event and closure and post-closure activities. Because landfill final capping, closure and post-closure obligations are measured at estimated fair value using present value techniques, changes in the estimated timing of future landfill final capping and closure and post-closure activities would have an effect on these liabilities, related assets and results of operations.</w:t>
      </w:r>
    </w:p>
    <w:p>
      <w:pPr>
        <w:spacing w:after="0" w:line="186"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i w:val="1"/>
          <w:iCs w:val="1"/>
          <w:color w:val="auto"/>
        </w:rPr>
        <w:t xml:space="preserve">Landfill Costs </w:t>
      </w:r>
      <w:r>
        <w:rPr>
          <w:rFonts w:ascii="Arial" w:cs="Arial" w:eastAsia="Arial" w:hAnsi="Arial"/>
          <w:sz w:val="18"/>
          <w:szCs w:val="18"/>
          <w:color w:val="auto"/>
        </w:rPr>
        <w:t>— We estimate the total cost to develop each landfill site to its final capacity. This includes certain projected landfill costs that are uncertain</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they are dependent on future events. The total cost to develop a site to its final capacity includes amounts previously expended and capitalized, net of accumulated airspace amortization, and projections of future purchase and development costs, landfill liner construction costs, operating construction costs, and capitalized interest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26" w:name="page27"/>
    <w:bookmarkEnd w:id="26"/>
    <w:p>
      <w:pPr>
        <w:ind w:right="140" w:firstLine="324"/>
        <w:spacing w:after="0" w:line="298"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 We estimate the cost for each final capping event based on the area to be finally capped and the capping materials and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The estimates also consider when these costs would actually be paid and factor in inflation and discount rates. Our engineering personnel allocate final landfill capping costs to specific capping events. They then quantify the landfill capacity associated with each final capping event and the final capping costs for each event are amortized over the related capacity associated with the event as waste is disposed of at the landfill.</w:t>
      </w:r>
    </w:p>
    <w:p>
      <w:pPr>
        <w:spacing w:after="0" w:line="19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Closure and Post-Closure Costs </w:t>
      </w:r>
      <w:r>
        <w:rPr>
          <w:rFonts w:ascii="Arial" w:cs="Arial" w:eastAsia="Arial" w:hAnsi="Arial"/>
          <w:sz w:val="18"/>
          <w:szCs w:val="18"/>
          <w:color w:val="auto"/>
        </w:rPr>
        <w:t>— We base our estimates for closure and post-closure costs on our interpretations of permit and regulatory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and post-closure 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uncertain.</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Available Airspace </w:t>
      </w:r>
      <w:r>
        <w:rPr>
          <w:rFonts w:ascii="Arial" w:cs="Arial" w:eastAsia="Arial" w:hAnsi="Arial"/>
          <w:sz w:val="18"/>
          <w:szCs w:val="18"/>
          <w:color w:val="auto"/>
        </w:rPr>
        <w:t>— Our engineers are responsible for determining available airspace at our landfills. This is done by using surveys and other methods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based on height restrictions and other factors, how much airspace is left to fill and how much waste can be disposed of at a landfill before it has reached its final capacity.</w:t>
      </w:r>
    </w:p>
    <w:p>
      <w:pPr>
        <w:spacing w:after="0" w:line="221"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i w:val="1"/>
          <w:iCs w:val="1"/>
          <w:color w:val="auto"/>
        </w:rPr>
        <w:t xml:space="preserve">Expansion Airspace </w:t>
      </w:r>
      <w:r>
        <w:rPr>
          <w:rFonts w:ascii="Arial" w:cs="Arial" w:eastAsia="Arial" w:hAnsi="Arial"/>
          <w:sz w:val="16"/>
          <w:szCs w:val="16"/>
          <w:color w:val="auto"/>
        </w:rPr>
        <w:t>— We also include currently unpermitted airspace in our estimate of available airspace in certain circumstances. First, to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airspace associated with an expansion effort, we must generally expect the initial expansion permit application to be submitted within one year, and the final expansion permit to be received within five years. Second, we must believe the success of obtaining the expansion permit is probable, using the following criteria:</w:t>
      </w:r>
    </w:p>
    <w:p>
      <w:pPr>
        <w:spacing w:after="0" w:line="161" w:lineRule="exact"/>
        <w:rPr>
          <w:sz w:val="20"/>
          <w:szCs w:val="20"/>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 are actively working to obtain land use and local, state or provincial approvals for an expansion of an existing landfill;</w:t>
      </w:r>
    </w:p>
    <w:p>
      <w:pPr>
        <w:spacing w:after="0" w:line="279" w:lineRule="exact"/>
        <w:rPr>
          <w:rFonts w:ascii="Arial" w:cs="Arial" w:eastAsia="Arial" w:hAnsi="Arial"/>
          <w:sz w:val="18"/>
          <w:szCs w:val="18"/>
          <w:color w:val="auto"/>
        </w:rPr>
      </w:pPr>
    </w:p>
    <w:p>
      <w:pPr>
        <w:ind w:left="460" w:right="280" w:hanging="101"/>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probable that the approvals will be received within the normal application and processing time periods for approvals in the jurisdiction in which the landfill is located;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 we or the respective landfill owners have a legal right to use or obtain land to be included in the expansion plan;</w:t>
      </w:r>
    </w:p>
    <w:p>
      <w:pPr>
        <w:spacing w:after="0" w:line="279" w:lineRule="exact"/>
        <w:rPr>
          <w:rFonts w:ascii="Arial" w:cs="Arial" w:eastAsia="Arial" w:hAnsi="Arial"/>
          <w:sz w:val="18"/>
          <w:szCs w:val="18"/>
          <w:color w:val="auto"/>
        </w:rPr>
      </w:pPr>
    </w:p>
    <w:p>
      <w:pPr>
        <w:ind w:left="460" w:right="600" w:hanging="101"/>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27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These criteria are initially evaluated by our field-based engineers, accountants, managers and others to identify potential obstacles to obtaining the permits. However, our policy provides that, based on the facts and circumstances of a specific landfill, if these criteria are not met, inclusion of unpermitted airspace may still be allowed. In these circumstances, inclusion must be approved through a landfill-specific review process that includes approval of the Chief Financial Officer and a review by the Audit Committee of the Board of Directors on a quarterly basis. Of the 84 landfill sites with expansions at December 31, 2003, 25 landfills required the Chief Financial Officer to approve the inclusion of the unpermitted airspace. Approximately two-thirds of these landfills required approval by the Chief Financial Officer because legal, community, or other issues could impede the expansion process, while the remaining were primarily because the permit application processes would not meet the one and five year requirements, which in many cases were due to state-specific permitting procedures. When we include the expansion airspace in our calculations of available airspace, we also include the projected costs for development, final capping, and closure and post-closure of the expansion in the amortization basis of the landfill.</w:t>
      </w:r>
    </w:p>
    <w:p>
      <w:pPr>
        <w:spacing w:after="0" w:line="201"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After determining the costs at our landfills, including final capping costs and closure and post-closure costs, and the available and probable expansion airspace relating to such costs, we then determine the per ton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27" w:name="page28"/>
    <w:bookmarkEnd w:id="27"/>
    <w:p>
      <w:pPr>
        <w:ind w:right="20"/>
        <w:spacing w:after="0" w:line="255" w:lineRule="auto"/>
        <w:rPr>
          <w:sz w:val="20"/>
          <w:szCs w:val="20"/>
          <w:color w:val="auto"/>
        </w:rPr>
      </w:pPr>
      <w:r>
        <w:rPr>
          <w:rFonts w:ascii="Arial" w:cs="Arial" w:eastAsia="Arial" w:hAnsi="Arial"/>
          <w:sz w:val="18"/>
          <w:szCs w:val="18"/>
          <w:color w:val="auto"/>
        </w:rPr>
        <w:t>rates that will be expensed. We look at factors such as the waste stream, geography and rate of compaction, among others, to determine the number of tons necessary to fill the available and probable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possible that actual results could ultimately turn out to be significantly different from our estimates and assumptions. To the extent that such estimates, or related assumptions, prove to be significantly different than actual results, or our belief that we will receive an expansion permit changes adversely in a significant manner, the costs of the landfill, including the costs incurred in the pursuit of the expansion, may be subject to impairment testing, as described below. Lower profitability may be experienced due to higher amortization rates, higher closure and post-closure rates, and higher expenses or asset impairments related to the removal of previously included expansion airspace. Additionally, if it is determined that the likelihood of receiving an expansion permit has become remote, the capitalized costs related to the expansion effort are expensed immediately.</w:t>
      </w:r>
    </w:p>
    <w:p>
      <w:pPr>
        <w:spacing w:after="0" w:line="20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i w:val="1"/>
          <w:iCs w:val="1"/>
          <w:color w:val="auto"/>
        </w:rPr>
        <w:t xml:space="preserve">Environmental Remediation Liabilities </w:t>
      </w:r>
      <w:r>
        <w:rPr>
          <w:rFonts w:ascii="Arial" w:cs="Arial" w:eastAsia="Arial" w:hAnsi="Arial"/>
          <w:sz w:val="16"/>
          <w:szCs w:val="16"/>
          <w:color w:val="auto"/>
        </w:rPr>
        <w:t>— Under current laws and regulations, we may have liability for environmental damage caused by our operations,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for damage caused by conditions that existed before we acquired a site. Remedial costs are all costs relating to the remedy of any identified situation that occurs by natural causes or human error not expected in the normal course of business. These costs include potentially responsible party (“PRP”) investigation, settlement, certain legal and consultant fees, as well as costs directly associated with site investigation and clean up, such as materials and incremental internal costs directly related to the remedy. We estimate costs required to remediate sites where liability is probable based on site-specific facts and circumstances. We routinely review and evaluate sites that require remediation, considering whether we were an owner, operator, transporter, or generator at the site, the amount and type of waste hauled to the site and the number of years we were connected with the site. Next, we review the same information with respect to other named and unnamed PRPs. Estimates of the cost for the likely remedy are then either developed using our internal resources or by third party environmental engineers or other service providers. Internally developed estimates are based on:</w:t>
      </w:r>
    </w:p>
    <w:p>
      <w:pPr>
        <w:spacing w:after="0" w:line="174" w:lineRule="exact"/>
        <w:rPr>
          <w:sz w:val="20"/>
          <w:szCs w:val="20"/>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27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i w:val="1"/>
          <w:iCs w:val="1"/>
          <w:color w:val="auto"/>
        </w:rPr>
        <w:t xml:space="preserve">Asset Impairments </w:t>
      </w:r>
      <w:r>
        <w:rPr>
          <w:rFonts w:ascii="Arial" w:cs="Arial" w:eastAsia="Arial" w:hAnsi="Arial"/>
          <w:sz w:val="16"/>
          <w:szCs w:val="16"/>
          <w:color w:val="auto"/>
        </w:rPr>
        <w:t>— Our long-lived assets, including landfills and landfill expansions, are carried on our financial statements based on their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or amortization. However, accounting standards require us to write down assets or groups of assets if they become impaired. If significant events or changes in circumstances indicate that the carrying value of an asset or asset group may not be recoverable, we perform a test of recoverability by comparing the carrying value of the asset or asset group to its undiscounted expected future cash flows. Cash flow projections are sometimes based on a group of assets, rather than a single asset.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determined by either an actual third-party evaluation or an internally developed discounted projected cash flow analysis of the asset or asset group. If the fair value of an asset or asset group is determined to be less than the carrying amount of the asset or asset group, an impairment in the amount of the difference is recorded in the period that the impairment indicator occurs.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Typical indicators that an asset may be impaired include:</w:t>
      </w:r>
    </w:p>
    <w:p>
      <w:pPr>
        <w:spacing w:after="0" w:line="225" w:lineRule="exact"/>
        <w:rPr>
          <w:sz w:val="20"/>
          <w:szCs w:val="20"/>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279"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accumulation of costs significantly in excess of the amount originally expected for the acquisition or construction of a long-lived asset;</w:t>
      </w:r>
    </w:p>
    <w:p>
      <w:pPr>
        <w:spacing w:after="0" w:line="302" w:lineRule="exact"/>
        <w:rPr>
          <w:rFonts w:ascii="Arial" w:cs="Arial" w:eastAsia="Arial" w:hAnsi="Arial"/>
          <w:sz w:val="16"/>
          <w:szCs w:val="16"/>
          <w:color w:val="auto"/>
        </w:rPr>
      </w:pPr>
    </w:p>
    <w:p>
      <w:pPr>
        <w:ind w:left="460" w:right="580" w:hanging="101"/>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212" w:lineRule="exact"/>
        <w:rPr>
          <w:rFonts w:ascii="Arial" w:cs="Arial" w:eastAsia="Arial" w:hAnsi="Arial"/>
          <w:sz w:val="18"/>
          <w:szCs w:val="18"/>
          <w:color w:val="auto"/>
        </w:rPr>
      </w:pPr>
    </w:p>
    <w:p>
      <w:pPr>
        <w:ind w:left="460" w:right="180" w:hanging="101"/>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w:t>
      </w:r>
    </w:p>
    <w:p>
      <w:pPr>
        <w:spacing w:after="0" w:line="21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If any of these or other indicators occur, we review the asset to determine whether there has been an impairment. Several of these indicators are beyond our control, and we cannot predict with any certainty whether or not they will occur. Additionally, estimating future cash flows requires significant judgment and our projections may vary from cash flows eventually realized. There are additional considerations for impairments of landfills and goodwill, as described below.</w:t>
      </w:r>
    </w:p>
    <w:p>
      <w:pPr>
        <w:spacing w:after="0" w:line="188"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i w:val="1"/>
          <w:iCs w:val="1"/>
          <w:color w:val="auto"/>
        </w:rPr>
        <w:t xml:space="preserve">Landfills </w:t>
      </w:r>
      <w:r>
        <w:rPr>
          <w:rFonts w:ascii="Arial" w:cs="Arial" w:eastAsia="Arial" w:hAnsi="Arial"/>
          <w:sz w:val="15"/>
          <w:szCs w:val="15"/>
          <w:color w:val="auto"/>
        </w:rPr>
        <w:t>— There are certain indicators listed above that require significant judgment and understanding of the waste industry when applied to landfill</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or expansion projects.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179"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We assess whether goodwill is impaired on an annual basis. Upon determining the existence of goodwill impairment, we measure that</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based on the amount by which the book value of goodwill exceeds its implied fair value. The implied fair value of goodwill is determined by deducting the fair value of a reporting unit’s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period-to-period change in dollars (in millions) and percentages for the various statement of operations line items.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Period-to-Period Change</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gridSpan w:val="2"/>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right="93"/>
              <w:spacing w:after="0"/>
              <w:rPr>
                <w:sz w:val="20"/>
                <w:szCs w:val="20"/>
                <w:color w:val="auto"/>
              </w:rPr>
            </w:pPr>
            <w:r>
              <w:rPr>
                <w:rFonts w:ascii="Arial" w:cs="Arial" w:eastAsia="Arial" w:hAnsi="Arial"/>
                <w:sz w:val="14"/>
                <w:szCs w:val="14"/>
                <w:b w:val="1"/>
                <w:bCs w:val="1"/>
                <w:color w:val="auto"/>
                <w:w w:val="87"/>
              </w:rPr>
              <w:t>Years Ended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93"/>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center"/>
              <w:ind w:right="113"/>
              <w:spacing w:after="0"/>
              <w:rPr>
                <w:sz w:val="20"/>
                <w:szCs w:val="20"/>
                <w:color w:val="auto"/>
              </w:rPr>
            </w:pPr>
            <w:r>
              <w:rPr>
                <w:rFonts w:ascii="Arial" w:cs="Arial" w:eastAsia="Arial" w:hAnsi="Arial"/>
                <w:sz w:val="14"/>
                <w:szCs w:val="14"/>
                <w:b w:val="1"/>
                <w:bCs w:val="1"/>
                <w:color w:val="auto"/>
                <w:w w:val="84"/>
              </w:rPr>
              <w:t>2003 vs. 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2002 vs. 2001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1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revenues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$ 432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20" w:type="dxa"/>
            <w:vAlign w:val="bottom"/>
            <w:gridSpan w:val="4"/>
          </w:tcPr>
          <w:p>
            <w:pPr>
              <w:jc w:val="right"/>
              <w:ind w:right="292"/>
              <w:spacing w:after="0"/>
              <w:rPr>
                <w:sz w:val="20"/>
                <w:szCs w:val="20"/>
                <w:color w:val="auto"/>
              </w:rPr>
            </w:pPr>
            <w:r>
              <w:rPr>
                <w:rFonts w:ascii="Arial" w:cs="Arial" w:eastAsia="Arial" w:hAnsi="Arial"/>
                <w:sz w:val="18"/>
                <w:szCs w:val="18"/>
                <w:color w:val="auto"/>
              </w:rPr>
              <w:t>$(180)</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Operating (exclusive of depreciation and amortization shown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below)</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9.3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(176)</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(12.6)</w:t>
            </w:r>
          </w:p>
        </w:tc>
        <w:tc>
          <w:tcPr>
            <w:tcW w:w="122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(230)</w:t>
            </w:r>
          </w:p>
        </w:tc>
        <w:tc>
          <w:tcPr>
            <w:tcW w:w="9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220" w:type="dxa"/>
            <w:vAlign w:val="bottom"/>
            <w:gridSpan w:val="4"/>
          </w:tcPr>
          <w:p>
            <w:pPr>
              <w:jc w:val="right"/>
              <w:ind w:right="292"/>
              <w:spacing w:after="0"/>
              <w:rPr>
                <w:sz w:val="20"/>
                <w:szCs w:val="20"/>
                <w:color w:val="auto"/>
              </w:rPr>
            </w:pPr>
            <w:r>
              <w:rPr>
                <w:rFonts w:ascii="Arial" w:cs="Arial" w:eastAsia="Arial" w:hAnsi="Arial"/>
                <w:sz w:val="18"/>
                <w:szCs w:val="18"/>
                <w:color w:val="auto"/>
              </w:rPr>
              <w:t>(149)</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Restructuring</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15.8</w:t>
            </w: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Asset impairments and unusual items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76.5</w:t>
            </w:r>
          </w:p>
        </w:tc>
        <w:tc>
          <w:tcPr>
            <w:tcW w:w="1220" w:type="dxa"/>
            <w:vAlign w:val="bottom"/>
            <w:gridSpan w:val="4"/>
          </w:tcPr>
          <w:p>
            <w:pPr>
              <w:jc w:val="right"/>
              <w:ind w:right="292"/>
              <w:spacing w:after="0"/>
              <w:rPr>
                <w:sz w:val="20"/>
                <w:szCs w:val="20"/>
                <w:color w:val="auto"/>
              </w:rPr>
            </w:pPr>
            <w:r>
              <w:rPr>
                <w:rFonts w:ascii="Arial" w:cs="Arial" w:eastAsia="Arial" w:hAnsi="Arial"/>
                <w:sz w:val="18"/>
                <w:szCs w:val="18"/>
                <w:color w:val="auto"/>
              </w:rPr>
              <w:t>(414)</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(108.9)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536</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5.6</w:t>
            </w:r>
          </w:p>
        </w:tc>
        <w:tc>
          <w:tcPr>
            <w:tcW w:w="122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(541)</w:t>
            </w:r>
          </w:p>
        </w:tc>
        <w:tc>
          <w:tcPr>
            <w:tcW w:w="9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ind w:left="1140"/>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(104)</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361</w:t>
            </w:r>
          </w:p>
        </w:tc>
        <w:tc>
          <w:tcPr>
            <w:tcW w:w="400" w:type="dxa"/>
            <w:vAlign w:val="bottom"/>
          </w:tcPr>
          <w:p>
            <w:pPr>
              <w:spacing w:after="0"/>
              <w:rPr>
                <w:sz w:val="24"/>
                <w:szCs w:val="24"/>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28.1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6.0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and other income, net</w:t>
            </w: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(44)</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(61.1)</w:t>
            </w: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44.0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0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14.3</w:t>
            </w:r>
          </w:p>
        </w:tc>
        <w:tc>
          <w:tcPr>
            <w:tcW w:w="1220" w:type="dxa"/>
            <w:vAlign w:val="bottom"/>
            <w:gridSpan w:val="4"/>
          </w:tcPr>
          <w:p>
            <w:pPr>
              <w:jc w:val="right"/>
              <w:ind w:right="292"/>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0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(3.7)</w:t>
            </w:r>
          </w:p>
        </w:tc>
        <w:tc>
          <w:tcPr>
            <w:tcW w:w="8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Income before income taxes and cumulative effect of changes in</w:t>
            </w: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4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accounting principles</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(119)</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58.4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(4.3)</w:t>
            </w:r>
          </w:p>
        </w:tc>
        <w:tc>
          <w:tcPr>
            <w:tcW w:w="1220" w:type="dxa"/>
            <w:vAlign w:val="bottom"/>
            <w:gridSpan w:val="4"/>
            <w:shd w:val="clear" w:color="auto" w:fill="EEEEEE"/>
          </w:tcPr>
          <w:p>
            <w:pPr>
              <w:jc w:val="right"/>
              <w:ind w:right="292"/>
              <w:spacing w:after="0"/>
              <w:rPr>
                <w:sz w:val="20"/>
                <w:szCs w:val="20"/>
                <w:color w:val="auto"/>
              </w:rPr>
            </w:pPr>
            <w:r>
              <w:rPr>
                <w:rFonts w:ascii="Arial" w:cs="Arial" w:eastAsia="Arial" w:hAnsi="Arial"/>
                <w:sz w:val="18"/>
                <w:szCs w:val="18"/>
                <w:color w:val="auto"/>
              </w:rPr>
              <w:t>(139)</w:t>
            </w:r>
          </w:p>
        </w:tc>
        <w:tc>
          <w:tcPr>
            <w:tcW w:w="9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49.1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ind w:left="1140"/>
              <w:spacing w:after="0"/>
              <w:rPr>
                <w:sz w:val="20"/>
                <w:szCs w:val="20"/>
                <w:color w:val="auto"/>
              </w:rPr>
            </w:pPr>
            <w:r>
              <w:rPr>
                <w:rFonts w:ascii="Arial" w:cs="Arial" w:eastAsia="Arial" w:hAnsi="Arial"/>
                <w:sz w:val="18"/>
                <w:szCs w:val="18"/>
                <w:color w:val="auto"/>
                <w:w w:val="98"/>
              </w:rPr>
              <w:t>Income before cumulative effect of changes in accounting principles</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(101)</w:t>
            </w: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(91)</w:t>
            </w: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$(192)</w:t>
            </w:r>
          </w:p>
        </w:tc>
        <w:tc>
          <w:tcPr>
            <w:tcW w:w="86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$ 319</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460" w:type="dxa"/>
            <w:vAlign w:val="bottom"/>
            <w:gridSpan w:val="2"/>
            <w:vMerge w:val="restart"/>
          </w:tcPr>
          <w:p>
            <w:pPr>
              <w:ind w:left="56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60" w:type="dxa"/>
            <w:vAlign w:val="bottom"/>
            <w:gridSpan w:val="2"/>
            <w:vMerge w:val="continue"/>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4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540" w:firstLine="324"/>
        <w:spacing w:after="0" w:line="268" w:lineRule="auto"/>
        <w:rPr>
          <w:sz w:val="20"/>
          <w:szCs w:val="20"/>
          <w:color w:val="auto"/>
        </w:rPr>
      </w:pPr>
      <w:r>
        <w:rPr>
          <w:rFonts w:ascii="Arial" w:cs="Arial" w:eastAsia="Arial" w:hAnsi="Arial"/>
          <w:sz w:val="18"/>
          <w:szCs w:val="18"/>
          <w:color w:val="auto"/>
        </w:rPr>
        <w:t>The following table presents, for the periods indicated, the percentage relationship that the various statement of operations line items bear to operating revenues: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revenues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Restructuring</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Asset impairments and unusual items</w:t>
            </w:r>
          </w:p>
        </w:tc>
        <w:tc>
          <w:tcPr>
            <w:tcW w:w="3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85.2</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and other income, net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(3.6)</w:t>
            </w:r>
          </w:p>
        </w:tc>
        <w:tc>
          <w:tcPr>
            <w:tcW w:w="134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8"/>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w w:val="95"/>
              </w:rPr>
              <w:t>Income before income taxes and cumulative effect of changes in accounting</w:t>
            </w:r>
          </w:p>
        </w:tc>
        <w:tc>
          <w:tcPr>
            <w:tcW w:w="3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principles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Years Ended December 31, 2003</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operating revenues in 2003 were $11.6 billion, compared to $11.1 billion in 2002, and $11.3 billion in 2001. As shown below, North American Solid Waste, or NASW, is our principal operation, and is comprised of seven operating Groups within North America, along with our Other NASW services. The operations shown as “Other” in the table below consisted of international waste management services and non-solid waste services, all of which were divested as of March 31, 2002.</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2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Eastern</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3,734</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2,213</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2,269</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Southern</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2,468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2,531</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Wheelabrator</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2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NASW</w:t>
            </w: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Intercompany</w:t>
            </w:r>
          </w:p>
        </w:tc>
        <w:tc>
          <w:tcPr>
            <w:tcW w:w="2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(2,157)</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1"/>
              </w:rPr>
              <w:t>(1,999)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(1,994)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Total NASW</w:t>
            </w: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11,134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11,162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280" w:type="dxa"/>
            <w:vAlign w:val="bottom"/>
          </w:tcPr>
          <w:p>
            <w:pPr>
              <w:ind w:left="440"/>
              <w:spacing w:after="0"/>
              <w:rPr>
                <w:sz w:val="20"/>
                <w:szCs w:val="20"/>
                <w:color w:val="auto"/>
              </w:rPr>
            </w:pPr>
            <w:r>
              <w:rPr>
                <w:rFonts w:ascii="Arial" w:cs="Arial" w:eastAsia="Arial" w:hAnsi="Arial"/>
                <w:sz w:val="18"/>
                <w:szCs w:val="18"/>
                <w:color w:val="auto"/>
              </w:rPr>
              <w:t>Net operating revenues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11,142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11,322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280" w:type="dxa"/>
            <w:vAlign w:val="bottom"/>
            <w:vMerge w:val="restart"/>
          </w:tcPr>
          <w:p>
            <w:pPr>
              <w:jc w:val="right"/>
              <w:ind w:right="83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8" w:right="239" w:bottom="802" w:gutter="0" w:footer="0" w:header="0"/>
        </w:sectPr>
      </w:pPr>
    </w:p>
    <w:bookmarkStart w:id="31" w:name="page32"/>
    <w:bookmarkEnd w:id="31"/>
    <w:p>
      <w:pPr>
        <w:ind w:firstLine="324"/>
        <w:spacing w:after="0" w:line="290" w:lineRule="auto"/>
        <w:rPr>
          <w:sz w:val="20"/>
          <w:szCs w:val="20"/>
          <w:color w:val="auto"/>
        </w:rPr>
      </w:pPr>
      <w:r>
        <w:rPr>
          <w:rFonts w:ascii="Arial" w:cs="Arial" w:eastAsia="Arial" w:hAnsi="Arial"/>
          <w:sz w:val="16"/>
          <w:szCs w:val="16"/>
          <w:color w:val="auto"/>
        </w:rPr>
        <w:t>Our NASW operating revenues generally come from fees charged for our collection, disposal, transfer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based on the volume and type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Recycling revenue, which is generated by our Recycling Group as well as our five geographic operating Groups, generally consists of the sale of recyclable commodities to third parties and tipping fees. Intercompany revenues between our operations have been eliminated in the consolidated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mix of NASW operating revenues from our different services is reflected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Collection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7,791</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7,598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7,584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Landfill</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Transfer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Wheelabrator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Recycling and other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Intercompany</w:t>
            </w:r>
          </w:p>
        </w:tc>
        <w:tc>
          <w:tcPr>
            <w:tcW w:w="3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(1,999)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NASW</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11,134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11,162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Period-to-Period</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Period-to-Period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Change for</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Change for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2003 vs. 2002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84"/>
              </w:rPr>
              <w:t>2002 vs. 2001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Price:</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60"/>
              <w:spacing w:after="0"/>
              <w:rPr>
                <w:sz w:val="20"/>
                <w:szCs w:val="20"/>
                <w:color w:val="auto"/>
              </w:rPr>
            </w:pPr>
            <w:r>
              <w:rPr>
                <w:rFonts w:ascii="Arial" w:cs="Arial" w:eastAsia="Arial" w:hAnsi="Arial"/>
                <w:sz w:val="18"/>
                <w:szCs w:val="18"/>
                <w:color w:val="auto"/>
              </w:rPr>
              <w:t>Base business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8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8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Commodity</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8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60"/>
              <w:spacing w:after="0"/>
              <w:rPr>
                <w:sz w:val="20"/>
                <w:szCs w:val="20"/>
                <w:color w:val="auto"/>
              </w:rPr>
            </w:pPr>
            <w:r>
              <w:rPr>
                <w:rFonts w:ascii="Arial" w:cs="Arial" w:eastAsia="Arial" w:hAnsi="Arial"/>
                <w:sz w:val="18"/>
                <w:szCs w:val="18"/>
                <w:color w:val="auto"/>
              </w:rPr>
              <w:t>Electricity</w:t>
            </w: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(34)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0"/>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Fuel</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2"/>
            <w:shd w:val="clear" w:color="auto" w:fill="EEEEEE"/>
          </w:tcPr>
          <w:p>
            <w:pPr>
              <w:jc w:val="right"/>
              <w:ind w:right="800"/>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0"/>
              </w:rPr>
              <w:t>(0.2)</w:t>
            </w:r>
          </w:p>
        </w:tc>
        <w:tc>
          <w:tcPr>
            <w:tcW w:w="0" w:type="dxa"/>
            <w:vAlign w:val="bottom"/>
          </w:tcPr>
          <w:p>
            <w:pPr>
              <w:spacing w:after="0"/>
              <w:rPr>
                <w:sz w:val="1"/>
                <w:szCs w:val="1"/>
                <w:color w:val="auto"/>
              </w:rPr>
            </w:pPr>
          </w:p>
        </w:tc>
      </w:tr>
      <w:tr>
        <w:trPr>
          <w:trHeight w:val="108"/>
        </w:trPr>
        <w:tc>
          <w:tcPr>
            <w:tcW w:w="58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Total price</w:t>
            </w: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119</w:t>
            </w:r>
          </w:p>
        </w:tc>
        <w:tc>
          <w:tcPr>
            <w:tcW w:w="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Volume</w:t>
            </w:r>
          </w:p>
        </w:tc>
        <w:tc>
          <w:tcPr>
            <w:tcW w:w="3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732"/>
              <w:spacing w:after="0"/>
              <w:rPr>
                <w:sz w:val="20"/>
                <w:szCs w:val="20"/>
                <w:color w:val="auto"/>
              </w:rPr>
            </w:pPr>
            <w:r>
              <w:rPr>
                <w:rFonts w:ascii="Arial" w:cs="Arial" w:eastAsia="Arial" w:hAnsi="Arial"/>
                <w:sz w:val="18"/>
                <w:szCs w:val="18"/>
                <w:color w:val="auto"/>
                <w:w w:val="93"/>
              </w:rPr>
              <w:t>(16)</w:t>
            </w:r>
          </w:p>
        </w:tc>
        <w:tc>
          <w:tcPr>
            <w:tcW w:w="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6"/>
              </w:rPr>
              <w:t>(0.1)</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2"/>
            <w:shd w:val="clear" w:color="auto" w:fill="EEEEEE"/>
          </w:tcPr>
          <w:p>
            <w:pPr>
              <w:jc w:val="right"/>
              <w:ind w:right="800"/>
              <w:spacing w:after="0"/>
              <w:rPr>
                <w:sz w:val="20"/>
                <w:szCs w:val="20"/>
                <w:color w:val="auto"/>
              </w:rPr>
            </w:pPr>
            <w:r>
              <w:rPr>
                <w:rFonts w:ascii="Arial" w:cs="Arial" w:eastAsia="Arial" w:hAnsi="Arial"/>
                <w:sz w:val="18"/>
                <w:szCs w:val="18"/>
                <w:color w:val="auto"/>
                <w:w w:val="85"/>
              </w:rPr>
              <w:t>(174)</w:t>
            </w: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0"/>
              </w:rPr>
              <w:t>(1.6)</w:t>
            </w:r>
          </w:p>
        </w:tc>
        <w:tc>
          <w:tcPr>
            <w:tcW w:w="0" w:type="dxa"/>
            <w:vAlign w:val="bottom"/>
          </w:tcPr>
          <w:p>
            <w:pPr>
              <w:spacing w:after="0"/>
              <w:rPr>
                <w:sz w:val="1"/>
                <w:szCs w:val="1"/>
                <w:color w:val="auto"/>
              </w:rPr>
            </w:pPr>
          </w:p>
        </w:tc>
      </w:tr>
      <w:tr>
        <w:trPr>
          <w:trHeight w:val="108"/>
        </w:trPr>
        <w:tc>
          <w:tcPr>
            <w:tcW w:w="58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Internal growth</w:t>
            </w:r>
          </w:p>
        </w:tc>
        <w:tc>
          <w:tcPr>
            <w:tcW w:w="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103</w:t>
            </w:r>
          </w:p>
        </w:tc>
        <w:tc>
          <w:tcPr>
            <w:tcW w:w="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(92)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0"/>
              </w:rPr>
              <w:t>(0.9)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Acquisitions</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334</w:t>
            </w: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8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Divestitures</w:t>
            </w:r>
          </w:p>
        </w:tc>
        <w:tc>
          <w:tcPr>
            <w:tcW w:w="380" w:type="dxa"/>
            <w:vAlign w:val="bottom"/>
          </w:tcPr>
          <w:p>
            <w:pPr>
              <w:spacing w:after="0"/>
              <w:rPr>
                <w:sz w:val="18"/>
                <w:szCs w:val="18"/>
                <w:color w:val="auto"/>
              </w:rPr>
            </w:pPr>
          </w:p>
        </w:tc>
        <w:tc>
          <w:tcPr>
            <w:tcW w:w="1120" w:type="dxa"/>
            <w:vAlign w:val="bottom"/>
            <w:gridSpan w:val="2"/>
          </w:tcPr>
          <w:p>
            <w:pPr>
              <w:jc w:val="right"/>
              <w:ind w:right="732"/>
              <w:spacing w:after="0"/>
              <w:rPr>
                <w:sz w:val="20"/>
                <w:szCs w:val="20"/>
                <w:color w:val="auto"/>
              </w:rPr>
            </w:pPr>
            <w:r>
              <w:rPr>
                <w:rFonts w:ascii="Arial" w:cs="Arial" w:eastAsia="Arial" w:hAnsi="Arial"/>
                <w:sz w:val="18"/>
                <w:szCs w:val="18"/>
                <w:color w:val="auto"/>
                <w:w w:val="93"/>
              </w:rPr>
              <w:t>(54)</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(0.4)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0"/>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84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2"/>
            <w:shd w:val="clear" w:color="auto" w:fill="EEEEEE"/>
          </w:tcPr>
          <w:p>
            <w:pPr>
              <w:jc w:val="right"/>
              <w:ind w:right="800"/>
              <w:spacing w:after="0"/>
              <w:rPr>
                <w:sz w:val="20"/>
                <w:szCs w:val="20"/>
                <w:color w:val="auto"/>
              </w:rPr>
            </w:pPr>
            <w:r>
              <w:rPr>
                <w:rFonts w:ascii="Arial" w:cs="Arial" w:eastAsia="Arial" w:hAnsi="Arial"/>
                <w:sz w:val="18"/>
                <w:szCs w:val="18"/>
                <w:color w:val="auto"/>
              </w:rPr>
              <w:t>(6)</w:t>
            </w:r>
          </w:p>
        </w:tc>
        <w:tc>
          <w:tcPr>
            <w:tcW w:w="5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440</w:t>
            </w:r>
          </w:p>
        </w:tc>
        <w:tc>
          <w:tcPr>
            <w:tcW w:w="8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(28)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 Base Business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versus 2002</w:t>
      </w:r>
    </w:p>
    <w:p>
      <w:pPr>
        <w:spacing w:after="0" w:line="252"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The increase in base business pricing is attributable to our collection, transfer and waste-to-energy businesses, with a significant increase in our residential collection operations. Certain of these price increases relate to additional costs and taxes that have been charged to our customers. However, the increase was partially offset by our landfill business, where we experienced decreases in price-related revenue principally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due to our special waste landfill operations, mainly because of an increase in lower priced event work in the southern and western portions of the United States.</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2002 versus 2001</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revenue increase due to price in our base business was derived from our commercial and residential collection and transfer station operations. However, these increases were offset partially by decreased pricing in our landfill special waste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 Commodity</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versus 2002</w:t>
      </w:r>
    </w:p>
    <w:p>
      <w:pPr>
        <w:spacing w:after="0" w:line="252"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The commodity price increases in 2003 were driven by the prices of ONP and plastic commodities. ONP prices increased to an average of $69 per ton for 2003 as compared to an average of $67 per ton for 2002. Plastic commodity prices have increased an average of 50%. Partially offsetting these increases is a decline in the price of OCC, which has declined to an average of $64 per ton in 2003 as compared to an average of $71 per ton in 2002.</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2002 versus 2001</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There were significant increases in commodity prices in 2002 as compared to 2001, most notably an increase in OCC prices, which increased to an average price of $71 per ton for 2002 as compared to an average price of $45 per ton for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 Electricity and Fuel</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versus 2002</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Electricity rates remained relatively flat in 2003 as compared to 2002. However, we experienced positive price increases due to increased fuel surcharges billed to customers as a result of higher fuel costs.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2002 versus 2001</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Reduced electricity rates and fuel surcharges negatively impacted the price related revenue change in 2002 as compared to the prior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versus 2002</w:t>
      </w:r>
    </w:p>
    <w:p>
      <w:pPr>
        <w:spacing w:after="0" w:line="25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decrease in revenue due to volumes was primarily in our collection and recycling businesses. We believe the 2003 declines in collection were the result of general economic conditions and increased competition, particularly in the eastern and midwestern portions of the United States. Our loss of a contract with the City of Chicago during February 2003 was the primary reason for volume declines in transfer and recycling, accounting for lost revenues of approximately</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$60 million for the year ended December 31, 2003. Partially offsetting these decreases were increases in special waste volumes at our landfills, primarily in the southern and western portions of the United States.</w:t>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2002 versus 2001</w:t>
      </w:r>
    </w:p>
    <w:p>
      <w:pPr>
        <w:spacing w:after="0" w:line="252" w:lineRule="exact"/>
        <w:rPr>
          <w:sz w:val="20"/>
          <w:szCs w:val="20"/>
          <w:color w:val="auto"/>
        </w:rPr>
      </w:pPr>
    </w:p>
    <w:p>
      <w:pPr>
        <w:ind w:right="540" w:firstLine="324"/>
        <w:spacing w:after="0" w:line="294" w:lineRule="auto"/>
        <w:rPr>
          <w:sz w:val="20"/>
          <w:szCs w:val="20"/>
          <w:color w:val="auto"/>
        </w:rPr>
      </w:pPr>
      <w:r>
        <w:rPr>
          <w:rFonts w:ascii="Arial" w:cs="Arial" w:eastAsia="Arial" w:hAnsi="Arial"/>
          <w:sz w:val="16"/>
          <w:szCs w:val="16"/>
          <w:color w:val="auto"/>
        </w:rPr>
        <w:t>The volume decline in 2002 as compared to 2001 largely related to commercial and industrial collection services throughout our operations, with the exception of the southern portion of the United States, where we realized slight volume increases. We also experienced declines in disposal revenue due to volume primarily in the eastern and western portions of the United States. We believe that the overall decreased volumes, particularly in the higher margin commercial and industrial collection services, were attributable to the lagging economy and increased competition. However, the declines were offset by increased volumes in our recycling operations of $19 million in 2002 as compared to 2001.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versus 2002</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our formation of Recycle America Alliance in January 2003, we acquired the Peltz Group, the largest privately-held recycler in the United States. We also acquired several collection businesses that complemented and enhanced our existing collection network. These increases were partially offset by divestitures of low margin operations.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2002 versus 2001</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Revenue in 2002 increased due to a number of individually small acquisitions consummated during 2002 and the full year effect of acquisitions completed in 2001. The increases due to acquisitions were partially offset by 2002 divestitures.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versus 2002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Fluctuations in the relative value of the Canadian dollar favorably affected revenues for the year ended December 31, 2003.</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2002 versus 2001</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Fluctuations in the relative value of the Canadian dollar negatively affected revenues for the year ended December 31, 2002.</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Costs and Expenses (Exclusive of Depreciation and Amortization Shown Below)</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operating costs and expenses include direct and indirect labor and related taxes and benefits, risks management costs, fuel, facility operating costs, maintenance and repairs of equipment and facilities, tipping fees paid to third party disposal facilities and transfer stations, and accretion of and expense revisions relating to future landfill capping, closure and post-closure costs and environmental remediation. Certain direct landfill development expenditures are capitalized and amortized over the estimated useful life of a site as capacity is consumed, and include acquisition, engineering, upgrading, construction, capitalized interest, and permitting costs. Additionally, we sometimes receive reimbursements from insurance carriers relating to environmentally related remedial, defense and tort claim costs. Such recoveries are included in operating costs and expenses as an offset to environmental expenses.</w:t>
      </w:r>
    </w:p>
    <w:p>
      <w:pPr>
        <w:spacing w:after="0" w:line="201"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For the year ended December 31, 2003, operating costs and expenses were $637 million higher than the prior year period, representing an increase of 9.3%. As a percentage of operating revenue, operating costs and expenses were 64.9% for the year ended December 31, 2003, which is a 3.2 percentage point increase from the prior year period. The increase was generally due to:</w:t>
      </w:r>
    </w:p>
    <w:p>
      <w:pPr>
        <w:spacing w:after="0" w:line="194" w:lineRule="exact"/>
        <w:rPr>
          <w:sz w:val="20"/>
          <w:szCs w:val="20"/>
          <w:color w:val="auto"/>
        </w:rPr>
      </w:pPr>
    </w:p>
    <w:p>
      <w:pPr>
        <w:ind w:left="460" w:right="56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 of goods sold of approximately $205 million, largely related to higher commodity sales through our acquisition of the Peltz Group in January 2003;</w:t>
      </w:r>
    </w:p>
    <w:p>
      <w:pPr>
        <w:spacing w:after="0" w:line="212" w:lineRule="exact"/>
        <w:rPr>
          <w:rFonts w:ascii="Arial" w:cs="Arial" w:eastAsia="Arial" w:hAnsi="Arial"/>
          <w:sz w:val="18"/>
          <w:szCs w:val="18"/>
          <w:color w:val="auto"/>
        </w:rPr>
      </w:pPr>
    </w:p>
    <w:p>
      <w:pPr>
        <w:ind w:left="460" w:right="200" w:hanging="101"/>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disposal costs of approximately $104 million, attributable to related volume increases, disposal cost increases at third party facilities and increased taxes of approximately $18 million on disposal of waste in Pennsylvania, although the majority of the tax increases have been passed on to our customers as price increases;</w:t>
      </w:r>
    </w:p>
    <w:p>
      <w:pPr>
        <w:spacing w:after="0" w:line="221"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Salary and wage increases of approximately $59 million representing annual merit raises and increased overtime expenses, partially offset by headcount reductions;</w:t>
      </w:r>
    </w:p>
    <w:p>
      <w:pPr>
        <w:spacing w:after="0" w:line="212" w:lineRule="exact"/>
        <w:rPr>
          <w:rFonts w:ascii="Arial" w:cs="Arial" w:eastAsia="Arial" w:hAnsi="Arial"/>
          <w:sz w:val="18"/>
          <w:szCs w:val="18"/>
          <w:color w:val="auto"/>
        </w:rPr>
      </w:pPr>
    </w:p>
    <w:p>
      <w:pPr>
        <w:ind w:left="460" w:right="100" w:hanging="101"/>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reorganization of our operations in March 2002 and the determination that certain employee costs and facility-related expenses were more appropriately classified as operating expenses after the adoption of the new organizational structure and the reclassification of these costs beginning in the second quarter of 2002, the first full accounting period that these organizational changes were effective.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left="460" w:right="380"/>
        <w:spacing w:after="0" w:line="268" w:lineRule="auto"/>
        <w:rPr>
          <w:sz w:val="20"/>
          <w:szCs w:val="20"/>
          <w:color w:val="auto"/>
        </w:rPr>
      </w:pPr>
      <w:r>
        <w:rPr>
          <w:rFonts w:ascii="Arial" w:cs="Arial" w:eastAsia="Arial" w:hAnsi="Arial"/>
          <w:sz w:val="18"/>
          <w:szCs w:val="18"/>
          <w:color w:val="auto"/>
        </w:rPr>
        <w:t>During the first quarter of 2003, approximately $50 million of such costs have been classified as operating expenses that would have been reported as selling, general and administrative costs before the reorganization;</w:t>
      </w:r>
    </w:p>
    <w:p>
      <w:pPr>
        <w:spacing w:after="0" w:line="213" w:lineRule="exact"/>
        <w:rPr>
          <w:sz w:val="20"/>
          <w:szCs w:val="20"/>
          <w:color w:val="auto"/>
        </w:rPr>
      </w:pPr>
    </w:p>
    <w:p>
      <w:pPr>
        <w:ind w:left="46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strengthening of the Canadian dollar on foreign currency translation, which resulted in a $47 million increase in operating expenses related to our Canadian operations;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fuel costs of approximately $45 million, an average increase of $0.19 per gallon;</w:t>
      </w:r>
    </w:p>
    <w:p>
      <w:pPr>
        <w:spacing w:after="0" w:line="279" w:lineRule="exact"/>
        <w:rPr>
          <w:rFonts w:ascii="Arial" w:cs="Arial" w:eastAsia="Arial" w:hAnsi="Arial"/>
          <w:sz w:val="18"/>
          <w:szCs w:val="18"/>
          <w:color w:val="auto"/>
        </w:rPr>
      </w:pPr>
    </w:p>
    <w:p>
      <w:pPr>
        <w:ind w:left="460" w:right="200" w:hanging="101"/>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Increases in subcontractor costs of approximately $40 million due to (i) the redirection of waste as a result of landfill constraints primarily in the eastern portion of the United States, (ii) increases in subcontracted transportation costs from an increase in special waste activity within our landfill line of business, (iii) general volume increases and (iv) increased use of subcontractors for our national accounts in areas where we do not provide services;</w:t>
      </w:r>
    </w:p>
    <w:p>
      <w:pPr>
        <w:spacing w:after="0" w:line="187" w:lineRule="exact"/>
        <w:rPr>
          <w:rFonts w:ascii="Arial" w:cs="Arial" w:eastAsia="Arial" w:hAnsi="Arial"/>
          <w:sz w:val="16"/>
          <w:szCs w:val="16"/>
          <w:color w:val="auto"/>
        </w:rPr>
      </w:pPr>
    </w:p>
    <w:p>
      <w:pPr>
        <w:ind w:left="460" w:right="18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landfill and environmental costs of approximately $24 million primarily due to increases in costs associated with accretion expense on landfill asset retirement obligations related to our adoption of SFAS No. 143 in 2003;</w:t>
      </w:r>
    </w:p>
    <w:p>
      <w:pPr>
        <w:spacing w:after="0" w:line="212" w:lineRule="exact"/>
        <w:rPr>
          <w:rFonts w:ascii="Arial" w:cs="Arial" w:eastAsia="Arial" w:hAnsi="Arial"/>
          <w:sz w:val="18"/>
          <w:szCs w:val="18"/>
          <w:color w:val="auto"/>
        </w:rPr>
      </w:pPr>
    </w:p>
    <w:p>
      <w:pPr>
        <w:ind w:left="460" w:right="34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risk management expenses of approximately $20 million as a result of increases in the average cost per claim and higher financial assurance costs; and</w:t>
      </w:r>
    </w:p>
    <w:p>
      <w:pPr>
        <w:spacing w:after="0" w:line="212"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repair and maintenance costs of approximately $8 million, which is mostly from changes in the timing and scope of certain maintenance projects at our waste-to-energy facilities.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acquisitions accounted for approximately $286 million of the increases discussed above.</w:t>
      </w:r>
    </w:p>
    <w:p>
      <w:pPr>
        <w:spacing w:after="0" w:line="252"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For the year ended December 31, 2002, operating costs and expenses were $214 million higher than the prior year period, representing an increase of 3.2%. As a percentage of operating revenue, operating costs and expenses were 61.7% for the year ended December 31, 2002, which is a 2.8 percentage point increase from the prior year period. The increase was generally due to:</w:t>
      </w:r>
    </w:p>
    <w:p>
      <w:pPr>
        <w:spacing w:after="0" w:line="194" w:lineRule="exact"/>
        <w:rPr>
          <w:sz w:val="20"/>
          <w:szCs w:val="20"/>
          <w:color w:val="auto"/>
        </w:rPr>
      </w:pPr>
    </w:p>
    <w:p>
      <w:pPr>
        <w:ind w:left="460" w:right="6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re-characterization of certain costs that were reported as selling, general and administrative expenses in prior periods due to changes in certain roles and responsibilities as a result of our March 2002 reorganization;</w:t>
      </w:r>
    </w:p>
    <w:p>
      <w:pPr>
        <w:spacing w:after="0" w:line="212" w:lineRule="exact"/>
        <w:rPr>
          <w:rFonts w:ascii="Arial" w:cs="Arial" w:eastAsia="Arial" w:hAnsi="Arial"/>
          <w:sz w:val="18"/>
          <w:szCs w:val="18"/>
          <w:color w:val="auto"/>
        </w:rPr>
      </w:pPr>
    </w:p>
    <w:p>
      <w:pPr>
        <w:ind w:left="460" w:hanging="101"/>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disposal and subcontractor costs. Disposal cost increases were primarily related to increased taxes on the disposal of waste in Pennsylvania, which were partially offset by decreases in disposal costs due to declines in volumes in 2002. Subcontractor cost increases included increased utilization of subcontractors for certain of our national account customers in areas where we do not provide services and increased use of third party transportation of waste to disposal facilities;</w:t>
      </w:r>
    </w:p>
    <w:p>
      <w:pPr>
        <w:spacing w:after="0" w:line="224"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merit increases and other employee benefit cost increases;</w:t>
      </w:r>
    </w:p>
    <w:p>
      <w:pPr>
        <w:spacing w:after="0" w:line="279"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costs associated with recycling commodities due primarily to an increase in market prices for OCC and ONP, which resulted in increased rebates paid to customers;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recovery of claims against insurers for the reimbursement of environmental expenses recorded in 2001 as an offset to operating costs and expenses.</w:t>
      </w:r>
    </w:p>
    <w:p>
      <w:pPr>
        <w:spacing w:after="0" w:line="30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These increases in operating costs and expenses were offset by headcount reductions as a result of the March 2002 reorganization and divestitures of our international operations in 2001 and the non-solid waste operations in the first quarter of 2002.</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400" w:firstLine="324"/>
        <w:spacing w:after="0" w:line="332" w:lineRule="auto"/>
        <w:rPr>
          <w:sz w:val="20"/>
          <w:szCs w:val="20"/>
          <w:color w:val="auto"/>
        </w:rPr>
      </w:pPr>
      <w:r>
        <w:rPr>
          <w:rFonts w:ascii="Arial" w:cs="Arial" w:eastAsia="Arial" w:hAnsi="Arial"/>
          <w:sz w:val="16"/>
          <w:szCs w:val="16"/>
          <w:color w:val="auto"/>
        </w:rPr>
        <w:t>Our selling, general and administrative expenses include management salaries, clerical and administrative costs, marketing costs, professional services, facility rentals, provision for doubtful accounts and related insurance costs, as well as costs related to our sales force and customer service.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35" w:name="page36"/>
    <w:bookmarkEnd w:id="35"/>
    <w:p>
      <w:pPr>
        <w:ind w:firstLine="324"/>
        <w:spacing w:after="0" w:line="259" w:lineRule="auto"/>
        <w:rPr>
          <w:sz w:val="20"/>
          <w:szCs w:val="20"/>
          <w:color w:val="auto"/>
        </w:rPr>
      </w:pPr>
      <w:r>
        <w:rPr>
          <w:rFonts w:ascii="Arial" w:cs="Arial" w:eastAsia="Arial" w:hAnsi="Arial"/>
          <w:sz w:val="18"/>
          <w:szCs w:val="18"/>
          <w:color w:val="auto"/>
        </w:rPr>
        <w:t>For the year ended December 31, 2003, selling, general and administrative expenses decreased by $176 million, or 12.6%, as compared to the prior year. As a percentage of revenue, the decrease was 2.0 percentage points from 12.5% for the year ended December 31, 2002 to 10.5% for the year ended December 31, 2003. The decrease was generally due to:</w:t>
      </w:r>
    </w:p>
    <w:p>
      <w:pPr>
        <w:spacing w:after="0" w:line="194" w:lineRule="exact"/>
        <w:rPr>
          <w:sz w:val="20"/>
          <w:szCs w:val="20"/>
          <w:color w:val="auto"/>
        </w:rPr>
      </w:pPr>
    </w:p>
    <w:p>
      <w:pPr>
        <w:ind w:left="460" w:right="60" w:hanging="101"/>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re-characterization of costs related principally to employee costs and facility-related expenses, including property taxes, utilities, and risk management expenses, that have been reflected as operating costs since April 1, 2002, as discussed above in </w:t>
      </w:r>
      <w:r>
        <w:rPr>
          <w:rFonts w:ascii="Arial" w:cs="Arial" w:eastAsia="Arial" w:hAnsi="Arial"/>
          <w:sz w:val="16"/>
          <w:szCs w:val="16"/>
          <w:i w:val="1"/>
          <w:iCs w:val="1"/>
          <w:color w:val="auto"/>
        </w:rPr>
        <w:t>Operating Costs and Expenses;</w:t>
      </w:r>
    </w:p>
    <w:p>
      <w:pPr>
        <w:spacing w:after="0" w:line="166" w:lineRule="exact"/>
        <w:rPr>
          <w:rFonts w:ascii="Arial" w:cs="Arial" w:eastAsia="Arial" w:hAnsi="Arial"/>
          <w:sz w:val="16"/>
          <w:szCs w:val="16"/>
          <w:color w:val="auto"/>
        </w:rPr>
      </w:pPr>
    </w:p>
    <w:p>
      <w:pPr>
        <w:ind w:left="460" w:right="44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savings of approximately $41 million through reductions in salary and other labor-related costs as a result of our March 2002 reorganization and February and June 2003 restructurings;</w:t>
      </w:r>
    </w:p>
    <w:p>
      <w:pPr>
        <w:spacing w:after="0" w:line="212"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reduction of over $20 million in costs due to management’s focus on reducing spending related to professional fees, supplies, travel and entertainment and other administrative costs;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Favorable settlements of legal disputes in 2003 in addition to the unfavorable impact of increases in legal reserves in 2002.</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selling, general and administrative expenses in 2002 as compared to 2001 is primarily attributable to:</w:t>
      </w:r>
    </w:p>
    <w:p>
      <w:pPr>
        <w:spacing w:after="0" w:line="225"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Management’s focus on reducing spending related to professional fees, travel and entertainment, and other administrative costs;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Headcount reductions and the re-characterization of certain expenses as costs of operations as a result of the March 2002 restructuring;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Divestitures of international and non-solid waste operations in 2001 and in early 2002.</w:t>
      </w:r>
    </w:p>
    <w:p>
      <w:pPr>
        <w:spacing w:after="0" w:line="279"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These reductions were offset partially by increased costs associated with litigation settlements, higher bad debt expense largely attributable to the weaker economy, workers compensation costs, and property-related costs such as property taxes, maintenance and security.</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Depreciation and amortization includes (i) amortization of intangible assets with a definite life primarily on a straight-line basis over the definitive terms of the related agreements (generally from 3 to 7 years); (ii) depreciation of property and equipment on a straight-line basis from 3 to 50 years; (iii) amortization of landfill costs, including those incurred and all estimated future costs for landfill development, construction, closure and post-closure, on a units-of-consumption method as landfill airspace is consumed over the estimated remaining capacity of a site; and (iv) as a result of our adoption of SFAS No. 143, amortization of landfill asset retirement costs arising from final capping obligations on a units-of-consumption method as airspace is consumed over the estimated capacity associated with each final capping event.</w:t>
      </w:r>
    </w:p>
    <w:p>
      <w:pPr>
        <w:spacing w:after="0" w:line="20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As a percentage of operating revenues, depreciation and amortization expense was 10.9% in 2003, 11.0% in 2002 and 12.1% in 2001. Depreciation and amortization remained relatively flat from 2002 to 2003 even after considering the effect of the accounting changes that resulted from our adoption of SFAS No. 143.</w:t>
      </w:r>
    </w:p>
    <w:p>
      <w:pPr>
        <w:spacing w:after="0" w:line="22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decrease in depreciation and amortization expense in 2002 is primarily attributable to our adoption of SFAS No. 142, which required that the amortization of all goodwill cease on January 1, 2002. Goodwill amortization for 2001 was $156 million, or 1.4% of operating revenues. Excluding the effect of goodwill amortization expense in 2001, depreciation and amortization expense as a percentage of revenues increased 0.3% from 2001 to 2002. The following schedule reflects the 2001 adjusted net income (excluding goodwill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and negative goodwill amortization) as compared to the results of operations for December 31, 2002 and 2003 (in millions, except per share amounts).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w w:val="85"/>
              </w:rPr>
              <w:t>Years Ended December 31,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$ 630</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$ 503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Add back: goodwill amortization, net of taxes</w:t>
            </w: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$ 630</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$ 627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Goodwill amortization, net of taxes</w:t>
            </w: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Goodwill amortization, net of taxes</w:t>
            </w: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In 2002, we reorganized our operations to form market areas within our geographic Groups to better align collection, transport, recycling and disposal resources. As part of the restructuring, we reduced the number of field layers of management and eliminated approximately 1,900 field-level administrative and operational positions. In 2002, we recorded $38 million in pre-tax charges for costs associated with the implementation of the new structure. These charges included $36 million for employee severance and benefit costs and $2 million related to abandoned operating lease agreements.</w:t>
      </w:r>
    </w:p>
    <w:p>
      <w:pPr>
        <w:spacing w:after="0" w:line="194" w:lineRule="exact"/>
        <w:rPr>
          <w:sz w:val="20"/>
          <w:szCs w:val="20"/>
          <w:color w:val="auto"/>
        </w:rPr>
      </w:pPr>
    </w:p>
    <w:p>
      <w:pPr>
        <w:jc w:val="both"/>
        <w:ind w:right="100" w:firstLine="324"/>
        <w:spacing w:after="0" w:line="303" w:lineRule="auto"/>
        <w:rPr>
          <w:sz w:val="20"/>
          <w:szCs w:val="20"/>
          <w:color w:val="auto"/>
        </w:rPr>
      </w:pPr>
      <w:r>
        <w:rPr>
          <w:rFonts w:ascii="Arial" w:cs="Arial" w:eastAsia="Arial" w:hAnsi="Arial"/>
          <w:sz w:val="15"/>
          <w:szCs w:val="15"/>
          <w:color w:val="auto"/>
        </w:rPr>
        <w:t>In February 2003, we reduced the number of market areas that make up our geographic operating Groups to 66 from 91 at December 31, 2002, and reduced certain overhead positions to further streamline our organization. Management believes that this structure results in a more effective utilization of resources and enables us to serve our customers more efficiently. In connection with these restructuring efforts, we reduced our workforce by about 700 employees and</w:t>
      </w:r>
    </w:p>
    <w:p>
      <w:pPr>
        <w:spacing w:after="0" w:line="1"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270 contract workers. We recorded $20 million of pre-tax charges for costs associated with the implementation of the new structure, all of which was associated with employee severance and benefit costs.</w:t>
      </w:r>
    </w:p>
    <w:p>
      <w:pPr>
        <w:spacing w:after="0" w:line="21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operational efficiencies provided by these organizational changes and a focus on fully utilizing the capabilities of our information technology resources enabled us to further reduce our workforce in June 2003. This workforce reduction resulted in the elimination of 600 employee positions and 200 contract worker positions. We recorded $24 million of pre-tax charges for employee severance and benefit costs associated with this workforce reduction.</w:t>
      </w:r>
    </w:p>
    <w:p>
      <w:pPr>
        <w:spacing w:after="0" w:line="188"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As of December 31, 2003, approximately $11 million remains accrued for employee severance and benefit costs incurred as a result of these workforce reductions. Our obligations for the accrued severance payments continue through the third quarter of 2005.</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252"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During 2003, we recorded a net gain of $8 million to asset impairments and unusual items primarily as a result of gains of $13 million recognized on divestitures of certain operations that were offset, in part, by $5 million for asset impairment and other miscellaneous charges.</w:t>
      </w:r>
    </w:p>
    <w:p>
      <w:pPr>
        <w:spacing w:after="0" w:line="166"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In 2002, the net gain for asset impairments and unusual items was due primarily to (i) our receipt of approximately $11 million related to a previously impaired, non-revenue producing asset, (ii) net gains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37" w:name="page38"/>
    <w:bookmarkEnd w:id="37"/>
    <w:p>
      <w:pPr>
        <w:ind w:right="140"/>
        <w:spacing w:after="0" w:line="259" w:lineRule="auto"/>
        <w:rPr>
          <w:sz w:val="20"/>
          <w:szCs w:val="20"/>
          <w:color w:val="auto"/>
        </w:rPr>
      </w:pPr>
      <w:r>
        <w:rPr>
          <w:rFonts w:ascii="Arial" w:cs="Arial" w:eastAsia="Arial" w:hAnsi="Arial"/>
          <w:sz w:val="18"/>
          <w:szCs w:val="18"/>
          <w:color w:val="auto"/>
        </w:rPr>
        <w:t>approximately $8 million on divestitures during the year and (iii) reductions to legal reserves of approximately $8 million and loss contract reserves of approximately $7 million that we deemed were in excess of current requirements and that were initially recognized as a charge to asset impairments and unusual items.</w:t>
      </w:r>
    </w:p>
    <w:p>
      <w:pPr>
        <w:spacing w:after="0" w:line="221" w:lineRule="exact"/>
        <w:rPr>
          <w:sz w:val="20"/>
          <w:szCs w:val="20"/>
          <w:color w:val="auto"/>
        </w:rPr>
      </w:pPr>
    </w:p>
    <w:p>
      <w:pPr>
        <w:ind w:right="20" w:firstLine="324"/>
        <w:spacing w:after="0" w:line="309" w:lineRule="auto"/>
        <w:rPr>
          <w:sz w:val="20"/>
          <w:szCs w:val="20"/>
          <w:color w:val="auto"/>
        </w:rPr>
      </w:pPr>
      <w:r>
        <w:rPr>
          <w:rFonts w:ascii="Arial" w:cs="Arial" w:eastAsia="Arial" w:hAnsi="Arial"/>
          <w:sz w:val="15"/>
          <w:szCs w:val="15"/>
          <w:color w:val="auto"/>
        </w:rPr>
        <w:t>In 2001, the expense was comprised mainly of a charge of $374 million, which is net of the recovery from our insurers and the stockholders derivative suit against our former independent public accountant, Arthur Andersen LLP, for the settlement reached in connection with the stockholder class action lawsuit filed against us in July 1999 alleging violations of the federal securities laws. The final net cash settlement payment of $377 million, which is the amount provided by the settlement agreement plus accrued interest less our recoveries, was made in the third quarter of 2003. Additionally in 2001, we recorded a held-for-sale adjustment of approximately $15 million related to our international operations along with a held-for-sale adjustment for an investment in Mexican solid waste operations of approximately $28 million. Offsetting these expenses was a net gain of $24 million (comprised of the reversal of the held-for-sale impairment of $109 million and a held-for-use impairment of $85 million) from our decision during the third quarter of 2001 not to sell all but one of our independent power production plants, and the reclassification in the third quarter of 2001 of all but one of those plants from held-for-sale to held-for-use. Also included in asset impairments and unusual items for 2001 were reversals of certain loss contract reserves of $13 million that we determined to be in excess of current requirements.</w:t>
      </w:r>
    </w:p>
    <w:p>
      <w:pPr>
        <w:spacing w:after="0" w:line="200" w:lineRule="exact"/>
        <w:rPr>
          <w:sz w:val="20"/>
          <w:szCs w:val="20"/>
          <w:color w:val="auto"/>
        </w:rPr>
      </w:pP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Our interest expense decreased consistently each year from 2001 to 2003. The decrease in interest expense is partially attributable to our increased utilization of tax-exempt financing, which has resulted in a decline in our weighted average interest rate. The remaining decrease in interest expense from 2001 to 2003 is attributable to the overall positive impact of our interest rate derivative contracts, which are used to manage our interest rate exposure, and the general decline in interest rates. Interest rate swap agreements reduced interest expense by $90 million in 2003, $86 million in 2002 and $39 million in 2001.</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experienced a significant impact to other income in 2002 as compared to other years due primarily to the sale of an equity investment. In 2002, a company in which we held an approximately 17% interest was acquired by another entity. We also held a note from the acquired company that was paid off in connection with the acquisition. The proceeds from the repayment of the note and the sale of our equity investment resulted in a gain of approximately $43 million in the fourth quarter of 2002.</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We recorded a provision for income taxes of $404 million for 2003, $422 million for 2002 and $283 million for 2001 resulting in an effective income tax rate of 36.0%, 34.0%, and 36.1% for each of the three years, respectively. See Note 8 to the consolidated financial statements for further discussion.</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difference in federal income taxes computed at the federal statutory rate and reported income taxes for 2003 and 2002 is primarily due to state and local income taxes, offset in part by non-conventional fuel tax credits. Additionally, in 2003 we recognized a $6 million tax benefit on the settlement of certain foreign audits. In 2002 we recognized a tax benefit of approximately $16 million due to a capital gain generated in 2002 that enabled us to utilize a previously unbenefitted capital loss that arose from a divestiture. A tax benefit of approximately $31 million was also recognized in 2002 related to the carry-back of losses by our Dutch subsidiary.</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difference in federal income taxes computed at the federal statutory rate and reported income taxes for 2001 is primarily due to state and local income taxes, non-deductible costs associated with the impairment of certain businesses, the cost associated with remitting the earnings of certain foreign subsidiaries that are no longer permanently reinvested, offset in part by non-conventional fuel tax credits. Additionally, in 2001 scheduled Canadian federal and provincial tax rate reductions resulted in a benefit of $42 million, which was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offset in part by a tax expense of $24 million related to our plan to repatriate certain capital and earnings previously deemed permanently invested in Canada.</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Changes in Accounting Principle</w:t>
      </w:r>
    </w:p>
    <w:p>
      <w:pPr>
        <w:spacing w:after="0" w:line="252"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In the first and fourth quarters of 2003, we recorded net of tax charges of $46 million and $43 million, respectively, to cumulative effect of changes in accounting principles for the initial adoption of the accounting changes described below.</w:t>
      </w:r>
    </w:p>
    <w:p>
      <w:pPr>
        <w:spacing w:after="0" w:line="186" w:lineRule="exact"/>
        <w:rPr>
          <w:sz w:val="20"/>
          <w:szCs w:val="20"/>
          <w:color w:val="auto"/>
        </w:rPr>
      </w:pPr>
    </w:p>
    <w:p>
      <w:pPr>
        <w:ind w:left="460" w:right="20" w:hanging="101"/>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December 31, 2002, we accrued in advance for major repairs and maintenance expenditures and deferred costs associated with annual plant outages at our waste-to-energy facilities and independent power production plants. Effective January 1, 2003, we changed our policy from this method to one that expenses these costs as they are incurred. We recorded approximately $25 million, net of taxes, or $0.04 per diluted share, as a credit to cumulative effect of changes in accounting principles.</w:t>
      </w:r>
    </w:p>
    <w:p>
      <w:pPr>
        <w:spacing w:after="0" w:line="224" w:lineRule="exact"/>
        <w:rPr>
          <w:rFonts w:ascii="Arial" w:cs="Arial" w:eastAsia="Arial" w:hAnsi="Arial"/>
          <w:sz w:val="18"/>
          <w:szCs w:val="18"/>
          <w:color w:val="auto"/>
        </w:rPr>
      </w:pPr>
    </w:p>
    <w:p>
      <w:pPr>
        <w:ind w:left="460" w:right="100" w:hanging="101"/>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December 31, 2002, we accrued for future losses under customer contracts that we entered into that over the contract life were projected to have direct costs greater than revenues. Effective January 1, 2003, we recorded approximately $30 million, net of taxes, or $0.05 per diluted share, as a credit to cumulative effect of changes in accounting principles.</w:t>
      </w:r>
    </w:p>
    <w:p>
      <w:pPr>
        <w:spacing w:after="0" w:line="221" w:lineRule="exact"/>
        <w:rPr>
          <w:rFonts w:ascii="Arial" w:cs="Arial" w:eastAsia="Arial" w:hAnsi="Arial"/>
          <w:sz w:val="18"/>
          <w:szCs w:val="18"/>
          <w:color w:val="auto"/>
        </w:rPr>
      </w:pPr>
    </w:p>
    <w:p>
      <w:pPr>
        <w:ind w:left="460" w:right="80" w:hanging="101"/>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adoption of SFAS No. 143, we recorded approximately $101 million, including tax benefit, or $0.17 per diluted share, in the first quarter of 2003 as a charge to cumulative effect of changes in accounting principles. Substantially all of this charge was related to the impact of changes in accounting for landfill final capping, closure and post-closure costs.</w:t>
      </w:r>
    </w:p>
    <w:p>
      <w:pPr>
        <w:spacing w:after="0" w:line="221" w:lineRule="exact"/>
        <w:rPr>
          <w:rFonts w:ascii="Arial" w:cs="Arial" w:eastAsia="Arial" w:hAnsi="Arial"/>
          <w:sz w:val="18"/>
          <w:szCs w:val="18"/>
          <w:color w:val="auto"/>
        </w:rPr>
      </w:pPr>
    </w:p>
    <w:p>
      <w:pPr>
        <w:ind w:left="460" w:right="280" w:hanging="101"/>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application of FIN 46 to special purpose type variable interest entities, we recorded approximately $43 million, including tax benefit, or $0.07 per diluted share, in the fourth quarter of 2003 as a charge to cumulative effect of changes in accounting principles. For a discussion of these variable interest entities see Note 19 to the consolidated financial statements.</w:t>
      </w:r>
    </w:p>
    <w:p>
      <w:pPr>
        <w:spacing w:after="0" w:line="221"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 xml:space="preserve">In the first quarter of 2002, we recorded a credit of $2 million to cumulative effect of change in accounting principle to write-off the aggregate amount of negative goodwill as a result of adopting SFAS No. 141, </w:t>
      </w:r>
      <w:r>
        <w:rPr>
          <w:rFonts w:ascii="Arial" w:cs="Arial" w:eastAsia="Arial" w:hAnsi="Arial"/>
          <w:sz w:val="18"/>
          <w:szCs w:val="18"/>
          <w:i w:val="1"/>
          <w:iCs w:val="1"/>
          <w:color w:val="auto"/>
        </w:rPr>
        <w:t>Accounting for Business Combinations.</w:t>
      </w:r>
    </w:p>
    <w:p>
      <w:pPr>
        <w:spacing w:after="0" w:line="213"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 xml:space="preserve">In the first quarter of 2001, adoption of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resulted in a gain, net of tax, of approximately $2 million.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manage and evaluate our operations primarily through our Eastern, Midwest, Southern, Western, Canadian, Wheelabrator and Recycling Groups. These Groups, when combined with certain other operations, comprise our North American Solid Waste, or NASW, operations. The operations not managed through our seven operating Groups are presented herein as “Other NASW.”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9" w:name="page40"/>
    <w:bookmarkEnd w:id="39"/>
    <w:p>
      <w:pPr>
        <w:ind w:right="180" w:firstLine="324"/>
        <w:spacing w:after="0" w:line="306" w:lineRule="auto"/>
        <w:rPr>
          <w:sz w:val="20"/>
          <w:szCs w:val="20"/>
          <w:color w:val="auto"/>
        </w:rPr>
      </w:pPr>
      <w:r>
        <w:rPr>
          <w:rFonts w:ascii="Arial" w:cs="Arial" w:eastAsia="Arial" w:hAnsi="Arial"/>
          <w:sz w:val="16"/>
          <w:szCs w:val="16"/>
          <w:color w:val="auto"/>
        </w:rPr>
        <w:t>As discussed in Note 11 to the consolidated financial statements, our restructuring and workforce reductions have impacted the operating results of our reportable segments in 2003 and 2002. The following table summarizes income from operations by reportable segment for the years ended December 31, 2003, 2002 and 2001 and provides explanations of other factors contributing to the significant changes in our segments’ operating results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6"/>
          </w:tcPr>
          <w:p>
            <w:pPr>
              <w:spacing w:after="0"/>
              <w:rPr>
                <w:sz w:val="20"/>
                <w:szCs w:val="20"/>
                <w:color w:val="auto"/>
              </w:rPr>
            </w:pPr>
            <w:r>
              <w:rPr>
                <w:rFonts w:ascii="Arial" w:cs="Arial" w:eastAsia="Arial" w:hAnsi="Arial"/>
                <w:sz w:val="14"/>
                <w:szCs w:val="14"/>
                <w:b w:val="1"/>
                <w:bCs w:val="1"/>
                <w:color w:val="auto"/>
                <w:w w:val="97"/>
              </w:rPr>
              <w:t>Years Ended December 31,</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2002</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Canadian</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76(a)</w:t>
            </w: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37(a)</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4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360(b)</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Midwest</w:t>
            </w: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Western</w:t>
            </w: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375(c)</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Recycling</w:t>
            </w:r>
          </w:p>
        </w:tc>
        <w:tc>
          <w:tcPr>
            <w:tcW w:w="4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NASW</w:t>
            </w:r>
          </w:p>
        </w:tc>
        <w:tc>
          <w:tcPr>
            <w:tcW w:w="4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rPr>
              <w:t>(38)(d)</w:t>
            </w:r>
          </w:p>
        </w:tc>
        <w:tc>
          <w:tcPr>
            <w:tcW w:w="2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NASW</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1,912</w:t>
            </w:r>
          </w:p>
        </w:tc>
        <w:tc>
          <w:tcPr>
            <w:tcW w:w="2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2,011</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2,176</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1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favorable legal settlement of $17 million in the fourth quarter of 2003 and an unfavorable legal settlement of $26 million in 2002 were the primary drivers of the increase in 2003 income from operations as compared with 2002. The unfavorable 2002 legal settlement also had a significant effect on the comparability of 2002 and 2001 income from operations for our Canadian Group.</w:t>
      </w:r>
    </w:p>
    <w:p>
      <w:pPr>
        <w:spacing w:after="0" w:line="221"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most significant factors that affected the Eastern Group’s 2003 operating income were (i) lower collection and landfill volumes, (ii) increased disposal costs largely due to disposal constraints in the northeastern portion of the United States, (iii) general increases in landfill operating costs and repair and maintenance costs and (iv) harsh winter weather experienced during the first quarter of 2003.</w:t>
      </w:r>
    </w:p>
    <w:p>
      <w:pPr>
        <w:spacing w:after="0" w:line="221"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landfill line of business was the primary driver of the decline in 2002 income from operations as compared with 2001. Specifically, the Western Group’s landfill volumes were significantly affected by (i) volume constraints in the Los Angeles market and (ii) volume declines at industrial landfills associated with the economic downturn in the western region of the United States that began in the second half of 2001 and continued throughout 2002 and into 2003.</w:t>
      </w:r>
    </w:p>
    <w:p>
      <w:pPr>
        <w:spacing w:after="0" w:line="224"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NASW includes operations provided throughout our operating Groups for methane gas recovery and certain third party sub-contract and administrative revenues managed by our national accounts function. Also included are certain year-end adjustments related to the reportable segments that are not included in the measure of segment profit or loss used to assess their individual Group performance for the periods disclosed. The decline in income from operations was driven in part by increased costs associated with our national accounts function, primarily due to 2001 credit adjustments for bad debt and loss contract reserves, and in part by the effect of unfavorable 2002 year-end adjustments and favorable 2001 year-end adjustments related to the reportable segments.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cash balances and cash flows for the years ended December 31, 2003, 2002 and 2001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the end of the year</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6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1,926</w:t>
            </w: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2,153</w:t>
            </w:r>
          </w:p>
        </w:tc>
        <w:tc>
          <w:tcPr>
            <w:tcW w:w="2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2,355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7"/>
              </w:rPr>
              <w:t>(1,084)</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(962)</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(1,232)</w:t>
            </w:r>
          </w:p>
        </w:tc>
        <w:tc>
          <w:tcPr>
            <w:tcW w:w="0" w:type="dxa"/>
            <w:vAlign w:val="bottom"/>
          </w:tcPr>
          <w:p>
            <w:pPr>
              <w:spacing w:after="0"/>
              <w:rPr>
                <w:sz w:val="1"/>
                <w:szCs w:val="1"/>
                <w:color w:val="auto"/>
              </w:rPr>
            </w:pPr>
          </w:p>
        </w:tc>
      </w:tr>
      <w:tr>
        <w:trPr>
          <w:trHeight w:val="105"/>
        </w:trPr>
        <w:tc>
          <w:tcPr>
            <w:tcW w:w="5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7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560" w:type="dxa"/>
            <w:vAlign w:val="bottom"/>
            <w:gridSpan w:val="2"/>
          </w:tcPr>
          <w:p>
            <w:pPr>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(1,658)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Cash and cash equivalents consist primarily of cash on deposit, certificates of deposit, money market accounts, and investment grade commercial paper purchased with original maturities of three months or less.</w:t>
      </w:r>
    </w:p>
    <w:p>
      <w:pPr>
        <w:spacing w:after="0" w:line="213"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We generated cash flows from operations of approximately $1.9 billion in 2003, which included approximately $109 million received for the fair value of interest rate swap agreements terminated prior to their scheduled maturities. Also included as a component of 2003 cash flows from operations is a net cash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836" w:gutter="0" w:footer="0" w:header="0"/>
        </w:sectPr>
      </w:pPr>
    </w:p>
    <w:bookmarkStart w:id="40" w:name="page41"/>
    <w:bookmarkEnd w:id="40"/>
    <w:p>
      <w:pPr>
        <w:ind w:right="340"/>
        <w:spacing w:after="0" w:line="284" w:lineRule="auto"/>
        <w:rPr>
          <w:sz w:val="20"/>
          <w:szCs w:val="20"/>
          <w:color w:val="auto"/>
        </w:rPr>
      </w:pPr>
      <w:r>
        <w:rPr>
          <w:rFonts w:ascii="Arial" w:cs="Arial" w:eastAsia="Arial" w:hAnsi="Arial"/>
          <w:sz w:val="16"/>
          <w:szCs w:val="16"/>
          <w:color w:val="auto"/>
        </w:rPr>
        <w:t>outflow of approximately $223 million associated with the final settlement of our securities class action lawsuit, which occurred during the third quarter. Settlement related activity impacting our operating cash flows during the year includes: (i) a final net cash settlement payment of approximately $377 million associated with the settlement agreement of a shareholder class action suit plus accrued interest; (ii) utilization of insurance proceeds of approximately</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$87 million to settle the remaining portion of the settlement; (iii) a total tax benefit of approximately $138 million, of which we realized $66 million in the second quarter and $36 million in each of the third and fourth quarters and (iv) related net settlement recoveries of approximately $16 million.</w:t>
      </w:r>
    </w:p>
    <w:p>
      <w:pPr>
        <w:spacing w:after="0" w:line="174"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During 2003 we used $1.1 billion for investing activities, consisting of $1.2 billion for capital expenditures and $337 million for the acquisition of businesses, net of cash acquired, which were offset by net receipts of $371 million from restricted funds and proceeds from divestitures of businesses, net of cash divested, and other asset sales and other items of $82 million. Additionally, we used $1.0 billion for financing activities, which consisted primarily of the repurchase of shares of our common stock for $550 million and net debt reductions of $456 million.</w:t>
      </w:r>
    </w:p>
    <w:p>
      <w:pPr>
        <w:spacing w:after="0" w:line="19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cash balances decreased by $466 million from December 31, 2001 to December 31, 2002. This decrease is primarily attributable to capital expenditures, our stock repurchase program and the repayment of portions of our senior note issuances prior to their maturity dates.</w:t>
      </w:r>
    </w:p>
    <w:p>
      <w:pPr>
        <w:spacing w:after="0" w:line="21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2002, cash flow from operations was favorably impacted by $166 million for cash received from counterparties for certain interest rate swap agreements that we terminated prior to the scheduled maturities, offset by cash paid of $66 million to counterparties for the settlement of hedging agreements entered into to secure underlying interest rates related to our 2002 debt issuances. Included in our investing activities was cash paid of $1.3 billion for capital expenditures and $162 million for acquisitions of solid waste businesses. These expenditures were offset by proceeds of $487 million from other investing activities, primarily proceeds from sales of assets and net cash receipts from restricted funds. Included in our financing activities was cash paid of $982 million for the repurchase of shares of our common stock. In addition, we paid $697 million for net debt reductions and received $27 million from exercises of common stock options and warrants.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2001, we generated cash flows from operations of approximately $2.4 billion. Favorably impacting cash flows from operations was cash received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$59 million for the settlement of environmental related claims that we had against certain insurance carriers and $64 million that we received from counterparties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we terminated certain interest rate swap agreements prior to the scheduled maturities. Included in our investing activities was $1.3 billion of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expenditures and $116 million for acquisitions of solid waste businesses. These expenditures were offset by proceeds from sales of assets and other investing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of $212 million. In addition, we used $485 million for financing activities, which is comprised of $510 million of net debt reductions and $25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financing activities, offset by proceeds of $50 million from exercises of common stock options and warrants.</w:t>
      </w:r>
    </w:p>
    <w:p>
      <w:pPr>
        <w:spacing w:after="0" w:line="24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operate in a capital intensive business and continuing access to various financing sources is vital to our operations. In the past, we have been successful in obtaining financing from a variety of sources on terms we consider attractive. Based on several key factors we believe considered by credit rating agencies and financial markets to be important in determining our future access to financing, we expect to continue to maintain access to capital sources in the future. These factors include:</w:t>
      </w:r>
    </w:p>
    <w:p>
      <w:pPr>
        <w:spacing w:after="0" w:line="197" w:lineRule="exact"/>
        <w:rPr>
          <w:sz w:val="20"/>
          <w:szCs w:val="20"/>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27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In addition to our working capital needs for ongoing operations, we have capital requirements for (i) capital expenditures for construction and expansion of landfill sites, as well as new trucks and equipment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1" w:name="page42"/>
    <w:bookmarkEnd w:id="41"/>
    <w:p>
      <w:pPr>
        <w:ind w:right="440"/>
        <w:spacing w:after="0" w:line="332" w:lineRule="auto"/>
        <w:rPr>
          <w:sz w:val="20"/>
          <w:szCs w:val="20"/>
          <w:color w:val="auto"/>
        </w:rPr>
      </w:pPr>
      <w:r>
        <w:rPr>
          <w:rFonts w:ascii="Arial" w:cs="Arial" w:eastAsia="Arial" w:hAnsi="Arial"/>
          <w:sz w:val="16"/>
          <w:szCs w:val="16"/>
          <w:color w:val="auto"/>
        </w:rPr>
        <w:t>for collection and other operations, (ii) refurbishments and improvements at waste-to-energy facilities and (iii) business acquisitions. For 2004, we currently expect to spend approximately $1.15 billion to $1.25 billion for capital expenditures and approximately $250 million for acquisitions.</w:t>
      </w:r>
    </w:p>
    <w:p>
      <w:pPr>
        <w:spacing w:after="0" w:line="166"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February 2002, we announced that our Board of Directors had approved a stock repurchase program for up to $1 billion in annual repurchases for each year through 2004, to be implemented at management’s discretion. Share repurchases in 2003 were less than the $1 billion allowed because we used funds that would have otherwise been available for this program to settle our securities class action lawsuit and for our acquisition program. We expect to utilize cash flows from operations for purchases made in either open market or privately negotiated transactions.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activity to date for our stock repurchase program (in millions, except shares in thousands and price per share in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3"/>
          </w:tcPr>
          <w:p>
            <w:pPr>
              <w:ind w:left="900"/>
              <w:spacing w:after="0"/>
              <w:rPr>
                <w:sz w:val="20"/>
                <w:szCs w:val="20"/>
                <w:color w:val="auto"/>
              </w:rPr>
            </w:pPr>
            <w:r>
              <w:rPr>
                <w:rFonts w:ascii="Arial" w:cs="Arial" w:eastAsia="Arial" w:hAnsi="Arial"/>
                <w:sz w:val="14"/>
                <w:szCs w:val="14"/>
                <w:b w:val="1"/>
                <w:bCs w:val="1"/>
                <w:color w:val="auto"/>
              </w:rPr>
              <w:t>Agreement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Net Common</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Purchase</w:t>
            </w:r>
          </w:p>
        </w:tc>
        <w:tc>
          <w:tcPr>
            <w:tcW w:w="280" w:type="dxa"/>
            <w:vAlign w:val="bottom"/>
            <w:vMerge w:val="restart"/>
          </w:tcPr>
          <w:p>
            <w:pPr>
              <w:spacing w:after="0"/>
              <w:rPr>
                <w:sz w:val="8"/>
                <w:szCs w:val="8"/>
                <w:color w:val="auto"/>
              </w:rPr>
            </w:pPr>
          </w:p>
        </w:tc>
        <w:tc>
          <w:tcPr>
            <w:tcW w:w="122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Settlement</w:t>
            </w:r>
          </w:p>
        </w:tc>
        <w:tc>
          <w:tcPr>
            <w:tcW w:w="280" w:type="dxa"/>
            <w:vAlign w:val="bottom"/>
            <w:vMerge w:val="restart"/>
          </w:tcPr>
          <w:p>
            <w:pPr>
              <w:spacing w:after="0"/>
              <w:rPr>
                <w:sz w:val="8"/>
                <w:szCs w:val="8"/>
                <w:color w:val="auto"/>
              </w:rPr>
            </w:pPr>
          </w:p>
        </w:tc>
        <w:tc>
          <w:tcPr>
            <w:tcW w:w="10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360" w:type="dxa"/>
            <w:vAlign w:val="bottom"/>
            <w:gridSpan w:val="3"/>
          </w:tcPr>
          <w:p>
            <w:pPr>
              <w:ind w:left="560"/>
              <w:spacing w:after="0"/>
              <w:rPr>
                <w:sz w:val="20"/>
                <w:szCs w:val="20"/>
                <w:color w:val="auto"/>
              </w:rPr>
            </w:pPr>
            <w:r>
              <w:rPr>
                <w:rFonts w:ascii="Arial" w:cs="Arial" w:eastAsia="Arial" w:hAnsi="Arial"/>
                <w:sz w:val="14"/>
                <w:szCs w:val="14"/>
                <w:b w:val="1"/>
                <w:bCs w:val="1"/>
                <w:color w:val="auto"/>
              </w:rPr>
              <w:t>Transaction Type</w:t>
            </w: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Initiating Date</w:t>
            </w:r>
          </w:p>
        </w:tc>
        <w:tc>
          <w:tcPr>
            <w:tcW w:w="28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Arial" w:cs="Arial" w:eastAsia="Arial" w:hAnsi="Arial"/>
                <w:sz w:val="14"/>
                <w:szCs w:val="14"/>
                <w:b w:val="1"/>
                <w:bCs w:val="1"/>
                <w:color w:val="auto"/>
                <w:w w:val="92"/>
              </w:rPr>
              <w:t>Settlement Date</w:t>
            </w:r>
          </w:p>
        </w:tc>
        <w:tc>
          <w:tcPr>
            <w:tcW w:w="280" w:type="dxa"/>
            <w:vAlign w:val="bottom"/>
          </w:tcPr>
          <w:p>
            <w:pPr>
              <w:spacing w:after="0"/>
              <w:rPr>
                <w:sz w:val="16"/>
                <w:szCs w:val="16"/>
                <w:color w:val="auto"/>
              </w:rPr>
            </w:pPr>
          </w:p>
        </w:tc>
        <w:tc>
          <w:tcPr>
            <w:tcW w:w="64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600" w:type="dxa"/>
            <w:vAlign w:val="bottom"/>
          </w:tcPr>
          <w:p>
            <w:pPr>
              <w:jc w:val="right"/>
              <w:ind w:right="592"/>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6"/>
                <w:szCs w:val="16"/>
                <w:color w:val="auto"/>
              </w:rPr>
            </w:pPr>
          </w:p>
        </w:tc>
        <w:tc>
          <w:tcPr>
            <w:tcW w:w="12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9"/>
              </w:rPr>
              <w:t>(Received)/Paid</w:t>
            </w:r>
          </w:p>
        </w:tc>
        <w:tc>
          <w:tcPr>
            <w:tcW w:w="28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360" w:type="dxa"/>
            <w:vAlign w:val="bottom"/>
            <w:gridSpan w:val="3"/>
          </w:tcPr>
          <w:p>
            <w:pPr>
              <w:spacing w:after="0"/>
              <w:rPr>
                <w:sz w:val="20"/>
                <w:szCs w:val="20"/>
                <w:color w:val="auto"/>
              </w:rPr>
            </w:pPr>
            <w:r>
              <w:rPr>
                <w:rFonts w:ascii="Arial" w:cs="Arial" w:eastAsia="Arial" w:hAnsi="Arial"/>
                <w:sz w:val="14"/>
                <w:szCs w:val="14"/>
                <w:color w:val="auto"/>
              </w:rPr>
              <w:t>Private Accelerated Purchase(a)</w:t>
            </w:r>
          </w:p>
        </w:tc>
        <w:tc>
          <w:tcPr>
            <w:tcW w:w="1060" w:type="dxa"/>
            <w:vAlign w:val="bottom"/>
          </w:tcPr>
          <w:p>
            <w:pPr>
              <w:spacing w:after="0"/>
              <w:rPr>
                <w:sz w:val="20"/>
                <w:szCs w:val="20"/>
                <w:color w:val="auto"/>
              </w:rPr>
            </w:pPr>
            <w:r>
              <w:rPr>
                <w:rFonts w:ascii="Arial" w:cs="Arial" w:eastAsia="Arial" w:hAnsi="Arial"/>
                <w:sz w:val="14"/>
                <w:szCs w:val="14"/>
                <w:color w:val="auto"/>
              </w:rPr>
              <w:t>March 2002</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August 2002</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10,925</w:t>
            </w:r>
          </w:p>
        </w:tc>
        <w:tc>
          <w:tcPr>
            <w:tcW w:w="80" w:type="dxa"/>
            <w:vAlign w:val="bottom"/>
          </w:tcPr>
          <w:p>
            <w:pPr>
              <w:spacing w:after="0"/>
              <w:rPr>
                <w:sz w:val="20"/>
                <w:szCs w:val="20"/>
                <w:color w:val="auto"/>
              </w:rPr>
            </w:pPr>
          </w:p>
        </w:tc>
        <w:tc>
          <w:tcPr>
            <w:tcW w:w="1880" w:type="dxa"/>
            <w:vAlign w:val="bottom"/>
            <w:gridSpan w:val="2"/>
          </w:tcPr>
          <w:p>
            <w:pPr>
              <w:jc w:val="right"/>
              <w:ind w:right="292"/>
              <w:spacing w:after="0"/>
              <w:rPr>
                <w:sz w:val="20"/>
                <w:szCs w:val="20"/>
                <w:color w:val="auto"/>
              </w:rPr>
            </w:pPr>
            <w:r>
              <w:rPr>
                <w:rFonts w:ascii="Arial" w:cs="Arial" w:eastAsia="Arial" w:hAnsi="Arial"/>
                <w:sz w:val="14"/>
                <w:szCs w:val="14"/>
                <w:color w:val="auto"/>
              </w:rPr>
              <w:t>$27.46</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99"/>
              </w:rPr>
              <w:t>(18)(b)</w:t>
            </w:r>
          </w:p>
        </w:tc>
        <w:tc>
          <w:tcPr>
            <w:tcW w:w="700" w:type="dxa"/>
            <w:vAlign w:val="bottom"/>
            <w:gridSpan w:val="2"/>
          </w:tcPr>
          <w:p>
            <w:pPr>
              <w:ind w:left="64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282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60" w:type="dxa"/>
            <w:vAlign w:val="bottom"/>
            <w:gridSpan w:val="3"/>
          </w:tcPr>
          <w:p>
            <w:pPr>
              <w:spacing w:after="0" w:line="149" w:lineRule="exact"/>
              <w:rPr>
                <w:sz w:val="20"/>
                <w:szCs w:val="20"/>
                <w:color w:val="auto"/>
              </w:rPr>
            </w:pPr>
            <w:r>
              <w:rPr>
                <w:rFonts w:ascii="Arial" w:cs="Arial" w:eastAsia="Arial" w:hAnsi="Arial"/>
                <w:sz w:val="14"/>
                <w:szCs w:val="14"/>
                <w:color w:val="auto"/>
              </w:rPr>
              <w:t>Private Accelerated Purchase(a)</w:t>
            </w: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December 2002</w:t>
            </w:r>
          </w:p>
        </w:tc>
        <w:tc>
          <w:tcPr>
            <w:tcW w:w="28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February 2003</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1,731</w:t>
            </w:r>
          </w:p>
        </w:tc>
        <w:tc>
          <w:tcPr>
            <w:tcW w:w="80" w:type="dxa"/>
            <w:vAlign w:val="bottom"/>
          </w:tcPr>
          <w:p>
            <w:pPr>
              <w:spacing w:after="0"/>
              <w:rPr>
                <w:sz w:val="12"/>
                <w:szCs w:val="12"/>
                <w:color w:val="auto"/>
              </w:rPr>
            </w:pPr>
          </w:p>
        </w:tc>
        <w:tc>
          <w:tcPr>
            <w:tcW w:w="188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$24.52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(3)(c)</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3"/>
          </w:tcPr>
          <w:p>
            <w:pPr>
              <w:spacing w:after="0" w:line="149" w:lineRule="exact"/>
              <w:rPr>
                <w:sz w:val="20"/>
                <w:szCs w:val="20"/>
                <w:color w:val="auto"/>
              </w:rPr>
            </w:pPr>
            <w:r>
              <w:rPr>
                <w:rFonts w:ascii="Arial" w:cs="Arial" w:eastAsia="Arial" w:hAnsi="Arial"/>
                <w:sz w:val="14"/>
                <w:szCs w:val="14"/>
                <w:color w:val="auto"/>
              </w:rPr>
              <w:t>Private Accelerated Purchase(a)</w:t>
            </w: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March 2003</w:t>
            </w:r>
          </w:p>
        </w:tc>
        <w:tc>
          <w:tcPr>
            <w:tcW w:w="280" w:type="dxa"/>
            <w:vAlign w:val="bottom"/>
          </w:tcPr>
          <w:p>
            <w:pPr>
              <w:spacing w:after="0"/>
              <w:rPr>
                <w:sz w:val="12"/>
                <w:szCs w:val="12"/>
                <w:color w:val="auto"/>
              </w:rPr>
            </w:pPr>
          </w:p>
        </w:tc>
        <w:tc>
          <w:tcPr>
            <w:tcW w:w="1080" w:type="dxa"/>
            <w:vAlign w:val="bottom"/>
          </w:tcPr>
          <w:p>
            <w:pPr>
              <w:spacing w:after="0" w:line="149" w:lineRule="exact"/>
              <w:rPr>
                <w:sz w:val="20"/>
                <w:szCs w:val="20"/>
                <w:color w:val="auto"/>
              </w:rPr>
            </w:pPr>
            <w:r>
              <w:rPr>
                <w:rFonts w:ascii="Arial" w:cs="Arial" w:eastAsia="Arial" w:hAnsi="Arial"/>
                <w:sz w:val="14"/>
                <w:szCs w:val="14"/>
                <w:color w:val="auto"/>
              </w:rPr>
              <w:t>May 2003</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2,400</w:t>
            </w:r>
          </w:p>
        </w:tc>
        <w:tc>
          <w:tcPr>
            <w:tcW w:w="80" w:type="dxa"/>
            <w:vAlign w:val="bottom"/>
          </w:tcPr>
          <w:p>
            <w:pPr>
              <w:spacing w:after="0"/>
              <w:rPr>
                <w:sz w:val="12"/>
                <w:szCs w:val="12"/>
                <w:color w:val="auto"/>
              </w:rPr>
            </w:pPr>
          </w:p>
        </w:tc>
        <w:tc>
          <w:tcPr>
            <w:tcW w:w="188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$20.00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spacing w:after="0"/>
              <w:rPr>
                <w:sz w:val="20"/>
                <w:szCs w:val="20"/>
                <w:color w:val="auto"/>
              </w:rPr>
            </w:pPr>
            <w:r>
              <w:rPr>
                <w:rFonts w:ascii="Arial" w:cs="Arial" w:eastAsia="Arial" w:hAnsi="Arial"/>
                <w:sz w:val="14"/>
                <w:szCs w:val="14"/>
                <w:color w:val="auto"/>
              </w:rPr>
              <w:t>Open Market Purchases(e)</w:t>
            </w:r>
          </w:p>
        </w:tc>
        <w:tc>
          <w:tcPr>
            <w:tcW w:w="1060" w:type="dxa"/>
            <w:vAlign w:val="bottom"/>
          </w:tcPr>
          <w:p>
            <w:pPr>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N/A</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45,244</w:t>
            </w:r>
          </w:p>
        </w:tc>
        <w:tc>
          <w:tcPr>
            <w:tcW w:w="80" w:type="dxa"/>
            <w:vAlign w:val="bottom"/>
          </w:tcPr>
          <w:p>
            <w:pPr>
              <w:spacing w:after="0"/>
              <w:rPr>
                <w:sz w:val="14"/>
                <w:szCs w:val="14"/>
                <w:color w:val="auto"/>
              </w:rPr>
            </w:pPr>
          </w:p>
        </w:tc>
        <w:tc>
          <w:tcPr>
            <w:tcW w:w="1880" w:type="dxa"/>
            <w:vAlign w:val="bottom"/>
            <w:gridSpan w:val="2"/>
          </w:tcPr>
          <w:p>
            <w:pPr>
              <w:jc w:val="right"/>
              <w:ind w:right="292"/>
              <w:spacing w:after="0"/>
              <w:rPr>
                <w:sz w:val="20"/>
                <w:szCs w:val="20"/>
                <w:color w:val="auto"/>
              </w:rPr>
            </w:pPr>
            <w:r>
              <w:rPr>
                <w:rFonts w:ascii="Arial" w:cs="Arial" w:eastAsia="Arial" w:hAnsi="Arial"/>
                <w:sz w:val="14"/>
                <w:szCs w:val="14"/>
                <w:color w:val="auto"/>
              </w:rPr>
              <w:t>$19.70-$29.48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79"/>
              </w:rPr>
              <w:t>1,184</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352"/>
              <w:spacing w:after="0"/>
              <w:rPr>
                <w:sz w:val="20"/>
                <w:szCs w:val="20"/>
                <w:color w:val="auto"/>
              </w:rPr>
            </w:pPr>
            <w:r>
              <w:rPr>
                <w:rFonts w:ascii="Arial" w:cs="Arial" w:eastAsia="Arial" w:hAnsi="Arial"/>
                <w:sz w:val="14"/>
                <w:szCs w:val="14"/>
                <w:color w:val="auto"/>
                <w:w w:val="94"/>
              </w:rPr>
              <w:t>N/A</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1,184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60,300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79"/>
              </w:rPr>
              <w:t>1,574</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gridSpan w:val="2"/>
          </w:tcPr>
          <w:p>
            <w:pPr>
              <w:ind w:left="64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1,556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32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accounted for the initial payments as a purchase of treasury stock and classified the future settlements with the counterparty as an equity instrument because we had the option under these agreements to settle our obligations, if any, in shares of our common stock.</w:t>
      </w:r>
    </w:p>
    <w:p>
      <w:pPr>
        <w:spacing w:after="0" w:line="166"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$18 million less than the approximately $300 million we initially paid. Pursuant to the terms of the agreement, the counterparty paid us this difference of approximately $18 million at the end of the valuation period, which occurred during the third quarter of 2002, to settle the agreement. We accounted for the cash receipt as an adjustment to the carrying value of treasury stock and have therefore included it in common stock repurchases within financing activities in the consolidated statement of cash flows.</w:t>
      </w:r>
    </w:p>
    <w:p>
      <w:pPr>
        <w:spacing w:after="0" w:line="223"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less than the approximately $42 million we initially paid. Pursuant to the agreement, the counterparty paid us the difference of approximately $3 million at the end of the valuation period to settle the agreement.</w:t>
      </w:r>
    </w:p>
    <w:p>
      <w:pPr>
        <w:spacing w:after="0" w:line="221"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more than the approximately $48 million we initially paid. Pursuant to the agreement, we paid the counterparty the difference of approximately $3 million at the end of the valuation period to settle the agreement.</w:t>
      </w:r>
    </w:p>
    <w:p>
      <w:pPr>
        <w:spacing w:after="0" w:line="221"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2003 we purchased 19.6 million shares of our common stock in open market purchases for approximately $526 million. During 2002 we purchased 25.6 million shares of our common stock in open market purchases for approximately $658 million. We engaged in these purchases when trading was allowed pursuant to law and our insider trading policy.</w:t>
      </w:r>
    </w:p>
    <w:p>
      <w:pPr>
        <w:spacing w:after="0" w:line="221" w:lineRule="exact"/>
        <w:rPr>
          <w:sz w:val="20"/>
          <w:szCs w:val="20"/>
          <w:color w:val="auto"/>
        </w:rPr>
      </w:pPr>
    </w:p>
    <w:p>
      <w:pPr>
        <w:ind w:right="140" w:firstLine="270"/>
        <w:spacing w:after="0" w:line="306" w:lineRule="auto"/>
        <w:rPr>
          <w:sz w:val="20"/>
          <w:szCs w:val="20"/>
          <w:color w:val="auto"/>
        </w:rPr>
      </w:pPr>
      <w:r>
        <w:rPr>
          <w:rFonts w:ascii="Arial" w:cs="Arial" w:eastAsia="Arial" w:hAnsi="Arial"/>
          <w:sz w:val="16"/>
          <w:szCs w:val="16"/>
          <w:color w:val="auto"/>
        </w:rPr>
        <w:t>In August 2003, we announced that the Board of Directors approved a quarterly dividend program beginning in 2004. It is expected that the dividend will be $0.1875 per share per quarter, or $0.75 per share annually. The first quarterly dividend of $0.1875 per share will be paid on March 25, 2004 to stockholders of record as of March 1, 2004. Our 2004 dividend payments are expected to result in a cash outlay of approximately $430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2" w:name="page43"/>
    <w:bookmarkEnd w:id="42"/>
    <w:p>
      <w:pPr>
        <w:ind w:right="80" w:firstLine="324"/>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2003 and the anticipated effect of these obligations on our liquidity in future years (in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6"/>
              </w:rPr>
              <w:t>2008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Recorded Obligations:</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Expected environmental liabilities(a)</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Final capping, closure and post-closure</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$109</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ind w:left="30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$1,165</w:t>
            </w:r>
          </w:p>
        </w:tc>
        <w:tc>
          <w:tcPr>
            <w:tcW w:w="4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520"/>
              <w:spacing w:after="0"/>
              <w:rPr>
                <w:sz w:val="20"/>
                <w:szCs w:val="20"/>
                <w:color w:val="auto"/>
              </w:rPr>
            </w:pPr>
            <w:r>
              <w:rPr>
                <w:rFonts w:ascii="Arial" w:cs="Arial" w:eastAsia="Arial" w:hAnsi="Arial"/>
                <w:sz w:val="18"/>
                <w:szCs w:val="18"/>
                <w:color w:val="auto"/>
              </w:rPr>
              <w:t>Environmental remediation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268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112</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111</w:t>
            </w:r>
          </w:p>
        </w:tc>
        <w:tc>
          <w:tcPr>
            <w:tcW w:w="1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Debt payments(b)</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514(c)</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518</w:t>
            </w: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5,708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Unrecorded Obligations:</w:t>
            </w:r>
            <w:r>
              <w:rPr>
                <w:rFonts w:ascii="Arial" w:cs="Arial" w:eastAsia="Arial" w:hAnsi="Arial"/>
                <w:sz w:val="18"/>
                <w:szCs w:val="18"/>
                <w:color w:val="auto"/>
              </w:rPr>
              <w:t>(d)</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Non-cancelable operating lease obligations(e)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Unconditional purchase obligations(f)</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gridSpan w:val="2"/>
            <w:vMerge w:val="restart"/>
          </w:tcPr>
          <w:p>
            <w:pPr>
              <w:ind w:left="800"/>
              <w:spacing w:after="0"/>
              <w:rPr>
                <w:sz w:val="20"/>
                <w:szCs w:val="20"/>
                <w:color w:val="auto"/>
              </w:rPr>
            </w:pPr>
            <w:r>
              <w:rPr>
                <w:rFonts w:ascii="Arial" w:cs="Arial" w:eastAsia="Arial" w:hAnsi="Arial"/>
                <w:sz w:val="18"/>
                <w:szCs w:val="18"/>
                <w:color w:val="auto"/>
              </w:rPr>
              <w:t>Anticipated liquidity impact as of December 31,</w:t>
            </w: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80" w:type="dxa"/>
            <w:vAlign w:val="bottom"/>
            <w:gridSpan w:val="2"/>
          </w:tcPr>
          <w:p>
            <w:pPr>
              <w:jc w:val="right"/>
              <w:ind w:right="692"/>
              <w:spacing w:after="0"/>
              <w:rPr>
                <w:sz w:val="20"/>
                <w:szCs w:val="20"/>
                <w:color w:val="auto"/>
              </w:rPr>
            </w:pPr>
            <w:r>
              <w:rPr>
                <w:rFonts w:ascii="Arial" w:cs="Arial" w:eastAsia="Arial" w:hAnsi="Arial"/>
                <w:sz w:val="18"/>
                <w:szCs w:val="18"/>
                <w:color w:val="auto"/>
              </w:rPr>
              <w:t>2003</w:t>
            </w:r>
          </w:p>
        </w:tc>
        <w:tc>
          <w:tcPr>
            <w:tcW w:w="26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$965</w:t>
            </w: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1,220</w:t>
            </w: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709</w:t>
            </w:r>
          </w:p>
        </w:tc>
        <w:tc>
          <w:tcPr>
            <w:tcW w:w="10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700</w:t>
            </w: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751</w:t>
            </w:r>
          </w:p>
        </w:tc>
        <w:tc>
          <w:tcPr>
            <w:tcW w:w="1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$7,607</w:t>
            </w:r>
          </w:p>
        </w:tc>
        <w:tc>
          <w:tcPr>
            <w:tcW w:w="4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6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The amounts included here reflect environmental liabilities recorded in our consolidated balance sheet as of December 31, 2003 without the impact of discounting and inflation. The environmental liabilities included in our balance sheet at December 31, 2003 are based upon the estimated fair value of the final-capping, closure and post-closure obligations associated with the airspace capacity that has been consumed at our landfills through the end of the reporting period and our estimates of probable environmental remediation obligations. Our recorded environmental liabilities will increase as we continue to place additional tons within the permitted airspace at our landfills.</w:t>
      </w:r>
    </w:p>
    <w:p>
      <w:pPr>
        <w:spacing w:after="0" w:line="225"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Related interest obligations have been excluded from this maturity schedule. Our 2004 interest payments are expected to be approximately $500 million. Additionally, we use interest rate derivatives to manage our exposure to variability in interest rates. See Note 7 to our consolidated financial statements for disclosure associated with the terms of these instruments.</w:t>
      </w:r>
    </w:p>
    <w:p>
      <w:pPr>
        <w:spacing w:after="0" w:line="221"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$819 million of debt obligations with contractual maturities on or before December 31, 2004. This includes $150 million of 8.0% senior notes due April 30, 2004, $200 million of 6.5% senior notes due May 15, 2004 and $294 million of 7% senior notes due October 1, 2004. We have classified</w:t>
      </w:r>
    </w:p>
    <w:p>
      <w:pPr>
        <w:jc w:val="both"/>
        <w:ind w:left="460" w:right="180"/>
        <w:spacing w:after="0" w:line="295" w:lineRule="auto"/>
        <w:rPr>
          <w:rFonts w:ascii="Arial" w:cs="Arial" w:eastAsia="Arial" w:hAnsi="Arial"/>
          <w:sz w:val="16"/>
          <w:szCs w:val="16"/>
          <w:color w:val="auto"/>
        </w:rPr>
      </w:pPr>
      <w:r>
        <w:rPr>
          <w:rFonts w:ascii="Arial" w:cs="Arial" w:eastAsia="Arial" w:hAnsi="Arial"/>
          <w:sz w:val="16"/>
          <w:szCs w:val="16"/>
          <w:color w:val="auto"/>
        </w:rPr>
        <w:t>$550 million of these debt obligations as long-term at December 31, 2003 because we have the intent and ability to refinance these obligations with long-term debt instruments. Classified as a current obligation at December 31, 2003 is $245 million of fixed rate tax-exempt bonds subject to repricing within the next twelve months, which is prior to their scheduled maturities. If the reoffering of the bonds is unsuccessful, then the bonds can be put to us. These bonds are not backed by letters of credit that would serve to guarantee repayment in the event of a failed offering.</w:t>
      </w:r>
    </w:p>
    <w:p>
      <w:pPr>
        <w:spacing w:after="0" w:line="196"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We have also made certain guarantees, as discussed in Note 10, that we do not expect to materially affect our current or future financial position, results of operations or liquidity.</w:t>
      </w:r>
    </w:p>
    <w:p>
      <w:pPr>
        <w:spacing w:after="0" w:line="221"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our non-cancelable operating lease obligations are minimum rent payments for two of our waste-to-energy facilities that are required under leasing arrangements that we have with unconsolidated variable interest entities. See Note 23 to the consolidated financial statements for a discussion of the terms of these lease agreements. Our commitments under these lease arrangements do not materially impact our financial position, results of operations or liquidity.</w:t>
      </w:r>
    </w:p>
    <w:p>
      <w:pPr>
        <w:spacing w:after="0" w:line="224"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10 to the consolidated financial statements for discussion on the nature and terms of our unconditional purchase obligations.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We have contingencies that are deemed not reasonably likely and thus not included in the above table. See Note 10 to the consolidated financial statements for further discussion.</w:t>
      </w:r>
    </w:p>
    <w:p>
      <w:pPr>
        <w:spacing w:after="0" w:line="213"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Our strategy is to primarily utilize cash flows from operations to meet our capital needs and contractual obligations. However, we also have bank borrowings available to meet our capital needs and contractual obligations and, when appropriate, will obtain financing by issuing debt or common stock.</w:t>
      </w:r>
    </w:p>
    <w:p>
      <w:pPr>
        <w:spacing w:after="0" w:line="166"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As of December 31, 2003, we had a three-year, $650 million syndicated revolving credit facility and a five-year, $1.75 billion syndicated revolving credit facility. The three-year revolver matures in June 2005 and the five-year revolver matures in June 2006. At December 31, 2003, no borrowings were outstanding under our revolving credit facilities and we had unused and available credit capacity under these facilities of approximately $792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2003, we are required to maintain the following financial covenants under our revolving credit facilities: (i) an interest coverage ratio;</w:t>
      </w:r>
    </w:p>
    <w:p>
      <w:pPr>
        <w:spacing w:after="0" w:line="38"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debt to EBITDA ratio; and (iii) minimum net worth, all as defined in the credit facilities solely for the purpose of determining compliance with the</w:t>
      </w:r>
    </w:p>
    <w:p>
      <w:pPr>
        <w:spacing w:after="0" w:line="24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9" w:right="239" w:bottom="850" w:gutter="0" w:footer="0" w:header="0"/>
        </w:sectPr>
      </w:pPr>
    </w:p>
    <w:bookmarkStart w:id="43" w:name="page44"/>
    <w:bookmarkEnd w:id="43"/>
    <w:p>
      <w:pPr>
        <w:spacing w:after="0" w:line="287" w:lineRule="auto"/>
        <w:rPr>
          <w:sz w:val="20"/>
          <w:szCs w:val="20"/>
          <w:color w:val="auto"/>
        </w:rPr>
      </w:pPr>
      <w:r>
        <w:rPr>
          <w:rFonts w:ascii="Arial" w:cs="Arial" w:eastAsia="Arial" w:hAnsi="Arial"/>
          <w:sz w:val="16"/>
          <w:szCs w:val="16"/>
          <w:color w:val="auto"/>
        </w:rPr>
        <w:t>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3.25 to 1. Our minimum net worth covenant restricts us from allowing stockholders’ equity to be less than $3.5 billion plus 75% of our cumulative consolidated net income for each fiscal quarter, beginning with the first fiscal quarter ended March 31, 2001. The credit facilities requiring compliance with these financial covenants state that the calculations must be based on generally accepted accounting principles promulgated by the Financial Accounting Standards Board and applied by us during the latest fiscal year before the date of the facilities, or December 31, 2000 and 2001. Therefore, our adoption or implementation of accounting pronouncements or interpretations effective after those dates does not impact the calculation of the financial covenants defined above. We are in compliance with all covenants under our revolving credit facilities and all other debt instruments.</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increased our utilization of tax-exempt financing and plan to continue this trend due to the attractive rates offered for these instruments. As such, we continue to assess our financial assurance and letter of credit requirements and expect that we will arrange additional long-term letter of credit and/or surety bond capacity in advance of our business requirements.</w:t>
      </w:r>
    </w:p>
    <w:p>
      <w:pPr>
        <w:spacing w:after="0" w:line="22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have issued tax-exempt bonds primarily for the construction of collection and disposal facilities. Proceeds from these financing arrangements are directly deposited into trust funds and we do not have the ability to utilize the funds in regular operating activities. Accordingly, we report these amounts as an investing activity when the cash is released from the trust funds and a financing activity when the industrial revenue bonds are repaid. At December 31, 2003, approximately $465 million of funds were held in trust to meet future capital expenditures at various facilities. These fund balances are included as other long-term assets in the accompanying consolidated balance sheets. Historically, proceeds from the issuance of tax-exempt bonds held in trust funds have been invested in cash and cash equivalents. Beginning in the fourth quarter of 2003 we determined that it would be beneficial to invest these funds in longer term, higher yield debt instruments. As of December 31, 2003, $397 million of our trust fund assets funded by tax-exempt bonds and held for future capital expenditures were invested in U.S. government agency debt securities with maturities ranging from less than one year to three years.</w:t>
      </w:r>
    </w:p>
    <w:p>
      <w:pPr>
        <w:spacing w:after="0" w:line="199"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We manage the interest rate risk of our debt portfolio principally by using interest rate derivatives to achieve a desired mix of fixed and floating rate debt, which was approximately 63% fixed and 37% floating at December 31, 2003. In addition, we use variable rate tax-exempt financings and periodically enter into derivative transactions to secure the then-current market interest rate in anticipation of senior debt issuances.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party to (i) lease agreements with unconsolidated variable interest entities as discussed in Note 23 to the consolidated financial statements,</w:t>
      </w:r>
    </w:p>
    <w:p>
      <w:pPr>
        <w:spacing w:after="0" w:line="38"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product and service purchase commitments as discussed in the </w:t>
      </w:r>
      <w:r>
        <w:rPr>
          <w:rFonts w:ascii="Arial" w:cs="Arial" w:eastAsia="Arial" w:hAnsi="Arial"/>
          <w:sz w:val="15"/>
          <w:szCs w:val="15"/>
          <w:i w:val="1"/>
          <w:iCs w:val="1"/>
          <w:color w:val="auto"/>
        </w:rPr>
        <w:t>Other long-term commitments</w:t>
      </w:r>
      <w:r>
        <w:rPr>
          <w:rFonts w:ascii="Arial" w:cs="Arial" w:eastAsia="Arial" w:hAnsi="Arial"/>
          <w:sz w:val="15"/>
          <w:szCs w:val="15"/>
          <w:color w:val="auto"/>
        </w:rPr>
        <w:t xml:space="preserve"> section of Note 10 to the consolidated financial statements and</w:t>
      </w:r>
    </w:p>
    <w:p>
      <w:pPr>
        <w:spacing w:after="0" w:line="43" w:lineRule="exact"/>
        <w:rPr>
          <w:rFonts w:ascii="Arial" w:cs="Arial" w:eastAsia="Arial" w:hAnsi="Arial"/>
          <w:sz w:val="15"/>
          <w:szCs w:val="15"/>
          <w:color w:val="auto"/>
        </w:rPr>
      </w:pPr>
    </w:p>
    <w:p>
      <w:pPr>
        <w:ind w:firstLine="8"/>
        <w:spacing w:after="0" w:line="292" w:lineRule="auto"/>
        <w:tabs>
          <w:tab w:leader="none" w:pos="3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10 to the consolidated financial statements. These lease agreements and purchase commitments are established in the ordinary course of our business and are designed to provide us with access to facilities, products and services at competitive, market-driven prices. Our third-party guarantee arrangements are generally established to support our financial assurance needs and landfill operations. These arrangements have not materially affected our financial position, results of operations or liquidity during the period ended December 31, 2003 nor are they expected to have a material impact on our future financial position, results of operations or liquidity.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these seasonal trends. We also use the slower winter months for scheduled maintenance at our waste-to-energy facilities, so repair and maintenance expense is generally higher in our first quarter than in other quarters during the year. In addition, particularly harsh weather conditions may result in the temporary suspension of certain of our operations.</w:t>
      </w:r>
    </w:p>
    <w:p>
      <w:pPr>
        <w:spacing w:after="0" w:line="224"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We believe that inflation has not had, and in the near future is not expected to have, any material adverse effect on our results of operations. However, management’s estimates associated with inflation have had, and will continue to have, an impact on our accounting for landfill and environmental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Information regarding our assessment of new accounting pronouncements can be found in Note 23 to the consolidated financial statements included in this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foreign currency rates and certain commodity prices. From time to time, we use derivatives to manage some portion of these risks. Our derivatives are agreements with independent counterparties that provide for payments based on a notional amount, with no multipliers or leverage. As of December 31, 2003, all of the derivatives were related to actual or anticipated exposures of our transactions, with the exception of certain derivatives related to the fiber commodity markets that were entered into for trading purposes. We are exposed to credit risk in the event of non-performance by our derivative counterparties. However, we monitor our derivative positions by regularly evaluating our positions and the creditworthiness of the counterparties, all of whom we either consider credit-worthy, or who have issued letters of credit to support their performance.</w:t>
      </w:r>
    </w:p>
    <w:p>
      <w:pPr>
        <w:spacing w:after="0" w:line="228" w:lineRule="exact"/>
        <w:rPr>
          <w:sz w:val="20"/>
          <w:szCs w:val="20"/>
          <w:color w:val="auto"/>
        </w:rPr>
      </w:pPr>
    </w:p>
    <w:p>
      <w:pPr>
        <w:ind w:right="80" w:firstLine="324"/>
        <w:spacing w:after="0" w:line="323" w:lineRule="auto"/>
        <w:rPr>
          <w:sz w:val="20"/>
          <w:szCs w:val="20"/>
          <w:color w:val="auto"/>
        </w:rPr>
      </w:pPr>
      <w:r>
        <w:rPr>
          <w:rFonts w:ascii="Arial" w:cs="Arial" w:eastAsia="Arial" w:hAnsi="Arial"/>
          <w:sz w:val="15"/>
          <w:szCs w:val="15"/>
          <w:color w:val="auto"/>
        </w:rPr>
        <w:t>We have performed sensitivity analyses to determine how market rate changes might affect the fair value of our market risk sensitive derivatives and related positions. This analysis is inherently limited because it represents a singular, hypothetical set of assumptions. Actual market movements may vary significantly from our assumptions. The effects of market movements may also directly or indirectly affect our assumptions and our rights and obligations not covered by sensitivity analysis. Fair value sensitivity is not necessarily indicative of the ultimate cash flow or the earnings effect from the assumed market rate movements.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Interest Rate Exposure. </w:t>
      </w:r>
      <w:r>
        <w:rPr>
          <w:rFonts w:ascii="Arial" w:cs="Arial" w:eastAsia="Arial" w:hAnsi="Arial"/>
          <w:sz w:val="16"/>
          <w:szCs w:val="16"/>
          <w:color w:val="auto"/>
        </w:rPr>
        <w:t>Our exposure to market risk for changes in interest rates relates primarily to our debt obligations, which are denominated in</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U.S. dollars. In addition, we use interest rate swaps to either lock in or limit the variability in the interest rates to manage the mix of fixed and floating rate debt obligations. An instantaneous, one percentage point decrease in interest rates across all maturities and applicable yield curves would increase the fair value of our combined debt and interest rate swap positions at both December 31, 2003 and 2002 by approximately $500 million. This analysis does not reflect the effect that declining interest rates would have on other items, such as new borrowings, nor the favorable impact they would have on interest expense and cash payments for interest. Since a significant portion of our debt is at fixed rates, changes in market interest rates would not significantly impact operating results until and unless our fixed rate debt would need to be refinanced at maturity.</w:t>
      </w:r>
    </w:p>
    <w:p>
      <w:pPr>
        <w:spacing w:after="0" w:line="19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also exposed to interest rate market risk because we have approximately $752 million of restricted funds held in trust funds and escrow accounts included as a component of other long-term assets in our consolidated balance sheet. These funds are generally restricted for future capital expenditures and closure, post-closure and remedial activities at our disposal facilities and are therefore invested in high quality, liquid instruments including money market accounts and U.S. government agency debt securities. Because of the short-terms of these investments, we believe that our exposure to changes in fair value due to interest rate fluctuations is insignificant.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5" w:name="page46"/>
    <w:bookmarkEnd w:id="45"/>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Currency Rate Exposure. </w:t>
      </w:r>
      <w:r>
        <w:rPr>
          <w:rFonts w:ascii="Arial" w:cs="Arial" w:eastAsia="Arial" w:hAnsi="Arial"/>
          <w:sz w:val="18"/>
          <w:szCs w:val="18"/>
          <w:color w:val="auto"/>
        </w:rPr>
        <w:t>From time to time, we have used foreign currency derivatives to mitigate the impact of currency translation on cash flows on</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foreign-currency denominated debt. There would be no material impact if there were an instantaneous 10% decrease in foreign exchange rates at either December 31, 2003 or December 31, 2002.</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Commodities Price Exposure. </w:t>
      </w:r>
      <w:r>
        <w:rPr>
          <w:rFonts w:ascii="Arial" w:cs="Arial" w:eastAsia="Arial" w:hAnsi="Arial"/>
          <w:sz w:val="16"/>
          <w:szCs w:val="16"/>
          <w:color w:val="auto"/>
        </w:rPr>
        <w:t>We market recycled waste paper products such as ONP and OCC from our material recovery facilities. We enter into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fiber swaps to mitigate the variability in cash flows from a portion of these sales. Under these swap agreements, we pay a floating index price and receive a fixed price for a fixed period of time. We record changes in the fair value of these fiber swap agreements not designated as hedges immediately to earnings. All derivative transactions are subject to our risk management policy which governs the type of instruments that may be used and our risk exposure limits. An instantaneous 10% increase in OCC and ONP prices would decrease the fair value of our hedges by approximately $10 million on both December 31, 2003 and 2002. This analysis excludes the underlying physical commodity sales positions that are being hedged.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2 and 7 to the consolidated financial statements for further discussion of the use of and accounting for derivative instruments.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9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center"/>
              <w:ind w:left="372"/>
              <w:spacing w:after="0"/>
              <w:rPr>
                <w:sz w:val="20"/>
                <w:szCs w:val="20"/>
                <w:color w:val="auto"/>
              </w:rPr>
            </w:pPr>
            <w:r>
              <w:rPr>
                <w:rFonts w:ascii="Arial" w:cs="Arial" w:eastAsia="Arial" w:hAnsi="Arial"/>
                <w:sz w:val="18"/>
                <w:szCs w:val="18"/>
                <w:b w:val="1"/>
                <w:bCs w:val="1"/>
                <w:color w:val="auto"/>
              </w:rPr>
              <w:t>INDEX TO</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jc w:val="center"/>
              <w:ind w:left="372"/>
              <w:spacing w:after="0"/>
              <w:rPr>
                <w:sz w:val="20"/>
                <w:szCs w:val="20"/>
                <w:color w:val="auto"/>
              </w:rPr>
            </w:pPr>
            <w:r>
              <w:rPr>
                <w:rFonts w:ascii="Arial" w:cs="Arial" w:eastAsia="Arial" w:hAnsi="Arial"/>
                <w:sz w:val="18"/>
                <w:szCs w:val="18"/>
                <w:b w:val="1"/>
                <w:bCs w:val="1"/>
                <w:color w:val="auto"/>
                <w:w w:val="98"/>
              </w:rPr>
              <w:t>CONSOLIDATED FINANCIAL STATEMENTS</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1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Report of Independent Auditors</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Report of Independent Public Accountants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Sheets as of December 31, 2003 and 2002</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Consolidated Statements of Operations for the Years Ended December 31, 2003, 2002</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and 2001</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w w:val="90"/>
              </w:rPr>
              <w:t>Consolidated Statements of Cash Flows for the Years Ended December 31, 2003, 2002</w:t>
            </w:r>
          </w:p>
        </w:tc>
        <w:tc>
          <w:tcPr>
            <w:tcW w:w="48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and 2001</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4"/>
              </w:rPr>
              <w:t>Consolidated Statements of Stockholders’ Equity for the Years Ended December 31,</w:t>
            </w:r>
          </w:p>
        </w:tc>
        <w:tc>
          <w:tcPr>
            <w:tcW w:w="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2003, 2002 and 2001</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 w:type="dxa"/>
            <w:vAlign w:val="bottom"/>
          </w:tcPr>
          <w:p>
            <w:pPr>
              <w:spacing w:after="0"/>
              <w:rPr>
                <w:sz w:val="24"/>
                <w:szCs w:val="24"/>
                <w:color w:val="auto"/>
              </w:rPr>
            </w:pPr>
          </w:p>
        </w:tc>
        <w:tc>
          <w:tcPr>
            <w:tcW w:w="7920" w:type="dxa"/>
            <w:vAlign w:val="bottom"/>
            <w:gridSpan w:val="2"/>
          </w:tcPr>
          <w:p>
            <w:pPr>
              <w:jc w:val="center"/>
              <w:ind w:left="1932"/>
              <w:spacing w:after="0"/>
              <w:rPr>
                <w:sz w:val="20"/>
                <w:szCs w:val="20"/>
                <w:color w:val="auto"/>
              </w:rPr>
            </w:pPr>
            <w:r>
              <w:rPr>
                <w:rFonts w:ascii="Arial" w:cs="Arial" w:eastAsia="Arial" w:hAnsi="Arial"/>
                <w:sz w:val="18"/>
                <w:szCs w:val="18"/>
                <w:color w:val="auto"/>
                <w:w w:val="89"/>
              </w:rPr>
              <w:t>42</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47" w:name="page48"/>
    <w:bookmarkEnd w:id="47"/>
    <w:p>
      <w:pPr>
        <w:ind w:left="4060"/>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5"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have audited the accompanying consolidated balance sheets of Waste Management, Inc. (the “Company”) as of December 31, 2003 and 2002,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 The consolidated financial statements of the Company for the year ended December 31, 2001 were audited by other auditors who have ceased operations and whose report dated February 25, 2002 expressed an unqualified opinion on those statements before the restatement adjustments and disclosures described below and in Notes 2, 6 and 20.</w:t>
      </w:r>
    </w:p>
    <w:p>
      <w:pPr>
        <w:spacing w:after="0" w:line="15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our opinion, the 2003 and 2002 consolidated financial statements referred to above present fairly, in all material respects, the consolidated financial position of Waste Management, Inc. at December 31, 2003 and 2002, and the consolidated results of its operations and its cash flows for the years then ended in conformity with accounting principles generally accepted in the United States.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As discussed in Note 19 to the consolidated financial statements, during 2003 the Company adopted relevant portions of Financial Accounting Standards Board Interpretation No.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As discussed in Note 2 to the consolidated financial statements, effective January 1, 2003, the Company (i) changed its method of accounting for major repairs and maintenance costs and annual outage costs, (ii) changed its method of accounting for loss contracts and (iii) adopted Statement of Financial Accounting Standards (“SFAS”)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(“SFAS 143”). As discussed in Note 6 to the consolidated financial statements, effective January 1, 2002 the Company adopted SFAS No. 142,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(“SFAS 142”).</w:t>
      </w:r>
    </w:p>
    <w:p>
      <w:pPr>
        <w:spacing w:after="0" w:line="198"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As discussed above, the consolidated financial statements of the Company for the year ended December 31, 2001, were audited by other auditors who have ceased operations. However, the Company made certain adjustments and disclosures to the 2001 financial statements to conform with the current year’s presentation or to comply with the adoption requirements of new accounting pronouncements, as follows:</w:t>
      </w:r>
    </w:p>
    <w:p>
      <w:pPr>
        <w:spacing w:after="0" w:line="161" w:lineRule="exact"/>
        <w:rPr>
          <w:sz w:val="20"/>
          <w:szCs w:val="20"/>
          <w:color w:val="auto"/>
        </w:rPr>
      </w:pPr>
    </w:p>
    <w:p>
      <w:pPr>
        <w:ind w:left="460" w:right="60" w:hanging="452"/>
        <w:spacing w:after="0" w:line="289"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described in Note 2, the 2001 consolidated financial statements have been revised to include the pro forma disclosures required by the Company’s changes in its methods of accounting for major repairs and maintenance and annual outage costs, loss contracts, and asset retirement obligations. Our procedures with respect to the disclosures in Note 2 regarding 2001 included (</w:t>
      </w:r>
      <w:r>
        <w:rPr>
          <w:rFonts w:ascii="Arial" w:cs="Arial" w:eastAsia="Arial" w:hAnsi="Arial"/>
          <w:sz w:val="16"/>
          <w:szCs w:val="16"/>
          <w:i w:val="1"/>
          <w:iCs w:val="1"/>
          <w:color w:val="auto"/>
        </w:rPr>
        <w:t>a</w:t>
      </w:r>
      <w:r>
        <w:rPr>
          <w:rFonts w:ascii="Arial" w:cs="Arial" w:eastAsia="Arial" w:hAnsi="Arial"/>
          <w:sz w:val="16"/>
          <w:szCs w:val="16"/>
          <w:color w:val="auto"/>
        </w:rPr>
        <w:t>) agreeing the previously reported income before cumulative effect of changes in accounting principles (in total and the related earnings per share amounts) to the previously issued consolidated financial statements and agreeing the adjustments, which arose from applying the Company’s prior accounting policies, to the Company’s underlying records obtained from management, (</w:t>
      </w:r>
      <w:r>
        <w:rPr>
          <w:rFonts w:ascii="Arial" w:cs="Arial" w:eastAsia="Arial" w:hAnsi="Arial"/>
          <w:sz w:val="16"/>
          <w:szCs w:val="16"/>
          <w:i w:val="1"/>
          <w:iCs w:val="1"/>
          <w:color w:val="auto"/>
        </w:rPr>
        <w:t>b</w:t>
      </w:r>
      <w:r>
        <w:rPr>
          <w:rFonts w:ascii="Arial" w:cs="Arial" w:eastAsia="Arial" w:hAnsi="Arial"/>
          <w:sz w:val="16"/>
          <w:szCs w:val="16"/>
          <w:color w:val="auto"/>
        </w:rPr>
        <w:t>) agreeing the pro forma effect of applying SFAS 143 to an analysis prepared by management and (</w:t>
      </w:r>
      <w:r>
        <w:rPr>
          <w:rFonts w:ascii="Arial" w:cs="Arial" w:eastAsia="Arial" w:hAnsi="Arial"/>
          <w:sz w:val="16"/>
          <w:szCs w:val="16"/>
          <w:i w:val="1"/>
          <w:iCs w:val="1"/>
          <w:color w:val="auto"/>
        </w:rPr>
        <w:t>c</w:t>
      </w:r>
      <w:r>
        <w:rPr>
          <w:rFonts w:ascii="Arial" w:cs="Arial" w:eastAsia="Arial" w:hAnsi="Arial"/>
          <w:sz w:val="16"/>
          <w:szCs w:val="16"/>
          <w:color w:val="auto"/>
        </w:rPr>
        <w:t>) testing the mathematical accuracy of the reconciliation of pro forma income to previously reported income before cumulative effect of changes in accounting principles and the related earnings per share amounts.</w:t>
      </w:r>
    </w:p>
    <w:p>
      <w:pPr>
        <w:spacing w:after="0" w:line="199"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described in Note 6, the 2001 consolidated financial statements have been revised to include the transitional and other disclosures required by SFAS 142, which the Company adopted as of January 1, 2002. Our procedures with respect to the disclosures in Note 6 regarding 2001 included (</w:t>
      </w:r>
      <w:r>
        <w:rPr>
          <w:rFonts w:ascii="Arial" w:cs="Arial" w:eastAsia="Arial" w:hAnsi="Arial"/>
          <w:sz w:val="18"/>
          <w:szCs w:val="18"/>
          <w:i w:val="1"/>
          <w:iCs w:val="1"/>
          <w:color w:val="auto"/>
        </w:rPr>
        <w:t>a</w:t>
      </w:r>
      <w:r>
        <w:rPr>
          <w:rFonts w:ascii="Arial" w:cs="Arial" w:eastAsia="Arial" w:hAnsi="Arial"/>
          <w:sz w:val="18"/>
          <w:szCs w:val="18"/>
          <w:color w:val="auto"/>
        </w:rPr>
        <w:t>) agreeing the previously reported net income (in total and the related earnings per share amounts) to the previously issued consolidated financial statements and the adjustments to those amounts representing amortization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ind w:left="360" w:right="40"/>
        <w:spacing w:after="0" w:line="335" w:lineRule="auto"/>
        <w:rPr>
          <w:sz w:val="20"/>
          <w:szCs w:val="20"/>
          <w:color w:val="auto"/>
        </w:rPr>
      </w:pPr>
      <w:r>
        <w:rPr>
          <w:rFonts w:ascii="Arial" w:cs="Arial" w:eastAsia="Arial" w:hAnsi="Arial"/>
          <w:sz w:val="15"/>
          <w:szCs w:val="15"/>
          <w:color w:val="auto"/>
        </w:rPr>
        <w:t>expense (including any related tax effects) recognized in 2001 related to goodwill and negative goodwill to the Company’s underlying records obtained from management, (</w:t>
      </w:r>
      <w:r>
        <w:rPr>
          <w:rFonts w:ascii="Arial" w:cs="Arial" w:eastAsia="Arial" w:hAnsi="Arial"/>
          <w:sz w:val="15"/>
          <w:szCs w:val="15"/>
          <w:i w:val="1"/>
          <w:iCs w:val="1"/>
          <w:color w:val="auto"/>
        </w:rPr>
        <w:t>b</w:t>
      </w:r>
      <w:r>
        <w:rPr>
          <w:rFonts w:ascii="Arial" w:cs="Arial" w:eastAsia="Arial" w:hAnsi="Arial"/>
          <w:sz w:val="15"/>
          <w:szCs w:val="15"/>
          <w:color w:val="auto"/>
        </w:rPr>
        <w:t>) testing the mathematical accuracy of the reconciliation of adjusted net income to previously reported net income and the related earnings-per-share amounts and (</w:t>
      </w:r>
      <w:r>
        <w:rPr>
          <w:rFonts w:ascii="Arial" w:cs="Arial" w:eastAsia="Arial" w:hAnsi="Arial"/>
          <w:sz w:val="15"/>
          <w:szCs w:val="15"/>
          <w:i w:val="1"/>
          <w:iCs w:val="1"/>
          <w:color w:val="auto"/>
        </w:rPr>
        <w:t>c</w:t>
      </w:r>
      <w:r>
        <w:rPr>
          <w:rFonts w:ascii="Arial" w:cs="Arial" w:eastAsia="Arial" w:hAnsi="Arial"/>
          <w:sz w:val="15"/>
          <w:szCs w:val="15"/>
          <w:color w:val="auto"/>
        </w:rPr>
        <w:t>) agreeing 2001 amortization expense for other intangible assets to the Company’s underlying records obtained from management.</w:t>
      </w:r>
    </w:p>
    <w:p>
      <w:pPr>
        <w:spacing w:after="0" w:line="142" w:lineRule="exact"/>
        <w:rPr>
          <w:sz w:val="20"/>
          <w:szCs w:val="20"/>
          <w:color w:val="auto"/>
        </w:rPr>
      </w:pPr>
    </w:p>
    <w:p>
      <w:pPr>
        <w:ind w:left="460" w:hanging="452"/>
        <w:spacing w:after="0" w:line="290"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described in Note 20, the Company changed the composition of its reportable segments in 2003 and 2002, and the amounts in the 2001 consolidated financial statements relating to reportable segments have been restated to conform to the 2003 composition of reportable segments. We audited the adjustments that were applied to restate the disclosures for reportable segments reflected in the 2001 consolidated financial statements. Our procedures included (</w:t>
      </w:r>
      <w:r>
        <w:rPr>
          <w:rFonts w:ascii="Arial" w:cs="Arial" w:eastAsia="Arial" w:hAnsi="Arial"/>
          <w:sz w:val="16"/>
          <w:szCs w:val="16"/>
          <w:i w:val="1"/>
          <w:iCs w:val="1"/>
          <w:color w:val="auto"/>
        </w:rPr>
        <w:t>a</w:t>
      </w:r>
      <w:r>
        <w:rPr>
          <w:rFonts w:ascii="Arial" w:cs="Arial" w:eastAsia="Arial" w:hAnsi="Arial"/>
          <w:sz w:val="16"/>
          <w:szCs w:val="16"/>
          <w:color w:val="auto"/>
        </w:rPr>
        <w:t>) agreeing the adjusted amounts of segment gross operating revenues, intercompany operating revenues, net operating revenues, income from operations, depreciation and amortization, capital expenditures and total assets to the Company’s underlying records obtained from management, (</w:t>
      </w:r>
      <w:r>
        <w:rPr>
          <w:rFonts w:ascii="Arial" w:cs="Arial" w:eastAsia="Arial" w:hAnsi="Arial"/>
          <w:sz w:val="16"/>
          <w:szCs w:val="16"/>
          <w:i w:val="1"/>
          <w:iCs w:val="1"/>
          <w:color w:val="auto"/>
        </w:rPr>
        <w:t>b</w:t>
      </w:r>
      <w:r>
        <w:rPr>
          <w:rFonts w:ascii="Arial" w:cs="Arial" w:eastAsia="Arial" w:hAnsi="Arial"/>
          <w:sz w:val="16"/>
          <w:szCs w:val="16"/>
          <w:color w:val="auto"/>
        </w:rPr>
        <w:t>) testing the mathematical accuracy of the reconciliations of segment amounts to the consolidated financial statements, and (</w:t>
      </w:r>
      <w:r>
        <w:rPr>
          <w:rFonts w:ascii="Arial" w:cs="Arial" w:eastAsia="Arial" w:hAnsi="Arial"/>
          <w:sz w:val="16"/>
          <w:szCs w:val="16"/>
          <w:i w:val="1"/>
          <w:iCs w:val="1"/>
          <w:color w:val="auto"/>
        </w:rPr>
        <w:t>c</w:t>
      </w:r>
      <w:r>
        <w:rPr>
          <w:rFonts w:ascii="Arial" w:cs="Arial" w:eastAsia="Arial" w:hAnsi="Arial"/>
          <w:sz w:val="16"/>
          <w:szCs w:val="16"/>
          <w:color w:val="auto"/>
        </w:rPr>
        <w:t>) agreeing goodwill amortization expense to the Company’s underlying records obtained from management.</w:t>
      </w:r>
    </w:p>
    <w:p>
      <w:pPr>
        <w:spacing w:after="0" w:line="172"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In our opinion, the adjustments and disclosures described in (i), (ii) and (iii) above are appropriate and have been properly applied. However, we were not engaged to audit, review, or apply any procedures to the 2001 consolidated financial statements of the Company other than with respect to such adjustments and disclosures and, accordingly, we do not express an opinion or any other form of assurance on the 2001 consolidated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95250</wp:posOffset>
            </wp:positionV>
            <wp:extent cx="1337945"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79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10, 2004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9" w:name="page50"/>
    <w:bookmarkEnd w:id="49"/>
    <w:p>
      <w:pPr>
        <w:ind w:left="3500"/>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Waste Management, Inc.</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audited the accompanying consolidated balance sheets of Waste Management, Inc., a Delaware corporation, and subsidiaries (the “Company”), as of December 31, 2001 and 2000, and the related consolidated statements of operations, cash flows and stockholders’ equity for each of the years in the three year period ended December 31, 2001. These financial statements are the responsibility of the Company’s management. Our responsibility is to express an opinion on these consolidated financial statements based on our audits.</w:t>
      </w:r>
    </w:p>
    <w:p>
      <w:pPr>
        <w:spacing w:after="0" w:line="2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jc w:val="both"/>
        <w:ind w:right="580" w:firstLine="324"/>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Waste Management, Inc. and subsidiaries as of December 31, 2001 and 2000, and the results of their operations and their cash flows for each of the years in the three year period ended December 31, 2001, in conformity with accounting principles generally accepted in the United States.</w:t>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ARTHUR ANDERSEN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2002</w:t>
      </w:r>
    </w:p>
    <w:p>
      <w:pPr>
        <w:spacing w:after="0" w:line="219"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b w:val="1"/>
          <w:bCs w:val="1"/>
          <w:color w:val="auto"/>
        </w:rPr>
        <w:t>THIS IS A COPY OF THE AUDIT REPORT PREVIOUSLY ISSUED BY ARTHUR ANDERSEN LLP IN CONNECTION WITH WASTE MANAGEMENT, INC.’S FILING ON FORM 10-K FOR THE YEAR ENDED DECEMBER 31, 2001. THIS AUDIT REPORT HAS NOT BEEN REISSUED BY ARTHUR ANDERSEN LLP IN CONNECTION WITH THIS FILING ON FORM 10-K. SEE EXHIBIT 23.2 FOR FURTHER DISCUSSION.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7"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68580</wp:posOffset>
            </wp:positionV>
            <wp:extent cx="14319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doubtful accounts of $58 and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320"/>
              <w:spacing w:after="0"/>
              <w:rPr>
                <w:sz w:val="20"/>
                <w:szCs w:val="20"/>
                <w:color w:val="auto"/>
              </w:rPr>
            </w:pPr>
            <w:r>
              <w:rPr>
                <w:rFonts w:ascii="Arial" w:cs="Arial" w:eastAsia="Arial" w:hAnsi="Arial"/>
                <w:sz w:val="18"/>
                <w:szCs w:val="18"/>
                <w:color w:val="auto"/>
              </w:rPr>
              <w:t>$60 respectively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Notes and other receivables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2,804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w w:val="95"/>
              </w:rPr>
              <w:t>Property and equipment, net of accumulated depreciation and amortization of</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120"/>
              <w:spacing w:after="0"/>
              <w:rPr>
                <w:sz w:val="20"/>
                <w:szCs w:val="20"/>
                <w:color w:val="auto"/>
              </w:rPr>
            </w:pPr>
            <w:r>
              <w:rPr>
                <w:rFonts w:ascii="Arial" w:cs="Arial" w:eastAsia="Arial" w:hAnsi="Arial"/>
                <w:sz w:val="18"/>
                <w:szCs w:val="18"/>
                <w:color w:val="auto"/>
              </w:rPr>
              <w:t>$9,553 and $8,498, respectively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10,612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5,266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5,079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1,256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0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20,656</w:t>
            </w:r>
          </w:p>
        </w:tc>
        <w:tc>
          <w:tcPr>
            <w:tcW w:w="2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19,856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00" w:type="dxa"/>
            <w:vAlign w:val="bottom"/>
            <w:gridSpan w:val="2"/>
            <w:shd w:val="clear" w:color="auto" w:fill="EEEEEE"/>
          </w:tcPr>
          <w:p>
            <w:pPr>
              <w:ind w:left="208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Deferred revenues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3,277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8,062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1,548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0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14,843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14,529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Common stock, $.01 par value; 1,500,000,000 shares authorized;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320"/>
              <w:spacing w:after="0"/>
              <w:rPr>
                <w:sz w:val="20"/>
                <w:szCs w:val="20"/>
                <w:color w:val="auto"/>
              </w:rPr>
            </w:pPr>
            <w:r>
              <w:rPr>
                <w:rFonts w:ascii="Arial" w:cs="Arial" w:eastAsia="Arial" w:hAnsi="Arial"/>
                <w:sz w:val="18"/>
                <w:szCs w:val="18"/>
                <w:color w:val="auto"/>
              </w:rPr>
              <w:t>630,282,461 shares issued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4,501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4,513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w w:val="99"/>
              </w:rPr>
              <w:t>Treasury stock at cost, 54,164,336 and 35,682,000 shares, respectively</w:t>
            </w: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(1,388)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5,308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0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20,656</w:t>
            </w:r>
          </w:p>
        </w:tc>
        <w:tc>
          <w:tcPr>
            <w:tcW w:w="2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19,856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11,142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11,322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8"/>
              </w:rPr>
              <w:t>Operating (exclusive of depreciation and amortization shown below)</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7,517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6,880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6,666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Asset impairments and unusual items</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10,034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9,498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10,039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08"/>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 and cumulative effect of changes in</w:t>
            </w: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accounting principles</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w w:val="96"/>
              </w:rPr>
              <w:t>Cumulative effect of changes in accounting principles, net of income tax</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4"/>
              </w:rPr>
              <w:t>benefit of $60 in 2003, $0 tax impact in 2002 and income tax expense of</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 in 2001</w:t>
            </w:r>
          </w:p>
        </w:tc>
        <w:tc>
          <w:tcPr>
            <w:tcW w:w="32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5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Basic income per common share:</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w w:val="98"/>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Diluted income per common share:</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w w:val="98"/>
              </w:rPr>
              <w:t>Income before cumulative effect of 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changes in accounting principles</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Cash dividends per common share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5"/>
              </w:rPr>
              <w:t>Pro forma income and earnings per common share assuming changes in</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accounting principles described in Note 2 and Note 6 are applied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retroactively:</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4"/>
              </w:rPr>
              <w:t>Income before cumulative effect of 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Basic earnings per common share before cumulative effect of</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580"/>
              <w:spacing w:after="0"/>
              <w:rPr>
                <w:sz w:val="20"/>
                <w:szCs w:val="20"/>
                <w:color w:val="auto"/>
              </w:rPr>
            </w:pPr>
            <w:r>
              <w:rPr>
                <w:rFonts w:ascii="Arial" w:cs="Arial" w:eastAsia="Arial" w:hAnsi="Arial"/>
                <w:sz w:val="18"/>
                <w:szCs w:val="18"/>
                <w:color w:val="auto"/>
              </w:rPr>
              <w:t>changes in accounting principles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Diluted earnings per common share before cumulative effect of</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EEEEEE"/>
          </w:tcPr>
          <w:p>
            <w:pPr>
              <w:ind w:left="580"/>
              <w:spacing w:after="0"/>
              <w:rPr>
                <w:sz w:val="20"/>
                <w:szCs w:val="20"/>
                <w:color w:val="auto"/>
              </w:rPr>
            </w:pPr>
            <w:r>
              <w:rPr>
                <w:rFonts w:ascii="Arial" w:cs="Arial" w:eastAsia="Arial" w:hAnsi="Arial"/>
                <w:sz w:val="18"/>
                <w:szCs w:val="18"/>
                <w:color w:val="auto"/>
              </w:rPr>
              <w:t>changes in accounting principles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EEEEEE"/>
          </w:tcPr>
          <w:p>
            <w:pPr>
              <w:spacing w:after="0"/>
              <w:rPr>
                <w:sz w:val="19"/>
                <w:szCs w:val="19"/>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404"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w w:val="85"/>
              </w:rPr>
              <w:t>Years Ended December 31,</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6"/>
              </w:rPr>
              <w:t>Adjustments to reconcile net income to net cash provided by operating</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activities:</w:t>
            </w:r>
          </w:p>
        </w:tc>
        <w:tc>
          <w:tcPr>
            <w:tcW w:w="3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40"/>
              <w:spacing w:after="0"/>
              <w:rPr>
                <w:sz w:val="20"/>
                <w:szCs w:val="20"/>
                <w:color w:val="auto"/>
              </w:rPr>
            </w:pPr>
            <w:r>
              <w:rPr>
                <w:rFonts w:ascii="Arial" w:cs="Arial" w:eastAsia="Arial" w:hAnsi="Arial"/>
                <w:sz w:val="18"/>
                <w:szCs w:val="18"/>
                <w:color w:val="auto"/>
              </w:rPr>
              <w:t>Cumulative effect of changes in accounting principles</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Provision for bad debts</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Deferred income tax provision</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Net gain on disposal of assets</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40"/>
              <w:spacing w:after="0"/>
              <w:rPr>
                <w:sz w:val="20"/>
                <w:szCs w:val="20"/>
                <w:color w:val="auto"/>
              </w:rPr>
            </w:pPr>
            <w:r>
              <w:rPr>
                <w:rFonts w:ascii="Arial" w:cs="Arial" w:eastAsia="Arial" w:hAnsi="Arial"/>
                <w:sz w:val="18"/>
                <w:szCs w:val="18"/>
                <w:color w:val="auto"/>
              </w:rPr>
              <w:t>Effect of asset impairments and unusual items</w:t>
            </w: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Change in operating assets and liabilities, net of effects of</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acquisitions and divestitures:</w:t>
            </w:r>
          </w:p>
        </w:tc>
        <w:tc>
          <w:tcPr>
            <w:tcW w:w="3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700"/>
              <w:spacing w:after="0"/>
              <w:rPr>
                <w:sz w:val="20"/>
                <w:szCs w:val="20"/>
                <w:color w:val="auto"/>
              </w:rPr>
            </w:pPr>
            <w:r>
              <w:rPr>
                <w:rFonts w:ascii="Arial" w:cs="Arial" w:eastAsia="Arial" w:hAnsi="Arial"/>
                <w:sz w:val="18"/>
                <w:szCs w:val="18"/>
                <w:color w:val="auto"/>
              </w:rPr>
              <w:t>Deferred revenues and other liabilities</w:t>
            </w:r>
          </w:p>
        </w:tc>
        <w:tc>
          <w:tcPr>
            <w:tcW w:w="3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1,926</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2,153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2,355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Acquisitions of businesses, net of cash acquired</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(1,200)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2"/>
              </w:rPr>
              <w:t>Proceeds from divestitures of businesses, net of cash divested, and other</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sales of assets</w:t>
            </w:r>
          </w:p>
        </w:tc>
        <w:tc>
          <w:tcPr>
            <w:tcW w:w="34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Net receipts from restricted funds</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(1,084)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(962)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(1,232)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New borrowings</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Debt repayments</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(1,591)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Common stock repurchases</w:t>
            </w: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dividends</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Exercise of common stock options and warrants</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(1,658)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Cash paid during the year for:</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Interest, net of capitalized interest and periodic settlements from</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EEEEEE"/>
          </w:tcPr>
          <w:p>
            <w:pPr>
              <w:ind w:left="580"/>
              <w:spacing w:after="0"/>
              <w:rPr>
                <w:sz w:val="20"/>
                <w:szCs w:val="20"/>
                <w:color w:val="auto"/>
              </w:rPr>
            </w:pPr>
            <w:r>
              <w:rPr>
                <w:rFonts w:ascii="Arial" w:cs="Arial" w:eastAsia="Arial" w:hAnsi="Arial"/>
                <w:sz w:val="18"/>
                <w:szCs w:val="18"/>
                <w:color w:val="auto"/>
              </w:rPr>
              <w:t>interest rate swap agreements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935" w:right="1379" w:bottom="809"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5"/>
          </w:tcPr>
          <w:p>
            <w:pPr>
              <w:ind w:left="140"/>
              <w:spacing w:after="0"/>
              <w:rPr>
                <w:sz w:val="20"/>
                <w:szCs w:val="20"/>
                <w:color w:val="auto"/>
              </w:rPr>
            </w:pPr>
            <w:r>
              <w:rPr>
                <w:rFonts w:ascii="Arial" w:cs="Arial" w:eastAsia="Arial" w:hAnsi="Arial"/>
                <w:sz w:val="14"/>
                <w:szCs w:val="14"/>
                <w:b w:val="1"/>
                <w:bCs w:val="1"/>
                <w:color w:val="auto"/>
                <w:w w:val="87"/>
              </w:rPr>
              <w:t>Common Stock</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5"/>
                <w:szCs w:val="15"/>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5"/>
                <w:szCs w:val="15"/>
                <w:color w:val="auto"/>
              </w:rPr>
            </w:pPr>
          </w:p>
        </w:tc>
        <w:tc>
          <w:tcPr>
            <w:tcW w:w="15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Treasury Stock</w:t>
            </w:r>
          </w:p>
        </w:tc>
        <w:tc>
          <w:tcPr>
            <w:tcW w:w="280" w:type="dxa"/>
            <w:vAlign w:val="bottom"/>
          </w:tcPr>
          <w:p>
            <w:pPr>
              <w:spacing w:after="0"/>
              <w:rPr>
                <w:sz w:val="15"/>
                <w:szCs w:val="15"/>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Compre-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vMerge w:val="restart"/>
          </w:tcPr>
          <w:p>
            <w:pPr>
              <w:spacing w:after="0"/>
              <w:rPr>
                <w:sz w:val="8"/>
                <w:szCs w:val="8"/>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260" w:type="dxa"/>
            <w:vAlign w:val="bottom"/>
            <w:vMerge w:val="restart"/>
          </w:tcPr>
          <w:p>
            <w:pPr>
              <w:spacing w:after="0"/>
              <w:rPr>
                <w:sz w:val="8"/>
                <w:szCs w:val="8"/>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Retained</w:t>
            </w:r>
          </w:p>
        </w:tc>
        <w:tc>
          <w:tcPr>
            <w:tcW w:w="260" w:type="dxa"/>
            <w:vAlign w:val="bottom"/>
            <w:vMerge w:val="restart"/>
          </w:tcPr>
          <w:p>
            <w:pPr>
              <w:spacing w:after="0"/>
              <w:rPr>
                <w:sz w:val="8"/>
                <w:szCs w:val="8"/>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Income</w:t>
            </w:r>
          </w:p>
        </w:tc>
        <w:tc>
          <w:tcPr>
            <w:tcW w:w="260" w:type="dxa"/>
            <w:vAlign w:val="bottom"/>
            <w:vMerge w:val="restart"/>
          </w:tcPr>
          <w:p>
            <w:pPr>
              <w:spacing w:after="0"/>
              <w:rPr>
                <w:sz w:val="8"/>
                <w:szCs w:val="8"/>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9"/>
              </w:rPr>
              <w:t>Unearned</w:t>
            </w: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1"/>
              </w:rPr>
              <w:t>hensive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540" w:type="dxa"/>
            <w:vAlign w:val="bottom"/>
            <w:gridSpan w:val="4"/>
          </w:tcPr>
          <w:p>
            <w:pPr>
              <w:spacing w:after="0"/>
              <w:rPr>
                <w:sz w:val="20"/>
                <w:szCs w:val="20"/>
                <w:color w:val="auto"/>
              </w:rPr>
            </w:pPr>
            <w:r>
              <w:rPr>
                <w:rFonts w:ascii="Arial" w:cs="Arial" w:eastAsia="Arial" w:hAnsi="Arial"/>
                <w:sz w:val="14"/>
                <w:szCs w:val="14"/>
                <w:b w:val="1"/>
                <w:bCs w:val="1"/>
                <w:color w:val="auto"/>
                <w:w w:val="85"/>
              </w:rPr>
              <w:t>Amounts</w:t>
            </w:r>
          </w:p>
        </w:tc>
        <w:tc>
          <w:tcPr>
            <w:tcW w:w="260" w:type="dxa"/>
            <w:vAlign w:val="bottom"/>
          </w:tcPr>
          <w:p>
            <w:pPr>
              <w:spacing w:after="0"/>
              <w:rPr>
                <w:sz w:val="16"/>
                <w:szCs w:val="16"/>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6"/>
                <w:szCs w:val="16"/>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Compensation</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January 1, 2001</w:t>
            </w:r>
          </w:p>
        </w:tc>
        <w:tc>
          <w:tcPr>
            <w:tcW w:w="6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629,622</w:t>
            </w:r>
          </w:p>
        </w:tc>
        <w:tc>
          <w:tcPr>
            <w:tcW w:w="100" w:type="dxa"/>
            <w:vAlign w:val="bottom"/>
            <w:shd w:val="clear" w:color="auto" w:fill="EEEEEE"/>
          </w:tcPr>
          <w:p>
            <w:pPr>
              <w:spacing w:after="0"/>
              <w:rPr>
                <w:sz w:val="12"/>
                <w:szCs w:val="12"/>
                <w:color w:val="auto"/>
              </w:rPr>
            </w:pP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$4,497</w:t>
            </w:r>
          </w:p>
        </w:tc>
        <w:tc>
          <w:tcPr>
            <w:tcW w:w="320" w:type="dxa"/>
            <w:vAlign w:val="bottom"/>
            <w:shd w:val="clear" w:color="auto" w:fill="EEEEEE"/>
          </w:tcPr>
          <w:p>
            <w:pPr>
              <w:spacing w:after="0"/>
              <w:rPr>
                <w:sz w:val="12"/>
                <w:szCs w:val="12"/>
                <w:color w:val="auto"/>
              </w:rPr>
            </w:pPr>
          </w:p>
        </w:tc>
        <w:tc>
          <w:tcPr>
            <w:tcW w:w="4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560</w:t>
            </w:r>
          </w:p>
        </w:tc>
        <w:tc>
          <w:tcPr>
            <w:tcW w:w="2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5"/>
              </w:rPr>
              <w:t>(126)</w:t>
            </w:r>
          </w:p>
        </w:tc>
        <w:tc>
          <w:tcPr>
            <w:tcW w:w="1100" w:type="dxa"/>
            <w:vAlign w:val="bottom"/>
            <w:gridSpan w:val="4"/>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 (3)</w:t>
            </w:r>
          </w:p>
        </w:tc>
        <w:tc>
          <w:tcPr>
            <w:tcW w:w="240" w:type="dxa"/>
            <w:vAlign w:val="bottom"/>
            <w:shd w:val="clear" w:color="auto" w:fill="EEEEEE"/>
          </w:tcPr>
          <w:p>
            <w:pPr>
              <w:spacing w:after="0"/>
              <w:rPr>
                <w:sz w:val="12"/>
                <w:szCs w:val="12"/>
                <w:color w:val="auto"/>
              </w:rPr>
            </w:pPr>
          </w:p>
        </w:tc>
        <w:tc>
          <w:tcPr>
            <w:tcW w:w="70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(6,972)</w:t>
            </w:r>
          </w:p>
        </w:tc>
        <w:tc>
          <w:tcPr>
            <w:tcW w:w="52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(133)</w:t>
            </w: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240"/>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503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ind w:left="240"/>
              <w:spacing w:after="0" w:line="149" w:lineRule="exact"/>
              <w:rPr>
                <w:sz w:val="20"/>
                <w:szCs w:val="20"/>
                <w:color w:val="auto"/>
              </w:rPr>
            </w:pPr>
            <w:r>
              <w:rPr>
                <w:rFonts w:ascii="Arial" w:cs="Arial" w:eastAsia="Arial" w:hAnsi="Arial"/>
                <w:sz w:val="14"/>
                <w:szCs w:val="14"/>
                <w:color w:val="auto"/>
              </w:rPr>
              <w:t>Cash dividends</w:t>
            </w:r>
          </w:p>
        </w:tc>
        <w:tc>
          <w:tcPr>
            <w:tcW w:w="18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740" w:type="dxa"/>
            <w:vAlign w:val="bottom"/>
            <w:gridSpan w:val="3"/>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w w:val="97"/>
              </w:rPr>
              <w:t>Common stock issued upon exercise</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360"/>
              <w:spacing w:after="0" w:line="149" w:lineRule="exact"/>
              <w:rPr>
                <w:sz w:val="20"/>
                <w:szCs w:val="20"/>
                <w:color w:val="auto"/>
              </w:rPr>
            </w:pPr>
            <w:r>
              <w:rPr>
                <w:rFonts w:ascii="Arial" w:cs="Arial" w:eastAsia="Arial" w:hAnsi="Arial"/>
                <w:sz w:val="14"/>
                <w:szCs w:val="14"/>
                <w:color w:val="auto"/>
              </w:rPr>
              <w:t>of stock options and warrants,</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including tax benefit of $15</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9"/>
              </w:rPr>
              <w:t>Common stock issued in connection</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with litigation settlements</w:t>
            </w:r>
          </w:p>
        </w:tc>
        <w:tc>
          <w:tcPr>
            <w:tcW w:w="62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289</w:t>
            </w:r>
          </w:p>
        </w:tc>
        <w:tc>
          <w:tcPr>
            <w:tcW w:w="10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13</w:t>
            </w:r>
          </w:p>
        </w:tc>
        <w:tc>
          <w:tcPr>
            <w:tcW w:w="32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785</w:t>
            </w:r>
          </w:p>
        </w:tc>
        <w:tc>
          <w:tcPr>
            <w:tcW w:w="10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15</w:t>
            </w:r>
          </w:p>
        </w:tc>
        <w:tc>
          <w:tcPr>
            <w:tcW w:w="12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rPr>
              <w:t>Earned compensation related to</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restricted stock</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Minimum pension liability</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 of $1</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3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rPr>
              <w:t>Unrealized gain resulting from</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360"/>
              <w:spacing w:after="0" w:line="149" w:lineRule="exact"/>
              <w:rPr>
                <w:sz w:val="20"/>
                <w:szCs w:val="20"/>
                <w:color w:val="auto"/>
              </w:rPr>
            </w:pPr>
            <w:r>
              <w:rPr>
                <w:rFonts w:ascii="Arial" w:cs="Arial" w:eastAsia="Arial" w:hAnsi="Arial"/>
                <w:sz w:val="14"/>
                <w:szCs w:val="14"/>
                <w:color w:val="auto"/>
              </w:rPr>
              <w:t>changes in fair values of</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360"/>
              <w:spacing w:after="0" w:line="149" w:lineRule="exact"/>
              <w:rPr>
                <w:sz w:val="20"/>
                <w:szCs w:val="20"/>
                <w:color w:val="auto"/>
              </w:rPr>
            </w:pPr>
            <w:r>
              <w:rPr>
                <w:rFonts w:ascii="Arial" w:cs="Arial" w:eastAsia="Arial" w:hAnsi="Arial"/>
                <w:sz w:val="14"/>
                <w:szCs w:val="14"/>
                <w:color w:val="auto"/>
              </w:rPr>
              <w:t>derivative instruments, net of</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taxes of $4</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Gains on derivative instruments</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reclassified into earnings, net of</w:t>
            </w:r>
          </w:p>
        </w:tc>
        <w:tc>
          <w:tcPr>
            <w:tcW w:w="1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taxes of $3</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300"/>
              <w:spacing w:after="0" w:line="159" w:lineRule="exact"/>
              <w:rPr>
                <w:sz w:val="20"/>
                <w:szCs w:val="20"/>
                <w:color w:val="auto"/>
              </w:rPr>
            </w:pPr>
            <w:r>
              <w:rPr>
                <w:rFonts w:ascii="Arial" w:cs="Arial" w:eastAsia="Arial" w:hAnsi="Arial"/>
                <w:sz w:val="14"/>
                <w:szCs w:val="14"/>
                <w:color w:val="auto"/>
              </w:rPr>
              <w:t>(4)</w:t>
            </w: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rPr>
              <w:t>Unrealized gain on marketable</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securities, net of taxes of $4</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Translation adjustment of foreign</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currency statements</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300"/>
              <w:spacing w:after="0" w:line="159" w:lineRule="exact"/>
              <w:rPr>
                <w:sz w:val="20"/>
                <w:szCs w:val="20"/>
                <w:color w:val="auto"/>
              </w:rPr>
            </w:pPr>
            <w:r>
              <w:rPr>
                <w:rFonts w:ascii="Arial" w:cs="Arial" w:eastAsia="Arial" w:hAnsi="Arial"/>
                <w:sz w:val="14"/>
                <w:szCs w:val="14"/>
                <w:color w:val="auto"/>
              </w:rPr>
              <w:t>(31)</w:t>
            </w: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tcPr>
          <w:p>
            <w:pPr>
              <w:ind w:left="240"/>
              <w:spacing w:after="0"/>
              <w:rPr>
                <w:sz w:val="20"/>
                <w:szCs w:val="20"/>
                <w:color w:val="auto"/>
              </w:rPr>
            </w:pPr>
            <w:r>
              <w:rPr>
                <w:rFonts w:ascii="Arial" w:cs="Arial" w:eastAsia="Arial" w:hAnsi="Arial"/>
                <w:sz w:val="14"/>
                <w:szCs w:val="14"/>
                <w:color w:val="auto"/>
              </w:rPr>
              <w:t>Other</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3"/>
          </w:tcPr>
          <w:p>
            <w:pPr>
              <w:jc w:val="right"/>
              <w:ind w:right="600"/>
              <w:spacing w:after="0"/>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2001</w:t>
            </w:r>
          </w:p>
        </w:tc>
        <w:tc>
          <w:tcPr>
            <w:tcW w:w="6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630,332</w:t>
            </w:r>
          </w:p>
        </w:tc>
        <w:tc>
          <w:tcPr>
            <w:tcW w:w="100" w:type="dxa"/>
            <w:vAlign w:val="bottom"/>
            <w:shd w:val="clear" w:color="auto" w:fill="EEEEEE"/>
          </w:tcPr>
          <w:p>
            <w:pPr>
              <w:spacing w:after="0"/>
              <w:rPr>
                <w:sz w:val="12"/>
                <w:szCs w:val="12"/>
                <w:color w:val="auto"/>
              </w:rPr>
            </w:pP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$4,523</w:t>
            </w:r>
          </w:p>
        </w:tc>
        <w:tc>
          <w:tcPr>
            <w:tcW w:w="320" w:type="dxa"/>
            <w:vAlign w:val="bottom"/>
            <w:shd w:val="clear" w:color="auto" w:fill="EEEEEE"/>
          </w:tcPr>
          <w:p>
            <w:pPr>
              <w:spacing w:after="0"/>
              <w:rPr>
                <w:sz w:val="12"/>
                <w:szCs w:val="12"/>
                <w:color w:val="auto"/>
              </w:rPr>
            </w:pPr>
          </w:p>
        </w:tc>
        <w:tc>
          <w:tcPr>
            <w:tcW w:w="4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1,057</w:t>
            </w:r>
          </w:p>
        </w:tc>
        <w:tc>
          <w:tcPr>
            <w:tcW w:w="2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5"/>
              </w:rPr>
              <w:t>(148)</w:t>
            </w:r>
          </w:p>
        </w:tc>
        <w:tc>
          <w:tcPr>
            <w:tcW w:w="1100" w:type="dxa"/>
            <w:vAlign w:val="bottom"/>
            <w:gridSpan w:val="4"/>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 (2)</w:t>
            </w:r>
          </w:p>
        </w:tc>
        <w:tc>
          <w:tcPr>
            <w:tcW w:w="240" w:type="dxa"/>
            <w:vAlign w:val="bottom"/>
            <w:shd w:val="clear" w:color="auto" w:fill="EEEEEE"/>
          </w:tcPr>
          <w:p>
            <w:pPr>
              <w:spacing w:after="0"/>
              <w:rPr>
                <w:sz w:val="12"/>
                <w:szCs w:val="12"/>
                <w:color w:val="auto"/>
              </w:rPr>
            </w:pPr>
          </w:p>
        </w:tc>
        <w:tc>
          <w:tcPr>
            <w:tcW w:w="70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(2,314)</w:t>
            </w:r>
          </w:p>
        </w:tc>
        <w:tc>
          <w:tcPr>
            <w:tcW w:w="52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6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$481</w:t>
            </w: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822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gridSpan w:val="3"/>
          </w:tcPr>
          <w:p>
            <w:pPr>
              <w:jc w:val="right"/>
              <w:ind w:right="60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ind w:left="240"/>
              <w:spacing w:after="0" w:line="149" w:lineRule="exact"/>
              <w:rPr>
                <w:sz w:val="20"/>
                <w:szCs w:val="20"/>
                <w:color w:val="auto"/>
              </w:rPr>
            </w:pPr>
            <w:r>
              <w:rPr>
                <w:rFonts w:ascii="Arial" w:cs="Arial" w:eastAsia="Arial" w:hAnsi="Arial"/>
                <w:sz w:val="14"/>
                <w:szCs w:val="14"/>
                <w:color w:val="auto"/>
              </w:rPr>
              <w:t>Cash dividends</w:t>
            </w:r>
          </w:p>
        </w:tc>
        <w:tc>
          <w:tcPr>
            <w:tcW w:w="18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740" w:type="dxa"/>
            <w:vAlign w:val="bottom"/>
            <w:gridSpan w:val="3"/>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w w:val="97"/>
              </w:rPr>
              <w:t>Common stock issued upon exercise</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360"/>
              <w:spacing w:after="0" w:line="149" w:lineRule="exact"/>
              <w:rPr>
                <w:sz w:val="20"/>
                <w:szCs w:val="20"/>
                <w:color w:val="auto"/>
              </w:rPr>
            </w:pPr>
            <w:r>
              <w:rPr>
                <w:rFonts w:ascii="Arial" w:cs="Arial" w:eastAsia="Arial" w:hAnsi="Arial"/>
                <w:sz w:val="14"/>
                <w:szCs w:val="14"/>
                <w:color w:val="auto"/>
              </w:rPr>
              <w:t>of stock options and warrants,</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including tax benefit of $7</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9"/>
              </w:rPr>
              <w:t>Common stock issued in connection</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with litigation settlements</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rPr>
              <w:t>(2)</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EEEEEE"/>
          </w:tcPr>
          <w:p>
            <w:pPr>
              <w:jc w:val="right"/>
              <w:spacing w:after="0" w:line="159" w:lineRule="exact"/>
              <w:rPr>
                <w:sz w:val="20"/>
                <w:szCs w:val="20"/>
                <w:color w:val="auto"/>
              </w:rPr>
            </w:pPr>
            <w:r>
              <w:rPr>
                <w:rFonts w:ascii="Arial" w:cs="Arial" w:eastAsia="Arial" w:hAnsi="Arial"/>
                <w:sz w:val="14"/>
                <w:szCs w:val="14"/>
                <w:color w:val="auto"/>
              </w:rPr>
              <w:t>2,663</w:t>
            </w:r>
          </w:p>
        </w:tc>
        <w:tc>
          <w:tcPr>
            <w:tcW w:w="10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3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68</w:t>
            </w:r>
          </w:p>
        </w:tc>
        <w:tc>
          <w:tcPr>
            <w:tcW w:w="12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rPr>
              <w:t>Common stock repurchases, net of</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settlements</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7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(38,250)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(982)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Earned compensation related to</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restricted stock</w:t>
            </w:r>
          </w:p>
        </w:tc>
        <w:tc>
          <w:tcPr>
            <w:tcW w:w="720" w:type="dxa"/>
            <w:vAlign w:val="bottom"/>
            <w:gridSpan w:val="3"/>
            <w:shd w:val="clear" w:color="auto" w:fill="EEEEEE"/>
          </w:tcPr>
          <w:p>
            <w:pPr>
              <w:jc w:val="right"/>
              <w:ind w:right="60"/>
              <w:spacing w:after="0" w:line="159" w:lineRule="exact"/>
              <w:rPr>
                <w:sz w:val="20"/>
                <w:szCs w:val="20"/>
                <w:color w:val="auto"/>
              </w:rPr>
            </w:pPr>
            <w:r>
              <w:rPr>
                <w:rFonts w:ascii="Arial" w:cs="Arial" w:eastAsia="Arial" w:hAnsi="Arial"/>
                <w:sz w:val="14"/>
                <w:szCs w:val="14"/>
                <w:color w:val="auto"/>
              </w:rPr>
              <w:t>(38)</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EEEEEE"/>
          </w:tcPr>
          <w:p>
            <w:pPr>
              <w:jc w:val="right"/>
              <w:ind w:right="280"/>
              <w:spacing w:after="0" w:line="159" w:lineRule="exact"/>
              <w:rPr>
                <w:sz w:val="20"/>
                <w:szCs w:val="20"/>
                <w:color w:val="auto"/>
              </w:rPr>
            </w:pPr>
            <w:r>
              <w:rPr>
                <w:rFonts w:ascii="Arial" w:cs="Arial" w:eastAsia="Arial" w:hAnsi="Arial"/>
                <w:sz w:val="14"/>
                <w:szCs w:val="14"/>
                <w:color w:val="auto"/>
              </w:rPr>
              <w:t>(1)</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36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rPr>
              <w:t>Unrealized loss resulting from</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360"/>
              <w:spacing w:after="0" w:line="149" w:lineRule="exact"/>
              <w:rPr>
                <w:sz w:val="20"/>
                <w:szCs w:val="20"/>
                <w:color w:val="auto"/>
              </w:rPr>
            </w:pPr>
            <w:r>
              <w:rPr>
                <w:rFonts w:ascii="Arial" w:cs="Arial" w:eastAsia="Arial" w:hAnsi="Arial"/>
                <w:sz w:val="14"/>
                <w:szCs w:val="14"/>
                <w:color w:val="auto"/>
              </w:rPr>
              <w:t>changes in fair values of</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360"/>
              <w:spacing w:after="0" w:line="149" w:lineRule="exact"/>
              <w:rPr>
                <w:sz w:val="20"/>
                <w:szCs w:val="20"/>
                <w:color w:val="auto"/>
              </w:rPr>
            </w:pPr>
            <w:r>
              <w:rPr>
                <w:rFonts w:ascii="Arial" w:cs="Arial" w:eastAsia="Arial" w:hAnsi="Arial"/>
                <w:sz w:val="14"/>
                <w:szCs w:val="14"/>
                <w:color w:val="auto"/>
              </w:rPr>
              <w:t>derivative instruments, net of tax</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benefit of $27</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(42)</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Losses on derivative instruments</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ind w:left="360"/>
              <w:spacing w:after="0" w:line="149" w:lineRule="exact"/>
              <w:rPr>
                <w:sz w:val="20"/>
                <w:szCs w:val="20"/>
                <w:color w:val="auto"/>
              </w:rPr>
            </w:pPr>
            <w:r>
              <w:rPr>
                <w:rFonts w:ascii="Arial" w:cs="Arial" w:eastAsia="Arial" w:hAnsi="Arial"/>
                <w:sz w:val="14"/>
                <w:szCs w:val="14"/>
                <w:color w:val="auto"/>
              </w:rPr>
              <w:t>reclassified into earnings, net of</w:t>
            </w:r>
          </w:p>
        </w:tc>
        <w:tc>
          <w:tcPr>
            <w:tcW w:w="1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taxes of $1</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3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w:t>
            </w: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ind w:left="240"/>
              <w:spacing w:after="0" w:line="138" w:lineRule="exact"/>
              <w:rPr>
                <w:sz w:val="20"/>
                <w:szCs w:val="20"/>
                <w:color w:val="auto"/>
              </w:rPr>
            </w:pPr>
            <w:r>
              <w:rPr>
                <w:rFonts w:ascii="Arial" w:cs="Arial" w:eastAsia="Arial" w:hAnsi="Arial"/>
                <w:sz w:val="14"/>
                <w:szCs w:val="14"/>
                <w:color w:val="auto"/>
              </w:rPr>
              <w:t>Unrealized loss on marketable</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360"/>
              <w:spacing w:after="0" w:line="159" w:lineRule="exact"/>
              <w:rPr>
                <w:sz w:val="20"/>
                <w:szCs w:val="20"/>
                <w:color w:val="auto"/>
              </w:rPr>
            </w:pPr>
            <w:r>
              <w:rPr>
                <w:rFonts w:ascii="Arial" w:cs="Arial" w:eastAsia="Arial" w:hAnsi="Arial"/>
                <w:sz w:val="14"/>
                <w:szCs w:val="14"/>
                <w:color w:val="auto"/>
              </w:rPr>
              <w:t>securities, net of tax benefit of $4</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Translations adjustment of foreign</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currency statements</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15</w:t>
            </w:r>
          </w:p>
        </w:tc>
        <w:tc>
          <w:tcPr>
            <w:tcW w:w="3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tcPr>
          <w:p>
            <w:pPr>
              <w:ind w:left="240"/>
              <w:spacing w:after="0"/>
              <w:rPr>
                <w:sz w:val="20"/>
                <w:szCs w:val="20"/>
                <w:color w:val="auto"/>
              </w:rPr>
            </w:pPr>
            <w:r>
              <w:rPr>
                <w:rFonts w:ascii="Arial" w:cs="Arial" w:eastAsia="Arial" w:hAnsi="Arial"/>
                <w:sz w:val="14"/>
                <w:szCs w:val="14"/>
                <w:color w:val="auto"/>
              </w:rPr>
              <w:t>Other</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3"/>
          </w:tcPr>
          <w:p>
            <w:pPr>
              <w:jc w:val="right"/>
              <w:ind w:right="600"/>
              <w:spacing w:after="0"/>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Balance, December 31, 2002</w:t>
            </w:r>
          </w:p>
        </w:tc>
        <w:tc>
          <w:tcPr>
            <w:tcW w:w="6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630,282</w:t>
            </w:r>
          </w:p>
        </w:tc>
        <w:tc>
          <w:tcPr>
            <w:tcW w:w="100" w:type="dxa"/>
            <w:vAlign w:val="bottom"/>
            <w:shd w:val="clear" w:color="auto" w:fill="EEEEEE"/>
          </w:tcPr>
          <w:p>
            <w:pPr>
              <w:spacing w:after="0"/>
              <w:rPr>
                <w:sz w:val="12"/>
                <w:szCs w:val="12"/>
                <w:color w:val="auto"/>
              </w:rPr>
            </w:pPr>
          </w:p>
        </w:tc>
        <w:tc>
          <w:tcPr>
            <w:tcW w:w="3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EEEEEE"/>
          </w:tcPr>
          <w:p>
            <w:pPr>
              <w:spacing w:after="0"/>
              <w:rPr>
                <w:sz w:val="12"/>
                <w:szCs w:val="12"/>
                <w:color w:val="auto"/>
              </w:rPr>
            </w:pPr>
          </w:p>
        </w:tc>
        <w:tc>
          <w:tcPr>
            <w:tcW w:w="90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$4,513</w:t>
            </w:r>
          </w:p>
        </w:tc>
        <w:tc>
          <w:tcPr>
            <w:tcW w:w="320" w:type="dxa"/>
            <w:vAlign w:val="bottom"/>
            <w:shd w:val="clear" w:color="auto" w:fill="EEEEEE"/>
          </w:tcPr>
          <w:p>
            <w:pPr>
              <w:spacing w:after="0"/>
              <w:rPr>
                <w:sz w:val="12"/>
                <w:szCs w:val="12"/>
                <w:color w:val="auto"/>
              </w:rPr>
            </w:pPr>
          </w:p>
        </w:tc>
        <w:tc>
          <w:tcPr>
            <w:tcW w:w="4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1,873</w:t>
            </w:r>
          </w:p>
        </w:tc>
        <w:tc>
          <w:tcPr>
            <w:tcW w:w="220" w:type="dxa"/>
            <w:vAlign w:val="bottom"/>
            <w:shd w:val="clear" w:color="auto" w:fill="EEEEEE"/>
          </w:tcPr>
          <w:p>
            <w:pPr>
              <w:spacing w:after="0"/>
              <w:rPr>
                <w:sz w:val="12"/>
                <w:szCs w:val="12"/>
                <w:color w:val="auto"/>
              </w:rPr>
            </w:pPr>
          </w:p>
        </w:tc>
        <w:tc>
          <w:tcPr>
            <w:tcW w:w="7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w w:val="85"/>
              </w:rPr>
              <w:t>(179)</w:t>
            </w:r>
          </w:p>
        </w:tc>
        <w:tc>
          <w:tcPr>
            <w:tcW w:w="260" w:type="dxa"/>
            <w:vAlign w:val="bottom"/>
            <w:shd w:val="clear" w:color="auto" w:fill="EEEEEE"/>
          </w:tcPr>
          <w:p>
            <w:pPr>
              <w:spacing w:after="0"/>
              <w:rPr>
                <w:sz w:val="12"/>
                <w:szCs w:val="12"/>
                <w:color w:val="auto"/>
              </w:rPr>
            </w:pPr>
          </w:p>
        </w:tc>
        <w:tc>
          <w:tcPr>
            <w:tcW w:w="1080" w:type="dxa"/>
            <w:vAlign w:val="bottom"/>
            <w:gridSpan w:val="4"/>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(35,682)</w:t>
            </w:r>
          </w:p>
        </w:tc>
        <w:tc>
          <w:tcPr>
            <w:tcW w:w="52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(905)</w:t>
            </w:r>
          </w:p>
        </w:tc>
        <w:tc>
          <w:tcPr>
            <w:tcW w:w="6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$791</w:t>
            </w: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630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gridSpan w:val="3"/>
          </w:tcPr>
          <w:p>
            <w:pPr>
              <w:jc w:val="right"/>
              <w:ind w:right="60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$630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Cash dividends</w:t>
            </w:r>
          </w:p>
        </w:tc>
        <w:tc>
          <w:tcPr>
            <w:tcW w:w="18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740" w:type="dxa"/>
            <w:vAlign w:val="bottom"/>
            <w:gridSpan w:val="3"/>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4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spacing w:after="0" w:line="138" w:lineRule="exact"/>
              <w:rPr>
                <w:sz w:val="20"/>
                <w:szCs w:val="20"/>
                <w:color w:val="auto"/>
              </w:rPr>
            </w:pPr>
            <w:r>
              <w:rPr>
                <w:rFonts w:ascii="Arial" w:cs="Arial" w:eastAsia="Arial" w:hAnsi="Arial"/>
                <w:sz w:val="14"/>
                <w:szCs w:val="14"/>
                <w:color w:val="auto"/>
              </w:rPr>
              <w:t>Common stock issued upon exercise of</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120"/>
              <w:spacing w:after="0" w:line="149" w:lineRule="exact"/>
              <w:rPr>
                <w:sz w:val="20"/>
                <w:szCs w:val="20"/>
                <w:color w:val="auto"/>
              </w:rPr>
            </w:pPr>
            <w:r>
              <w:rPr>
                <w:rFonts w:ascii="Arial" w:cs="Arial" w:eastAsia="Arial" w:hAnsi="Arial"/>
                <w:sz w:val="14"/>
                <w:szCs w:val="14"/>
                <w:color w:val="auto"/>
                <w:w w:val="99"/>
              </w:rPr>
              <w:t>stock options and warrants and grants</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120"/>
              <w:spacing w:after="0" w:line="149" w:lineRule="exact"/>
              <w:rPr>
                <w:sz w:val="20"/>
                <w:szCs w:val="20"/>
                <w:color w:val="auto"/>
              </w:rPr>
            </w:pPr>
            <w:r>
              <w:rPr>
                <w:rFonts w:ascii="Arial" w:cs="Arial" w:eastAsia="Arial" w:hAnsi="Arial"/>
                <w:sz w:val="14"/>
                <w:szCs w:val="14"/>
                <w:color w:val="auto"/>
              </w:rPr>
              <w:t>of restricted stock, including tax</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120"/>
              <w:spacing w:after="0" w:line="159" w:lineRule="exact"/>
              <w:rPr>
                <w:sz w:val="20"/>
                <w:szCs w:val="20"/>
                <w:color w:val="auto"/>
              </w:rPr>
            </w:pPr>
            <w:r>
              <w:rPr>
                <w:rFonts w:ascii="Arial" w:cs="Arial" w:eastAsia="Arial" w:hAnsi="Arial"/>
                <w:sz w:val="14"/>
                <w:szCs w:val="14"/>
                <w:color w:val="auto"/>
              </w:rPr>
              <w:t>benefit of $9</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Common stock repurchases, net of</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settlements</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60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700" w:type="dxa"/>
            <w:vAlign w:val="bottom"/>
            <w:gridSpan w:val="3"/>
            <w:shd w:val="clear" w:color="auto" w:fill="EEEEEE"/>
          </w:tcPr>
          <w:p>
            <w:pPr>
              <w:jc w:val="right"/>
              <w:ind w:right="60"/>
              <w:spacing w:after="0" w:line="159" w:lineRule="exact"/>
              <w:rPr>
                <w:sz w:val="20"/>
                <w:szCs w:val="20"/>
                <w:color w:val="auto"/>
              </w:rPr>
            </w:pPr>
            <w:r>
              <w:rPr>
                <w:rFonts w:ascii="Arial" w:cs="Arial" w:eastAsia="Arial" w:hAnsi="Arial"/>
                <w:sz w:val="14"/>
                <w:szCs w:val="14"/>
                <w:color w:val="auto"/>
              </w:rPr>
              <w:t>(22,050)</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(574)</w:t>
            </w:r>
          </w:p>
        </w:tc>
        <w:tc>
          <w:tcPr>
            <w:tcW w:w="28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spacing w:after="0" w:line="138" w:lineRule="exact"/>
              <w:rPr>
                <w:sz w:val="20"/>
                <w:szCs w:val="20"/>
                <w:color w:val="auto"/>
              </w:rPr>
            </w:pPr>
            <w:r>
              <w:rPr>
                <w:rFonts w:ascii="Arial" w:cs="Arial" w:eastAsia="Arial" w:hAnsi="Arial"/>
                <w:sz w:val="14"/>
                <w:szCs w:val="14"/>
                <w:color w:val="auto"/>
                <w:w w:val="96"/>
              </w:rPr>
              <w:t>Unrealized loss resulting from changes in</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120"/>
              <w:spacing w:after="0" w:line="149" w:lineRule="exact"/>
              <w:rPr>
                <w:sz w:val="20"/>
                <w:szCs w:val="20"/>
                <w:color w:val="auto"/>
              </w:rPr>
            </w:pPr>
            <w:r>
              <w:rPr>
                <w:rFonts w:ascii="Arial" w:cs="Arial" w:eastAsia="Arial" w:hAnsi="Arial"/>
                <w:sz w:val="14"/>
                <w:szCs w:val="14"/>
                <w:color w:val="auto"/>
              </w:rPr>
              <w:t>fair values of derivative instruments,</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120"/>
              <w:spacing w:after="0" w:line="159" w:lineRule="exact"/>
              <w:rPr>
                <w:sz w:val="20"/>
                <w:szCs w:val="20"/>
                <w:color w:val="auto"/>
              </w:rPr>
            </w:pPr>
            <w:r>
              <w:rPr>
                <w:rFonts w:ascii="Arial" w:cs="Arial" w:eastAsia="Arial" w:hAnsi="Arial"/>
                <w:sz w:val="14"/>
                <w:szCs w:val="14"/>
                <w:color w:val="auto"/>
              </w:rPr>
              <w:t>net of tax benefit of $3</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Loss on derivative instruments</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color w:val="auto"/>
              </w:rPr>
              <w:t>reclassified into earnings, net of tax</w:t>
            </w:r>
          </w:p>
        </w:tc>
        <w:tc>
          <w:tcPr>
            <w:tcW w:w="18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benefit of $1</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3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spacing w:after="0" w:line="138" w:lineRule="exact"/>
              <w:rPr>
                <w:sz w:val="20"/>
                <w:szCs w:val="20"/>
                <w:color w:val="auto"/>
              </w:rPr>
            </w:pPr>
            <w:r>
              <w:rPr>
                <w:rFonts w:ascii="Arial" w:cs="Arial" w:eastAsia="Arial" w:hAnsi="Arial"/>
                <w:sz w:val="14"/>
                <w:szCs w:val="14"/>
                <w:color w:val="auto"/>
                <w:w w:val="96"/>
              </w:rPr>
              <w:t>Unrealized gain on marketable securities,</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120"/>
              <w:spacing w:after="0" w:line="159" w:lineRule="exact"/>
              <w:rPr>
                <w:sz w:val="20"/>
                <w:szCs w:val="20"/>
                <w:color w:val="auto"/>
              </w:rPr>
            </w:pPr>
            <w:r>
              <w:rPr>
                <w:rFonts w:ascii="Arial" w:cs="Arial" w:eastAsia="Arial" w:hAnsi="Arial"/>
                <w:sz w:val="14"/>
                <w:szCs w:val="14"/>
                <w:color w:val="auto"/>
              </w:rPr>
              <w:t>net of taxes of $0</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Minimum pension liability adjustment,</w:t>
            </w:r>
          </w:p>
        </w:tc>
        <w:tc>
          <w:tcPr>
            <w:tcW w:w="18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net of taxes of $1</w:t>
            </w:r>
          </w:p>
        </w:tc>
        <w:tc>
          <w:tcPr>
            <w:tcW w:w="180" w:type="dxa"/>
            <w:vAlign w:val="bottom"/>
            <w:shd w:val="clear" w:color="auto" w:fill="EEEEEE"/>
          </w:tcPr>
          <w:p>
            <w:pPr>
              <w:spacing w:after="0"/>
              <w:rPr>
                <w:sz w:val="13"/>
                <w:szCs w:val="13"/>
                <w:color w:val="auto"/>
              </w:rPr>
            </w:pPr>
          </w:p>
        </w:tc>
        <w:tc>
          <w:tcPr>
            <w:tcW w:w="5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320" w:type="dxa"/>
            <w:vAlign w:val="bottom"/>
            <w:shd w:val="clear" w:color="auto" w:fill="EEEEEE"/>
          </w:tcPr>
          <w:p>
            <w:pPr>
              <w:spacing w:after="0"/>
              <w:rPr>
                <w:sz w:val="13"/>
                <w:szCs w:val="13"/>
                <w:color w:val="auto"/>
              </w:rPr>
            </w:pPr>
          </w:p>
        </w:tc>
        <w:tc>
          <w:tcPr>
            <w:tcW w:w="640" w:type="dxa"/>
            <w:vAlign w:val="bottom"/>
            <w:gridSpan w:val="2"/>
            <w:shd w:val="clear" w:color="auto" w:fill="EEEEEE"/>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340" w:type="dxa"/>
            <w:vAlign w:val="bottom"/>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40" w:type="dxa"/>
            <w:vAlign w:val="bottom"/>
            <w:gridSpan w:val="3"/>
            <w:shd w:val="clear" w:color="auto" w:fill="EEEEEE"/>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EEEEEE"/>
          </w:tcPr>
          <w:p>
            <w:pPr>
              <w:spacing w:after="0"/>
              <w:rPr>
                <w:sz w:val="13"/>
                <w:szCs w:val="13"/>
                <w:color w:val="auto"/>
              </w:rPr>
            </w:pPr>
          </w:p>
        </w:tc>
        <w:tc>
          <w:tcPr>
            <w:tcW w:w="52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3"/>
                <w:szCs w:val="13"/>
                <w:color w:val="auto"/>
              </w:rPr>
            </w:pPr>
          </w:p>
        </w:tc>
        <w:tc>
          <w:tcPr>
            <w:tcW w:w="260" w:type="dxa"/>
            <w:vAlign w:val="bottom"/>
            <w:tcBorders>
              <w:right w:val="single" w:sz="8" w:color="EEEEEE"/>
            </w:tcBorders>
            <w:shd w:val="clear" w:color="auto" w:fill="EEEEEE"/>
          </w:tcPr>
          <w:p>
            <w:pPr>
              <w:spacing w:after="0"/>
              <w:rPr>
                <w:sz w:val="13"/>
                <w:szCs w:val="13"/>
                <w:color w:val="auto"/>
              </w:rPr>
            </w:pPr>
          </w:p>
        </w:tc>
        <w:tc>
          <w:tcPr>
            <w:tcW w:w="460" w:type="dxa"/>
            <w:vAlign w:val="bottom"/>
            <w:gridSpan w:val="2"/>
            <w:shd w:val="clear" w:color="auto" w:fill="EEEEEE"/>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00" w:type="dxa"/>
            <w:vAlign w:val="bottom"/>
          </w:tcPr>
          <w:p>
            <w:pPr>
              <w:spacing w:after="0" w:line="138" w:lineRule="exact"/>
              <w:rPr>
                <w:sz w:val="20"/>
                <w:szCs w:val="20"/>
                <w:color w:val="auto"/>
              </w:rPr>
            </w:pPr>
            <w:r>
              <w:rPr>
                <w:rFonts w:ascii="Arial" w:cs="Arial" w:eastAsia="Arial" w:hAnsi="Arial"/>
                <w:sz w:val="14"/>
                <w:szCs w:val="14"/>
                <w:color w:val="auto"/>
              </w:rPr>
              <w:t>Translation adjustment of foreign</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120"/>
              <w:spacing w:after="0" w:line="159" w:lineRule="exact"/>
              <w:rPr>
                <w:sz w:val="20"/>
                <w:szCs w:val="20"/>
                <w:color w:val="auto"/>
              </w:rPr>
            </w:pPr>
            <w:r>
              <w:rPr>
                <w:rFonts w:ascii="Arial" w:cs="Arial" w:eastAsia="Arial" w:hAnsi="Arial"/>
                <w:sz w:val="14"/>
                <w:szCs w:val="14"/>
                <w:color w:val="auto"/>
              </w:rPr>
              <w:t>currency statements</w:t>
            </w:r>
          </w:p>
        </w:tc>
        <w:tc>
          <w:tcPr>
            <w:tcW w:w="180" w:type="dxa"/>
            <w:vAlign w:val="bottom"/>
          </w:tcPr>
          <w:p>
            <w:pPr>
              <w:spacing w:after="0"/>
              <w:rPr>
                <w:sz w:val="13"/>
                <w:szCs w:val="13"/>
                <w:color w:val="auto"/>
              </w:rPr>
            </w:pP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127</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4"/>
            <w:shd w:val="clear" w:color="auto" w:fill="EEEEEE"/>
          </w:tcPr>
          <w:p>
            <w:pPr>
              <w:jc w:val="right"/>
              <w:ind w:right="28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0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740" w:type="dxa"/>
            <w:vAlign w:val="bottom"/>
            <w:gridSpan w:val="3"/>
            <w:shd w:val="clear" w:color="auto" w:fill="EEEEEE"/>
          </w:tcPr>
          <w:p>
            <w:pPr>
              <w:jc w:val="right"/>
              <w:ind w:right="600"/>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789</w:t>
            </w:r>
          </w:p>
        </w:tc>
        <w:tc>
          <w:tcPr>
            <w:tcW w:w="1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260" w:type="dxa"/>
            <w:vAlign w:val="bottom"/>
            <w:tcBorders>
              <w:right w:val="single" w:sz="8" w:color="EEEEEE"/>
            </w:tcBorders>
            <w:shd w:val="clear" w:color="auto" w:fill="EEEEEE"/>
          </w:tcPr>
          <w:p>
            <w:pPr>
              <w:spacing w:after="0"/>
              <w:rPr>
                <w:sz w:val="12"/>
                <w:szCs w:val="12"/>
                <w:color w:val="auto"/>
              </w:rPr>
            </w:pP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5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520" w:type="dxa"/>
            <w:vAlign w:val="bottom"/>
            <w:gridSpan w:val="2"/>
          </w:tcPr>
          <w:p>
            <w:pPr>
              <w:spacing w:after="0"/>
              <w:rPr>
                <w:sz w:val="20"/>
                <w:szCs w:val="20"/>
                <w:color w:val="auto"/>
              </w:rPr>
            </w:pPr>
            <w:r>
              <w:rPr>
                <w:rFonts w:ascii="Arial" w:cs="Arial" w:eastAsia="Arial" w:hAnsi="Arial"/>
                <w:sz w:val="14"/>
                <w:szCs w:val="14"/>
                <w:color w:val="auto"/>
              </w:rPr>
              <w:t>Balance, December 31, 2003</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630,282</w:t>
            </w:r>
          </w:p>
        </w:tc>
        <w:tc>
          <w:tcPr>
            <w:tcW w:w="1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$4,501</w:t>
            </w:r>
          </w:p>
        </w:tc>
        <w:tc>
          <w:tcPr>
            <w:tcW w:w="32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2,497</w:t>
            </w:r>
          </w:p>
        </w:tc>
        <w:tc>
          <w:tcPr>
            <w:tcW w:w="2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22"/>
                <w:szCs w:val="22"/>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(54,164)</w:t>
            </w:r>
          </w:p>
        </w:tc>
        <w:tc>
          <w:tcPr>
            <w:tcW w:w="520" w:type="dxa"/>
            <w:vAlign w:val="bottom"/>
            <w:gridSpan w:val="2"/>
          </w:tcPr>
          <w:p>
            <w:pPr>
              <w:ind w:left="440"/>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w w:val="81"/>
              </w:rPr>
              <w:t>(1,388)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$756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-5012055</wp:posOffset>
            </wp:positionV>
            <wp:extent cx="13271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715" cy="3873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-2430145</wp:posOffset>
            </wp:positionV>
            <wp:extent cx="13271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2715" cy="3873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-38100</wp:posOffset>
            </wp:positionV>
            <wp:extent cx="9017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170" cy="3873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-38100</wp:posOffset>
            </wp:positionV>
            <wp:extent cx="13271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8"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2002 and 2001</w:t>
      </w:r>
    </w:p>
    <w:p>
      <w:pPr>
        <w:spacing w:after="0" w:line="25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258" w:lineRule="exact"/>
        <w:rPr>
          <w:sz w:val="20"/>
          <w:szCs w:val="20"/>
          <w:color w:val="auto"/>
        </w:rPr>
      </w:pPr>
    </w:p>
    <w:p>
      <w:pPr>
        <w:ind w:right="340" w:firstLine="324"/>
        <w:spacing w:after="0" w:line="294" w:lineRule="auto"/>
        <w:rPr>
          <w:sz w:val="20"/>
          <w:szCs w:val="20"/>
          <w:color w:val="auto"/>
        </w:rPr>
      </w:pPr>
      <w:r>
        <w:rPr>
          <w:rFonts w:ascii="Arial" w:cs="Arial" w:eastAsia="Arial" w:hAnsi="Arial"/>
          <w:sz w:val="16"/>
          <w:szCs w:val="16"/>
          <w:color w:val="auto"/>
        </w:rPr>
        <w:t xml:space="preserve">The financial statements presented in this report represent the consolidation of Waste Management, Inc., a Delaware corporation, its majority-owned subsidiaries and entities required to be consolidated pursuant to the Financial Accounting Standards Board (“FASB”) Interpretation No. 46, </w:t>
      </w:r>
      <w:r>
        <w:rPr>
          <w:rFonts w:ascii="Arial" w:cs="Arial" w:eastAsia="Arial" w:hAnsi="Arial"/>
          <w:sz w:val="16"/>
          <w:szCs w:val="16"/>
          <w:i w:val="1"/>
          <w:iCs w:val="1"/>
          <w:color w:val="auto"/>
        </w:rPr>
        <w:t>Consolidation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(“FIN 46”) (See Note 19). Waste Management, Inc. is a holding company that conducts all of its operations through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terms “the Company,” “we,” “us” or “our” are used in this document, those terms refer to Waste Management, Inc. and all of its consolidated subsidiaries. When we use the term “WMI,” we are referring only to the parent holding company, and are not including any of the subsidiaries.</w:t>
      </w:r>
    </w:p>
    <w:p>
      <w:pPr>
        <w:spacing w:after="0" w:line="197" w:lineRule="exact"/>
        <w:rPr>
          <w:sz w:val="20"/>
          <w:szCs w:val="20"/>
          <w:color w:val="auto"/>
        </w:rPr>
      </w:pPr>
    </w:p>
    <w:p>
      <w:pPr>
        <w:jc w:val="both"/>
        <w:ind w:right="280" w:firstLine="324"/>
        <w:spacing w:after="0" w:line="306" w:lineRule="auto"/>
        <w:rPr>
          <w:sz w:val="20"/>
          <w:szCs w:val="20"/>
          <w:color w:val="auto"/>
        </w:rPr>
      </w:pPr>
      <w:r>
        <w:rPr>
          <w:rFonts w:ascii="Arial" w:cs="Arial" w:eastAsia="Arial" w:hAnsi="Arial"/>
          <w:sz w:val="16"/>
          <w:szCs w:val="16"/>
          <w:color w:val="auto"/>
        </w:rPr>
        <w:t>We are the leading provider of integrated waste services in North America.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39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accompanying consolidated financial statements include the accounts of WMI and its majority-owned subsidiaries after elimination of all material intercompany balances and transactions. Additionally, variable interest entities where we are the primary beneficiary are consolidated as required by FIN 46 as discussed in Note 19. Investments in affiliated companies in which we have a controlling interest are consolidated for financial reporting purposes. Investments in affiliated entities in which we do not have a controlling interest are accounted for under either the equity method or cost method of accounting, as appropriate. These investments are regularly reviewed for impairment issues and propriety of accounting treatment.</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assets, liabilities, revenues and expenses. We must make these estimates and assumptions because certain of the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as more fully described in Note 3.</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 xml:space="preserve">On January 1, 2003, we adopted Statement of Financial Accounting Standards (“SFAS”) No. 145, </w:t>
      </w:r>
      <w:r>
        <w:rPr>
          <w:rFonts w:ascii="Arial" w:cs="Arial" w:eastAsia="Arial" w:hAnsi="Arial"/>
          <w:sz w:val="16"/>
          <w:szCs w:val="16"/>
          <w:i w:val="1"/>
          <w:iCs w:val="1"/>
          <w:color w:val="auto"/>
        </w:rPr>
        <w:t>Rescission of FASB Statements No. 4, 44, and 64,</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13, and Technical Corrections. </w:t>
      </w:r>
      <w:r>
        <w:rPr>
          <w:rFonts w:ascii="Arial" w:cs="Arial" w:eastAsia="Arial" w:hAnsi="Arial"/>
          <w:sz w:val="16"/>
          <w:szCs w:val="16"/>
          <w:color w:val="auto"/>
        </w:rPr>
        <w:t>SFAS No. 145 requires that gains and losses from extinguishment of debt be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extraordinary items only if they meet the criteria in Accounting Principles Board (“APB”) Opinion No. 30, </w:t>
      </w:r>
      <w:r>
        <w:rPr>
          <w:rFonts w:ascii="Arial" w:cs="Arial" w:eastAsia="Arial" w:hAnsi="Arial"/>
          <w:sz w:val="16"/>
          <w:szCs w:val="16"/>
          <w:i w:val="1"/>
          <w:iCs w:val="1"/>
          <w:color w:val="auto"/>
        </w:rPr>
        <w:t>Reporting the Results of Operations — Reporting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Disposal of a Segment of a Business, and Extraordinary, Unusual and Infrequently Occurring Events and Transactions. </w:t>
      </w:r>
      <w:r>
        <w:rPr>
          <w:rFonts w:ascii="Arial" w:cs="Arial" w:eastAsia="Arial" w:hAnsi="Arial"/>
          <w:sz w:val="16"/>
          <w:szCs w:val="16"/>
          <w:color w:val="auto"/>
        </w:rPr>
        <w:t>Pursuant to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145, we have reclassified 2002 and 2001 losses on the extinguishment of debt of $3 million and $2 million, respectively, that had previously been reported as extraordinary. The impact of this reclassification on the results of operations for the year ended December 31, 2002 was a $5 million increase in interest expense and a $2 million decrease in the income tax provision. The impact of this reclassification on the results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year ended December 31, 2001 was a $3 million increase in interest expense and a $1 million decrease in the tax provision.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2002, we adopted a new organizational structure to align collection, transport, recycling and disposal resources into market areas, and we reduced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layers of management and consolidated certain administrative and support functions. During our 2003 planning processes we determined that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certain costs we previously reported as selling, general and administrative expenses were more appropriately classified as operating expenses after the adoption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new organizational structure. These costs include certain maintenance and repairs, property taxes, insurance and claims, rent, utilities, permits and fees.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began reporting these costs as operating expenses in the first quarter of 2003. In order to conform the prior period presentation of these costs with the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presentation, we have reclassified $137 million of costs previously reported as selling, general and administrative expenses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2002 to operating expenses in the accompanying consolidated statement of operations. Costs identified for reclassification are those costs incurred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beginning in the second quarter of 2002, as this was the first full accounting period that these organizational changes were effective. Additional disclosures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this restructuring are included in Note 11.</w:t>
      </w:r>
    </w:p>
    <w:p>
      <w:pPr>
        <w:spacing w:after="0" w:line="24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As discussed in Note 10, we carry a broad range of insurance coverages to protect our assets and operations from certain risks. We use these insurance programs to mitigate our risk of loss allowing us to effectively manage our self-insurance exposure associated with potential claims. Until December 31, 2003, the recorded liabilities in our balance sheet for personal liability claims were based on our estimates of exposure net of insurance recoveries. As of December 31, 2003 we began recording our gross estimated obligation associated with these claims as a component of accrued liabilities and other long-term liabilities in our balance sheet. We are therefore also including approximately $266 million in estimated insurance recoveries as a component of current notes and other receivables and other long-term assets in our December 31, 2003 balance sheet. We believe this approach provides management and investors with information more reflective of our total estimated obligations for claims and our ability to utilize insurance to manage our exposure to loss. In order to conform the prior year’s presentation of our assets and liabilities with the current year’s presentation we have classified $104 million of estimated insurance recoveries as current notes and other receivables and $121 million of estimated insurance recoveries as other long-term assets in the 2002 balance sheet. In prior presentations, these amounts had been netted against claim obligations in accrued liabilities and other long-term liabilities under our former presentation.</w:t>
      </w:r>
    </w:p>
    <w:p>
      <w:pPr>
        <w:spacing w:after="0" w:line="204" w:lineRule="exact"/>
        <w:rPr>
          <w:sz w:val="20"/>
          <w:szCs w:val="20"/>
          <w:color w:val="auto"/>
        </w:rPr>
      </w:pPr>
    </w:p>
    <w:p>
      <w:pPr>
        <w:ind w:right="760" w:firstLine="324"/>
        <w:spacing w:after="0" w:line="268" w:lineRule="auto"/>
        <w:rPr>
          <w:sz w:val="20"/>
          <w:szCs w:val="20"/>
          <w:color w:val="auto"/>
        </w:rPr>
      </w:pPr>
      <w:r>
        <w:rPr>
          <w:rFonts w:ascii="Arial" w:cs="Arial" w:eastAsia="Arial" w:hAnsi="Arial"/>
          <w:sz w:val="18"/>
          <w:szCs w:val="18"/>
          <w:color w:val="auto"/>
        </w:rPr>
        <w:t>Certain reclassifications have also been made in the 2002 and 2001 consolidated statements of cash flows in order to conform to the current period presentation.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2003 Accounting Changes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January 1, 2003, we implemented changes in our methods of accounting for major repairs and maintenance, loss contracts and asset retirement obligations. See additional discussion associated with the nature and impact of these accounting changes below. We also changed our method of accounting for our interests in two variable interest entities on December 31, 2003, as described in Note 19. This change in accounting did not impact our 2003 income before cumulative effect of changes in accounting principles and therefore had no impact on the comparability of our results of operations as presented. Additionally, our results of operations for each of these periods would not have been significantly impacted by the consolidation of these entities as of the beginning of the earliest year presented. Therefore, the application of FIN 46 has been excluded from the following analysis.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the accounting changes we implemented during 2003 for major repairs and maintenance, loss contracts and asset retirement obligations had been effective in 2002 and 2001, the impact on income before cumulative effect of changes in accounting principles and earnings per common share (in millions, except per share amounts) would have been as follows:</w:t>
      </w: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1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8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5"/>
              </w:rPr>
              <w:t>Reported income before cumulative effect of changes in accounting</w:t>
            </w: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$ 719</w:t>
            </w:r>
          </w:p>
        </w:tc>
        <w:tc>
          <w:tcPr>
            <w:tcW w:w="5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820</w:t>
            </w:r>
          </w:p>
        </w:tc>
        <w:tc>
          <w:tcPr>
            <w:tcW w:w="5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58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5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580" w:type="dxa"/>
            <w:vAlign w:val="bottom"/>
          </w:tcPr>
          <w:p>
            <w:pPr>
              <w:spacing w:after="0"/>
              <w:rPr>
                <w:sz w:val="19"/>
                <w:szCs w:val="19"/>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$ 719</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773</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5"/>
              </w:rPr>
              <w:t>Reported income before cumulative effect of changes in accounting</w:t>
            </w: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5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1.34</w:t>
            </w:r>
          </w:p>
        </w:tc>
        <w:tc>
          <w:tcPr>
            <w:tcW w:w="5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58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5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4"/>
              </w:rPr>
              <w:t>(0.03)</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9"/>
              </w:rPr>
              <w:t>(0.06)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580" w:type="dxa"/>
            <w:vAlign w:val="bottom"/>
          </w:tcPr>
          <w:p>
            <w:pPr>
              <w:spacing w:after="0"/>
              <w:rPr>
                <w:sz w:val="19"/>
                <w:szCs w:val="19"/>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(0.05)</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1.26</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w w:val="95"/>
              </w:rPr>
              <w:t>Reported income before cumulative effect of changes in accounting</w:t>
            </w: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5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1.33</w:t>
            </w:r>
          </w:p>
        </w:tc>
        <w:tc>
          <w:tcPr>
            <w:tcW w:w="5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6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Repairs and maintenance, net of tax</w:t>
            </w:r>
          </w:p>
        </w:tc>
        <w:tc>
          <w:tcPr>
            <w:tcW w:w="58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Loss contracts, net of tax</w:t>
            </w:r>
          </w:p>
        </w:tc>
        <w:tc>
          <w:tcPr>
            <w:tcW w:w="5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4"/>
              </w:rPr>
              <w:t>(0.03)</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9"/>
              </w:rPr>
              <w:t>(0.06)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Adoption of SFAS No. 143, net of tax</w:t>
            </w:r>
          </w:p>
        </w:tc>
        <w:tc>
          <w:tcPr>
            <w:tcW w:w="580" w:type="dxa"/>
            <w:vAlign w:val="bottom"/>
          </w:tcPr>
          <w:p>
            <w:pPr>
              <w:spacing w:after="0"/>
              <w:rPr>
                <w:sz w:val="19"/>
                <w:szCs w:val="19"/>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(0.05)</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1.25</w:t>
            </w:r>
          </w:p>
        </w:tc>
        <w:tc>
          <w:tcPr>
            <w:tcW w:w="5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Repairs and Maintenance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Through December 31, 2002, we accrued in advance for major repairs and maintenance expenditures and we deferred costs associated with annual plant outages at our waste-to-energy facilities and independent power production plants. Effective January 1, 2003, we changed our policy from this method to one that expenses these costs as they are incurred. In the first quarter of 2003, we recorded approximately $25 million, net of taxes, or $0.04 per diluted share, as a credit to cumulative effect of changes in accounting principles. We believe our current method of accounting is preferable because it (i) provides operating results that more clearly reflect the timing and amount of required expenditures, (ii) more clearly reflects our assets and liabilities, and (iii) reduces the need to make additional estimates and assumptions. This change in accounting principle has had an immaterial impact on our consolidated results of operations for the year ended December 31, 2003. However, timing of repair and maintenance expenditures cause slight fluctuations in operating results between reporting periods that were not experienced under our previous accounting.</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Contracts</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Through December 31, 2002, if our customer contracts that we entered into were projected to have direct costs greater than revenues over the life of the contract, we accrued for those future losses. Effective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January 1, 2003, we changed our policy from this method to one that expenses these losses as they are incurred. In the first quarter of 2003, we recorded approximately $30 million, net of taxes, or $0.05 per diluted share, as a credit to cumulative effect of changes in accounting principles. We believe our current method of accounting is preferable because it (i) provides operating results that more clearly reflect the timing and amount of contract losses generated, (ii) more clearly reflects our liabilities, and (iii) reduces the need to make additional estimates and assumptions. The effect of this change in accounting principle is not material to our results of operations for the year ended December 31, 2003.</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Adoption of SFAS No. 143 — Accounting for Asset Retirement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Upon our adoption of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we recorded approximately $101 million, including tax benefit,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$0.17 per diluted share, in the first quarter of 2003 as a charge to cumulative effect of changes in accounting principles. Substantially all of this charge was related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changes in accounting for landfill final capping, closure and post-closure costs. The application of SFAS No. 143 reduced income before cumulative effect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accounting principles for the year ended December 31, 2003 by approximately $28 million, net of tax benefit, or $0.05 per diluted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table summarizes the balance sheet impact of our initial adoption of SFAS No. 143 and our landfill and environmental remediation liabilities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1, 2002 computed on a pro forma basis as if the provisions of SFAS No. 143 had been applied during all periods affected (in millions):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Pro Forma</w:t>
            </w:r>
          </w:p>
        </w:tc>
      </w:tr>
      <w:tr>
        <w:trPr>
          <w:trHeight w:val="149"/>
        </w:trPr>
        <w:tc>
          <w:tcPr>
            <w:tcW w:w="20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tcPr>
          <w:p>
            <w:pPr>
              <w:ind w:left="340"/>
              <w:spacing w:after="0" w:line="149" w:lineRule="exact"/>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49"/>
        </w:trPr>
        <w:tc>
          <w:tcPr>
            <w:tcW w:w="20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January 1,</w:t>
            </w:r>
          </w:p>
        </w:tc>
        <w:tc>
          <w:tcPr>
            <w:tcW w:w="3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r>
      <w:tr>
        <w:trPr>
          <w:trHeight w:val="174"/>
        </w:trPr>
        <w:tc>
          <w:tcPr>
            <w:tcW w:w="20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2002(a)</w:t>
            </w:r>
          </w:p>
        </w:tc>
      </w:tr>
      <w:tr>
        <w:trPr>
          <w:trHeight w:val="95"/>
        </w:trPr>
        <w:tc>
          <w:tcPr>
            <w:tcW w:w="20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309"/>
        </w:trPr>
        <w:tc>
          <w:tcPr>
            <w:tcW w:w="5480" w:type="dxa"/>
            <w:vAlign w:val="bottom"/>
            <w:gridSpan w:val="2"/>
          </w:tcPr>
          <w:p>
            <w:pPr>
              <w:spacing w:after="0"/>
              <w:rPr>
                <w:sz w:val="20"/>
                <w:szCs w:val="20"/>
                <w:color w:val="auto"/>
              </w:rPr>
            </w:pPr>
            <w:r>
              <w:rPr>
                <w:rFonts w:ascii="Arial" w:cs="Arial" w:eastAsia="Arial" w:hAnsi="Arial"/>
                <w:sz w:val="18"/>
                <w:szCs w:val="18"/>
                <w:color w:val="auto"/>
              </w:rPr>
              <w:t>Landfill assets</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8,607</w:t>
            </w:r>
          </w:p>
        </w:tc>
        <w:tc>
          <w:tcPr>
            <w:tcW w:w="5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257</w:t>
            </w:r>
          </w:p>
        </w:tc>
        <w:tc>
          <w:tcPr>
            <w:tcW w:w="200" w:type="dxa"/>
            <w:vAlign w:val="bottom"/>
          </w:tcPr>
          <w:p>
            <w:pPr>
              <w:spacing w:after="0"/>
              <w:rPr>
                <w:sz w:val="24"/>
                <w:szCs w:val="24"/>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8,864</w:t>
            </w: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8,409</w:t>
            </w:r>
          </w:p>
        </w:tc>
        <w:tc>
          <w:tcPr>
            <w:tcW w:w="420" w:type="dxa"/>
            <w:vAlign w:val="bottom"/>
          </w:tcPr>
          <w:p>
            <w:pPr>
              <w:spacing w:after="0"/>
              <w:rPr>
                <w:sz w:val="24"/>
                <w:szCs w:val="24"/>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Accumulated landfill airspace amortization</w:t>
            </w:r>
          </w:p>
        </w:tc>
        <w:tc>
          <w:tcPr>
            <w:tcW w:w="5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(3,539)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80"/>
              </w:rPr>
              <w:t>(161)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(3,700)</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(3,330)</w:t>
            </w:r>
          </w:p>
        </w:tc>
      </w:tr>
      <w:tr>
        <w:trPr>
          <w:trHeight w:val="110"/>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480" w:type="dxa"/>
            <w:vAlign w:val="bottom"/>
            <w:gridSpan w:val="2"/>
          </w:tcPr>
          <w:p>
            <w:pPr>
              <w:spacing w:after="0"/>
              <w:rPr>
                <w:sz w:val="20"/>
                <w:szCs w:val="20"/>
                <w:color w:val="auto"/>
              </w:rPr>
            </w:pPr>
            <w:r>
              <w:rPr>
                <w:rFonts w:ascii="Arial" w:cs="Arial" w:eastAsia="Arial" w:hAnsi="Arial"/>
                <w:sz w:val="18"/>
                <w:szCs w:val="18"/>
                <w:color w:val="auto"/>
              </w:rPr>
              <w:t>Net landfill assets</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5,068</w:t>
            </w:r>
          </w:p>
        </w:tc>
        <w:tc>
          <w:tcPr>
            <w:tcW w:w="5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5,164</w:t>
            </w: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5,079</w:t>
            </w:r>
          </w:p>
        </w:tc>
        <w:tc>
          <w:tcPr>
            <w:tcW w:w="420" w:type="dxa"/>
            <w:vAlign w:val="bottom"/>
          </w:tcPr>
          <w:p>
            <w:pPr>
              <w:spacing w:after="0"/>
              <w:rPr>
                <w:sz w:val="24"/>
                <w:szCs w:val="24"/>
                <w:color w:val="auto"/>
              </w:rPr>
            </w:pPr>
          </w:p>
        </w:tc>
      </w:tr>
      <w:tr>
        <w:trPr>
          <w:trHeight w:val="107"/>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2080" w:type="dxa"/>
            <w:vAlign w:val="bottom"/>
          </w:tcPr>
          <w:p>
            <w:pPr>
              <w:spacing w:after="0"/>
              <w:rPr>
                <w:sz w:val="5"/>
                <w:szCs w:val="5"/>
                <w:color w:val="auto"/>
              </w:rPr>
            </w:pPr>
          </w:p>
        </w:tc>
        <w:tc>
          <w:tcPr>
            <w:tcW w:w="3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Borders>
              <w:right w:val="single" w:sz="8" w:color="808080"/>
            </w:tcBorders>
            <w:gridSpan w:val="2"/>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808080"/>
            </w:tcBorders>
            <w:gridSpan w:val="2"/>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Borders>
              <w:right w:val="single" w:sz="8" w:color="808080"/>
            </w:tcBorders>
            <w:gridSpan w:val="2"/>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3"/>
        </w:trPr>
        <w:tc>
          <w:tcPr>
            <w:tcW w:w="5480" w:type="dxa"/>
            <w:vAlign w:val="bottom"/>
            <w:gridSpan w:val="2"/>
          </w:tcPr>
          <w:p>
            <w:pPr>
              <w:spacing w:after="0"/>
              <w:rPr>
                <w:sz w:val="20"/>
                <w:szCs w:val="20"/>
                <w:color w:val="auto"/>
              </w:rPr>
            </w:pPr>
            <w:r>
              <w:rPr>
                <w:rFonts w:ascii="Arial" w:cs="Arial" w:eastAsia="Arial" w:hAnsi="Arial"/>
                <w:sz w:val="18"/>
                <w:szCs w:val="18"/>
                <w:color w:val="auto"/>
              </w:rPr>
              <w:t>Current landfill liabilities</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24"/>
                <w:szCs w:val="24"/>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Current environmental remediation liabilities</w:t>
            </w: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9"/>
                <w:szCs w:val="19"/>
                <w:color w:val="auto"/>
              </w:rPr>
            </w:pPr>
          </w:p>
        </w:tc>
      </w:tr>
      <w:tr>
        <w:trPr>
          <w:trHeight w:val="110"/>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480" w:type="dxa"/>
            <w:vAlign w:val="bottom"/>
            <w:gridSpan w:val="2"/>
          </w:tcPr>
          <w:p>
            <w:pPr>
              <w:ind w:left="300"/>
              <w:spacing w:after="0"/>
              <w:rPr>
                <w:sz w:val="20"/>
                <w:szCs w:val="20"/>
                <w:color w:val="auto"/>
              </w:rPr>
            </w:pPr>
            <w:r>
              <w:rPr>
                <w:rFonts w:ascii="Arial" w:cs="Arial" w:eastAsia="Arial" w:hAnsi="Arial"/>
                <w:sz w:val="18"/>
                <w:szCs w:val="18"/>
                <w:color w:val="auto"/>
              </w:rPr>
              <w:t>Current landfill and environmental remediation liabilities</w:t>
            </w: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24"/>
                <w:szCs w:val="24"/>
                <w:color w:val="auto"/>
              </w:rPr>
            </w:pPr>
          </w:p>
        </w:tc>
      </w:tr>
      <w:tr>
        <w:trPr>
          <w:trHeight w:val="110"/>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09"/>
        </w:trPr>
        <w:tc>
          <w:tcPr>
            <w:tcW w:w="5480" w:type="dxa"/>
            <w:vAlign w:val="bottom"/>
            <w:gridSpan w:val="2"/>
          </w:tcPr>
          <w:p>
            <w:pPr>
              <w:spacing w:after="0"/>
              <w:rPr>
                <w:sz w:val="20"/>
                <w:szCs w:val="20"/>
                <w:color w:val="auto"/>
              </w:rPr>
            </w:pPr>
            <w:r>
              <w:rPr>
                <w:rFonts w:ascii="Arial" w:cs="Arial" w:eastAsia="Arial" w:hAnsi="Arial"/>
                <w:sz w:val="18"/>
                <w:szCs w:val="18"/>
                <w:color w:val="auto"/>
              </w:rPr>
              <w:t>Long-term landfill liabilities</w:t>
            </w: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606</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199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748</w:t>
            </w:r>
          </w:p>
        </w:tc>
        <w:tc>
          <w:tcPr>
            <w:tcW w:w="420" w:type="dxa"/>
            <w:vAlign w:val="bottom"/>
          </w:tcPr>
          <w:p>
            <w:pPr>
              <w:spacing w:after="0"/>
              <w:rPr>
                <w:sz w:val="24"/>
                <w:szCs w:val="24"/>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Long-term environmental remediation liabilities</w:t>
            </w: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278</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Pr>
          <w:p>
            <w:pPr>
              <w:spacing w:after="0"/>
              <w:rPr>
                <w:sz w:val="19"/>
                <w:szCs w:val="19"/>
                <w:color w:val="auto"/>
              </w:rPr>
            </w:pPr>
          </w:p>
        </w:tc>
      </w:tr>
      <w:tr>
        <w:trPr>
          <w:trHeight w:val="110"/>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480" w:type="dxa"/>
            <w:vAlign w:val="bottom"/>
            <w:gridSpan w:val="2"/>
          </w:tcPr>
          <w:p>
            <w:pPr>
              <w:ind w:left="300"/>
              <w:spacing w:after="0"/>
              <w:rPr>
                <w:sz w:val="20"/>
                <w:szCs w:val="20"/>
                <w:color w:val="auto"/>
              </w:rPr>
            </w:pPr>
            <w:r>
              <w:rPr>
                <w:rFonts w:ascii="Arial" w:cs="Arial" w:eastAsia="Arial" w:hAnsi="Arial"/>
                <w:sz w:val="18"/>
                <w:szCs w:val="18"/>
                <w:color w:val="auto"/>
              </w:rPr>
              <w:t>Long-term landfill and environmental remediation liabilities</w:t>
            </w: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884</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199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1,083</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1,003</w:t>
            </w:r>
          </w:p>
        </w:tc>
        <w:tc>
          <w:tcPr>
            <w:tcW w:w="420" w:type="dxa"/>
            <w:vAlign w:val="bottom"/>
          </w:tcPr>
          <w:p>
            <w:pPr>
              <w:spacing w:after="0"/>
              <w:rPr>
                <w:sz w:val="24"/>
                <w:szCs w:val="24"/>
                <w:color w:val="auto"/>
              </w:rPr>
            </w:pPr>
          </w:p>
        </w:tc>
      </w:tr>
      <w:tr>
        <w:trPr>
          <w:trHeight w:val="110"/>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480" w:type="dxa"/>
            <w:vAlign w:val="bottom"/>
            <w:gridSpan w:val="2"/>
          </w:tcPr>
          <w:p>
            <w:pPr>
              <w:spacing w:after="0"/>
              <w:rPr>
                <w:sz w:val="20"/>
                <w:szCs w:val="20"/>
                <w:color w:val="auto"/>
              </w:rPr>
            </w:pPr>
            <w:r>
              <w:rPr>
                <w:rFonts w:ascii="Arial" w:cs="Arial" w:eastAsia="Arial" w:hAnsi="Arial"/>
                <w:sz w:val="18"/>
                <w:szCs w:val="18"/>
                <w:color w:val="auto"/>
              </w:rPr>
              <w:t>Total landfill and environmental remediation liabilities</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998</w:t>
            </w:r>
          </w:p>
        </w:tc>
        <w:tc>
          <w:tcPr>
            <w:tcW w:w="5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266</w:t>
            </w:r>
          </w:p>
        </w:tc>
        <w:tc>
          <w:tcPr>
            <w:tcW w:w="200" w:type="dxa"/>
            <w:vAlign w:val="bottom"/>
          </w:tcPr>
          <w:p>
            <w:pPr>
              <w:spacing w:after="0"/>
              <w:rPr>
                <w:sz w:val="24"/>
                <w:szCs w:val="24"/>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1,264</w:t>
            </w:r>
          </w:p>
        </w:tc>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1,180</w:t>
            </w:r>
          </w:p>
        </w:tc>
        <w:tc>
          <w:tcPr>
            <w:tcW w:w="420" w:type="dxa"/>
            <w:vAlign w:val="bottom"/>
          </w:tcPr>
          <w:p>
            <w:pPr>
              <w:spacing w:after="0"/>
              <w:rPr>
                <w:sz w:val="24"/>
                <w:szCs w:val="24"/>
                <w:color w:val="auto"/>
              </w:rPr>
            </w:pPr>
          </w:p>
        </w:tc>
      </w:tr>
      <w:tr>
        <w:trPr>
          <w:trHeight w:val="107"/>
        </w:trPr>
        <w:tc>
          <w:tcPr>
            <w:tcW w:w="20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2080" w:type="dxa"/>
            <w:vAlign w:val="bottom"/>
          </w:tcPr>
          <w:p>
            <w:pPr>
              <w:spacing w:after="0"/>
              <w:rPr>
                <w:sz w:val="5"/>
                <w:szCs w:val="5"/>
                <w:color w:val="auto"/>
              </w:rPr>
            </w:pPr>
          </w:p>
        </w:tc>
        <w:tc>
          <w:tcPr>
            <w:tcW w:w="3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21"/>
        </w:trPr>
        <w:tc>
          <w:tcPr>
            <w:tcW w:w="2080" w:type="dxa"/>
            <w:vAlign w:val="bottom"/>
            <w:tcBorders>
              <w:bottom w:val="single" w:sz="8" w:color="808080"/>
            </w:tcBorders>
          </w:tcPr>
          <w:p>
            <w:pPr>
              <w:spacing w:after="0"/>
              <w:rPr>
                <w:sz w:val="24"/>
                <w:szCs w:val="24"/>
                <w:color w:val="auto"/>
              </w:rPr>
            </w:pPr>
          </w:p>
        </w:tc>
        <w:tc>
          <w:tcPr>
            <w:tcW w:w="3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43" w:lineRule="exact"/>
        <w:rPr>
          <w:sz w:val="20"/>
          <w:szCs w:val="20"/>
          <w:color w:val="auto"/>
        </w:rPr>
      </w:pPr>
    </w:p>
    <w:p>
      <w:pPr>
        <w:ind w:left="280" w:right="500" w:hanging="272"/>
        <w:spacing w:after="0" w:line="708" w:lineRule="auto"/>
        <w:tabs>
          <w:tab w:leader="none" w:pos="469"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The pro forma computations have been performed based on assumptions and interest rates at January 1, 2003, the date of adoption of SFAS No. 143. See further discussion related to the impact of our adoption of SFAS No. 143 on our accounting policies under </w:t>
      </w:r>
      <w:r>
        <w:rPr>
          <w:rFonts w:ascii="Arial" w:cs="Arial" w:eastAsia="Arial" w:hAnsi="Arial"/>
          <w:sz w:val="15"/>
          <w:szCs w:val="15"/>
          <w:i w:val="1"/>
          <w:iCs w:val="1"/>
          <w:color w:val="auto"/>
        </w:rPr>
        <w:t>Landfill Accounting</w:t>
      </w:r>
      <w:r>
        <w:rPr>
          <w:rFonts w:ascii="Arial" w:cs="Arial" w:eastAsia="Arial" w:hAnsi="Arial"/>
          <w:sz w:val="15"/>
          <w:szCs w:val="15"/>
          <w:color w:val="auto"/>
        </w:rPr>
        <w:t xml:space="preserve"> within this Note.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Cash and cash equivalents consist primarily of cash on deposit, certificates of deposit, money market accounts, and investment grade commercial paper purchased with original maturities of three months or less.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the investments held within our trust funds and escrow accounts, accounts receivable and derivative instruments. We place our cash and cash equivalents with high quality financial institutions and hold high quality debt instruments in our trust funds and escrow accounts. We also limit our credit exposure by limiting our investments held with any one financial institution or in any one debt instrument. Concentrations of credit risk with respect to accounts receivable are limited because we have a large number of geographically diverse customers, thus spreading trade credit risk. At December 31, 2003 and 2002, no single customer represented greater than 5% of total accounts receivable. We control credit risk through credit evaluations, credit limits and monitoring procedures. We perform credit evaluations for commercial and industrial customers and perform ongoing credit evaluations of our customers, but generally we do not require collateral to support accounts receivable. Credit losses are provided for in the financial statements. Credit risk relating to derivative instruments results from the fact that we enter into interest rate and commodity price swap agreements with various counterparties. However, we regularly monitor our derivative positions by evaluating the creditworthiness of the counterparties, all of whom we consider creditworthy, or who have delivered letters of credit to support their performance.</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Trade, notes and other receivables</w:t>
      </w:r>
    </w:p>
    <w:p>
      <w:pPr>
        <w:spacing w:after="0" w:line="252"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Our receivables are recorded when billed, advanced or accrued and represent claims against third parties that will be settled in cash. The carrying value of our receivables, net of the allowance for doubtful accounts, represents their estimated net realizable value. We estimate our allowance for doubtful accounts based on historical collection trends, type of customer, such as municipal or non-municipal, the age of outstanding receivables and existing economic conditions. If events or changes in circumstances indicate that specific receivable balances may be impaired, further consideration is given to the collectiblity of those balances and the allowance is adjusted accordingly. Past-due receivable balances are written-off when our internal collection efforts have been unsuccessful in collecting the amount due. Also, we generally recognize interest income on long-term interest-bearing notes receivable as the interest accrues under the terms of the notes.</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Property and equipment are recorded at cost. Expenditures for major additions and improvements are capitalized. Minor replacements, maintenance and repairs are charged to expense as incurred.</w:t>
      </w:r>
    </w:p>
    <w:p>
      <w:pPr>
        <w:spacing w:after="0" w:line="213" w:lineRule="exact"/>
        <w:rPr>
          <w:sz w:val="20"/>
          <w:szCs w:val="20"/>
          <w:color w:val="auto"/>
        </w:rPr>
      </w:pPr>
    </w:p>
    <w:p>
      <w:pPr>
        <w:jc w:val="both"/>
        <w:ind w:right="500" w:firstLine="324"/>
        <w:spacing w:after="0" w:line="259" w:lineRule="auto"/>
        <w:rPr>
          <w:sz w:val="20"/>
          <w:szCs w:val="20"/>
          <w:color w:val="auto"/>
        </w:rPr>
      </w:pPr>
      <w:r>
        <w:rPr>
          <w:rFonts w:ascii="Arial" w:cs="Arial" w:eastAsia="Arial" w:hAnsi="Arial"/>
          <w:sz w:val="18"/>
          <w:szCs w:val="18"/>
          <w:color w:val="auto"/>
        </w:rPr>
        <w:t xml:space="preserve">Through December 31, 2002, we accrued for major repair and maintenance expenditures at our waste-to-energy facilities and our independent power production plants. In the first quarter of 2003, we changed our method of accounting to one that expenses these costs as incurred as discussed under </w:t>
      </w:r>
      <w:r>
        <w:rPr>
          <w:rFonts w:ascii="Arial" w:cs="Arial" w:eastAsia="Arial" w:hAnsi="Arial"/>
          <w:sz w:val="18"/>
          <w:szCs w:val="18"/>
          <w:i w:val="1"/>
          <w:iCs w:val="1"/>
          <w:color w:val="auto"/>
        </w:rPr>
        <w:t>“2003</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Changes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When property and equipment are retired, sold or otherwise disposed of, the cost and accumulated depreciation are removed from our accounts and any resulting gain or loss is included in the results of operations as increases or offsets to operating expense for the period. Depreciation is provided over the estimated useful lives of the related assets using the straight-line method. We assume no salvage value for our depreciable property and equipment. The estimated useful lives for significant property and equipment categories are as follows (in years):</w:t>
      </w:r>
    </w:p>
    <w:p>
      <w:pPr>
        <w:spacing w:after="0" w:line="200" w:lineRule="exact"/>
        <w:rPr>
          <w:sz w:val="20"/>
          <w:szCs w:val="20"/>
          <w:color w:val="auto"/>
        </w:rPr>
      </w:pP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1820" w:type="dxa"/>
            <w:vAlign w:val="bottom"/>
          </w:tcPr>
          <w:p>
            <w:pPr>
              <w:jc w:val="right"/>
              <w:ind w:right="475"/>
              <w:spacing w:after="0"/>
              <w:rPr>
                <w:sz w:val="20"/>
                <w:szCs w:val="20"/>
                <w:color w:val="auto"/>
              </w:rPr>
            </w:pPr>
            <w:r>
              <w:rPr>
                <w:rFonts w:ascii="Arial" w:cs="Arial" w:eastAsia="Arial" w:hAnsi="Arial"/>
                <w:sz w:val="14"/>
                <w:szCs w:val="14"/>
                <w:b w:val="1"/>
                <w:bCs w:val="1"/>
                <w:color w:val="auto"/>
              </w:rPr>
              <w:t>Useful Lives</w:t>
            </w:r>
          </w:p>
        </w:tc>
      </w:tr>
      <w:tr>
        <w:trPr>
          <w:trHeight w:val="95"/>
        </w:trPr>
        <w:tc>
          <w:tcPr>
            <w:tcW w:w="616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r>
      <w:tr>
        <w:trPr>
          <w:trHeight w:val="309"/>
        </w:trPr>
        <w:tc>
          <w:tcPr>
            <w:tcW w:w="6160" w:type="dxa"/>
            <w:vAlign w:val="bottom"/>
          </w:tcPr>
          <w:p>
            <w:pPr>
              <w:spacing w:after="0"/>
              <w:rPr>
                <w:sz w:val="20"/>
                <w:szCs w:val="20"/>
                <w:color w:val="auto"/>
              </w:rPr>
            </w:pPr>
            <w:r>
              <w:rPr>
                <w:rFonts w:ascii="Arial" w:cs="Arial" w:eastAsia="Arial" w:hAnsi="Arial"/>
                <w:sz w:val="18"/>
                <w:szCs w:val="18"/>
                <w:color w:val="auto"/>
              </w:rPr>
              <w:t>Office equipment</w:t>
            </w:r>
          </w:p>
        </w:tc>
        <w:tc>
          <w:tcPr>
            <w:tcW w:w="1820" w:type="dxa"/>
            <w:vAlign w:val="bottom"/>
          </w:tcPr>
          <w:p>
            <w:pPr>
              <w:jc w:val="right"/>
              <w:ind w:right="535"/>
              <w:spacing w:after="0"/>
              <w:rPr>
                <w:sz w:val="20"/>
                <w:szCs w:val="20"/>
                <w:color w:val="auto"/>
              </w:rPr>
            </w:pPr>
            <w:r>
              <w:rPr>
                <w:rFonts w:ascii="Arial" w:cs="Arial" w:eastAsia="Arial" w:hAnsi="Arial"/>
                <w:sz w:val="18"/>
                <w:szCs w:val="18"/>
                <w:color w:val="auto"/>
              </w:rPr>
              <w:t>3 to 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Vehicles</w:t>
            </w:r>
          </w:p>
        </w:tc>
        <w:tc>
          <w:tcPr>
            <w:tcW w:w="1820" w:type="dxa"/>
            <w:vAlign w:val="bottom"/>
          </w:tcPr>
          <w:p>
            <w:pPr>
              <w:jc w:val="right"/>
              <w:ind w:right="535"/>
              <w:spacing w:after="0"/>
              <w:rPr>
                <w:sz w:val="20"/>
                <w:szCs w:val="20"/>
                <w:color w:val="auto"/>
              </w:rPr>
            </w:pPr>
            <w:r>
              <w:rPr>
                <w:rFonts w:ascii="Arial" w:cs="Arial" w:eastAsia="Arial" w:hAnsi="Arial"/>
                <w:sz w:val="18"/>
                <w:szCs w:val="18"/>
                <w:color w:val="auto"/>
              </w:rPr>
              <w:t>3 to 10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20" w:type="dxa"/>
            <w:vAlign w:val="bottom"/>
          </w:tcPr>
          <w:p>
            <w:pPr>
              <w:jc w:val="right"/>
              <w:ind w:right="535"/>
              <w:spacing w:after="0"/>
              <w:rPr>
                <w:sz w:val="20"/>
                <w:szCs w:val="20"/>
                <w:color w:val="auto"/>
              </w:rPr>
            </w:pPr>
            <w:r>
              <w:rPr>
                <w:rFonts w:ascii="Arial" w:cs="Arial" w:eastAsia="Arial" w:hAnsi="Arial"/>
                <w:sz w:val="18"/>
                <w:szCs w:val="18"/>
                <w:color w:val="auto"/>
              </w:rPr>
              <w:t>3 to 10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Commercial and roll-off containers</w:t>
            </w:r>
          </w:p>
        </w:tc>
        <w:tc>
          <w:tcPr>
            <w:tcW w:w="1820" w:type="dxa"/>
            <w:vAlign w:val="bottom"/>
          </w:tcPr>
          <w:p>
            <w:pPr>
              <w:jc w:val="right"/>
              <w:ind w:right="535"/>
              <w:spacing w:after="0"/>
              <w:rPr>
                <w:sz w:val="20"/>
                <w:szCs w:val="20"/>
                <w:color w:val="auto"/>
              </w:rPr>
            </w:pPr>
            <w:r>
              <w:rPr>
                <w:rFonts w:ascii="Arial" w:cs="Arial" w:eastAsia="Arial" w:hAnsi="Arial"/>
                <w:sz w:val="18"/>
                <w:szCs w:val="18"/>
                <w:color w:val="auto"/>
              </w:rPr>
              <w:t>8 to 12</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Rail haul cars</w:t>
            </w:r>
          </w:p>
        </w:tc>
        <w:tc>
          <w:tcPr>
            <w:tcW w:w="1820" w:type="dxa"/>
            <w:vAlign w:val="bottom"/>
          </w:tcPr>
          <w:p>
            <w:pPr>
              <w:jc w:val="right"/>
              <w:ind w:right="535"/>
              <w:spacing w:after="0"/>
              <w:rPr>
                <w:sz w:val="20"/>
                <w:szCs w:val="20"/>
                <w:color w:val="auto"/>
              </w:rPr>
            </w:pPr>
            <w:r>
              <w:rPr>
                <w:rFonts w:ascii="Arial" w:cs="Arial" w:eastAsia="Arial" w:hAnsi="Arial"/>
                <w:sz w:val="18"/>
                <w:szCs w:val="18"/>
                <w:color w:val="auto"/>
              </w:rPr>
              <w:t>10 to 20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jc w:val="right"/>
              <w:ind w:right="535"/>
              <w:spacing w:after="0"/>
              <w:rPr>
                <w:sz w:val="20"/>
                <w:szCs w:val="20"/>
                <w:color w:val="auto"/>
              </w:rPr>
            </w:pPr>
            <w:r>
              <w:rPr>
                <w:rFonts w:ascii="Arial" w:cs="Arial" w:eastAsia="Arial" w:hAnsi="Arial"/>
                <w:sz w:val="18"/>
                <w:szCs w:val="18"/>
                <w:color w:val="auto"/>
              </w:rPr>
              <w:t>5 to 40</w:t>
            </w: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Waste-to-energy facilities</w:t>
            </w:r>
          </w:p>
        </w:tc>
        <w:tc>
          <w:tcPr>
            <w:tcW w:w="1820" w:type="dxa"/>
            <w:vAlign w:val="bottom"/>
          </w:tcPr>
          <w:p>
            <w:pPr>
              <w:jc w:val="right"/>
              <w:ind w:right="535"/>
              <w:spacing w:after="0"/>
              <w:rPr>
                <w:sz w:val="20"/>
                <w:szCs w:val="20"/>
                <w:color w:val="auto"/>
              </w:rPr>
            </w:pPr>
            <w:r>
              <w:rPr>
                <w:rFonts w:ascii="Arial" w:cs="Arial" w:eastAsia="Arial" w:hAnsi="Arial"/>
                <w:sz w:val="18"/>
                <w:szCs w:val="18"/>
                <w:color w:val="auto"/>
              </w:rPr>
              <w:t>up to 50</w:t>
            </w:r>
          </w:p>
        </w:tc>
      </w:tr>
    </w:tbl>
    <w:p>
      <w:pPr>
        <w:spacing w:after="0" w:line="237"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capitalize certain costs associated with developing or obtaining internal-use software. These costs include external direct costs of materials and services used in developing or obtaining the software and payroll and payroll-related costs for employees directly associated with the software development project. For the years ended December 31, 2003 and 2002, we capitalized $61 million and $110 million, respectively, of software development costs that are primarily related to the development of our enterprise-wide software systems. We include these costs as office equipment within furniture and fixtures and depreciate the software development costs over a period up to five years once the systems are placed in service.</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lease certain office space, plant and equipment for varying periods. Our leases have varying terms. Some may include renewal or purchase options, escalation clauses, restrictions, penalties or other obligations that we consider in determining minimum lease payments. The leases are classified as either capital leases or operating leases, as appropriate.</w:t>
      </w:r>
    </w:p>
    <w:p>
      <w:pPr>
        <w:spacing w:after="0" w:line="221"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i w:val="1"/>
          <w:iCs w:val="1"/>
          <w:color w:val="auto"/>
        </w:rPr>
        <w:t xml:space="preserve">Operating Leases — </w:t>
      </w:r>
      <w:r>
        <w:rPr>
          <w:rFonts w:ascii="Arial" w:cs="Arial" w:eastAsia="Arial" w:hAnsi="Arial"/>
          <w:sz w:val="16"/>
          <w:szCs w:val="16"/>
          <w:color w:val="auto"/>
        </w:rPr>
        <w:t>Management expects that in the normal course of business, operating leases will be renewed or replaced by other leases. Our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 payments, for which we are contractually obligated as of December 31, 2003, are disclosed in Note 10.</w:t>
      </w:r>
    </w:p>
    <w:p>
      <w:pPr>
        <w:spacing w:after="0" w:line="16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Capital Leases — </w:t>
      </w:r>
      <w:r>
        <w:rPr>
          <w:rFonts w:ascii="Arial" w:cs="Arial" w:eastAsia="Arial" w:hAnsi="Arial"/>
          <w:sz w:val="18"/>
          <w:szCs w:val="18"/>
          <w:color w:val="auto"/>
        </w:rPr>
        <w:t>Assets under capital leases are capitalized using interest rates appropriate at the inception of each lease and are amortized over the shorter</w:t>
      </w:r>
      <w:r>
        <w:rPr>
          <w:rFonts w:ascii="Arial" w:cs="Arial" w:eastAsia="Arial" w:hAnsi="Arial"/>
          <w:sz w:val="18"/>
          <w:szCs w:val="18"/>
          <w:i w:val="1"/>
          <w:iCs w:val="1"/>
          <w:color w:val="auto"/>
        </w:rPr>
        <w:t xml:space="preserve"> </w:t>
      </w:r>
      <w:r>
        <w:rPr>
          <w:rFonts w:ascii="Arial" w:cs="Arial" w:eastAsia="Arial" w:hAnsi="Arial"/>
          <w:sz w:val="18"/>
          <w:szCs w:val="18"/>
          <w:color w:val="auto"/>
        </w:rPr>
        <w:t>of either the useful life of the asset in accordance with our policy for owned assets or the lease term on a straight-line basis. The present value of the related lease payment is recorded as a debt obligation. Our future minimum annual capital lease payments are included in our total future debt obligations as disclosed in Note 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Effective January 1, 2003, our method of accounting for landfill final capping, closure and post-closure changed as a result of our adoption of SFAS No. 143. With the exception of the accounting for capitalized and future landfill final capping costs, SFAS No. 143 does not change basic life-cycle accounting. The table below compares our historical practices to the method prescribed by SFAS No.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Current Practice</w:t>
      </w:r>
    </w:p>
    <w:p>
      <w:pPr>
        <w:spacing w:after="0" w:line="1" w:lineRule="exact"/>
        <w:rPr>
          <w:sz w:val="20"/>
          <w:szCs w:val="20"/>
          <w:color w:val="auto"/>
        </w:rPr>
      </w:pPr>
    </w:p>
    <w:p>
      <w:pPr>
        <w:ind w:left="1180"/>
        <w:spacing w:after="0"/>
        <w:tabs>
          <w:tab w:leader="none" w:pos="4660" w:val="left"/>
          <w:tab w:leader="none" w:pos="864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Historical Practice</w:t>
      </w:r>
      <w:r>
        <w:rPr>
          <w:sz w:val="20"/>
          <w:szCs w:val="20"/>
          <w:color w:val="auto"/>
        </w:rPr>
        <w:tab/>
      </w:r>
      <w:r>
        <w:rPr>
          <w:rFonts w:ascii="Arial" w:cs="Arial" w:eastAsia="Arial" w:hAnsi="Arial"/>
          <w:sz w:val="12"/>
          <w:szCs w:val="12"/>
          <w:b w:val="1"/>
          <w:bCs w:val="1"/>
          <w:color w:val="auto"/>
        </w:rPr>
        <w:t>(Effective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15"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Final capping</w:t>
      </w:r>
      <w:r>
        <w:rPr>
          <w:sz w:val="20"/>
          <w:szCs w:val="20"/>
          <w:color w:val="auto"/>
        </w:rPr>
        <w:tab/>
      </w:r>
      <w:r>
        <w:rPr>
          <w:rFonts w:ascii="Arial" w:cs="Arial" w:eastAsia="Arial" w:hAnsi="Arial"/>
          <w:sz w:val="16"/>
          <w:szCs w:val="16"/>
          <w:color w:val="auto"/>
        </w:rPr>
        <w:t>Capital asset related to installation of flexible</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membrane and geosynthetic clay liners, drainage</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and compacted soil layers and topsoil constructed</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over areas of landfill where total airspace capacity</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has been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60" w:hanging="134"/>
        <w:spacing w:after="0" w:line="256" w:lineRule="auto"/>
        <w:rPr>
          <w:sz w:val="20"/>
          <w:szCs w:val="20"/>
          <w:color w:val="auto"/>
        </w:rPr>
      </w:pPr>
      <w:r>
        <w:rPr>
          <w:rFonts w:ascii="Arial" w:cs="Arial" w:eastAsia="Arial" w:hAnsi="Arial"/>
          <w:sz w:val="18"/>
          <w:szCs w:val="18"/>
          <w:color w:val="auto"/>
        </w:rPr>
        <w:t>Reflected as an asset retirement obligation, on a discounted basis, rather than a capital asset; each final capping event is recorded on a units of consumption basis as airspace is consumed</w:t>
      </w:r>
    </w:p>
    <w:p>
      <w:pPr>
        <w:spacing w:after="0" w:line="394" w:lineRule="exact"/>
        <w:rPr>
          <w:sz w:val="20"/>
          <w:szCs w:val="20"/>
          <w:color w:val="auto"/>
        </w:rPr>
      </w:pPr>
    </w:p>
    <w:p>
      <w:pPr>
        <w:sectPr>
          <w:pgSz w:w="11900" w:h="16838" w:orient="portrait"/>
          <w:cols w:equalWidth="0" w:num="2">
            <w:col w:w="7000" w:space="580"/>
            <w:col w:w="3840"/>
          </w:cols>
          <w:pgMar w:left="240" w:top="935" w:right="239" w:bottom="1440" w:gutter="0" w:footer="0" w:header="0"/>
          <w:type w:val="continuous"/>
        </w:sectPr>
      </w:pPr>
    </w:p>
    <w:p>
      <w:pPr>
        <w:spacing w:after="0" w:line="32" w:lineRule="exact"/>
        <w:rPr>
          <w:sz w:val="20"/>
          <w:szCs w:val="20"/>
          <w:color w:val="auto"/>
        </w:rPr>
      </w:pPr>
    </w:p>
    <w:p>
      <w:pPr>
        <w:spacing w:after="0"/>
        <w:tabs>
          <w:tab w:leader="none" w:pos="3320" w:val="left"/>
          <w:tab w:leader="none" w:pos="7420" w:val="left"/>
        </w:tabs>
        <w:rPr>
          <w:sz w:val="20"/>
          <w:szCs w:val="20"/>
          <w:color w:val="auto"/>
        </w:rPr>
      </w:pPr>
      <w:r>
        <w:rPr>
          <w:rFonts w:ascii="Arial" w:cs="Arial" w:eastAsia="Arial" w:hAnsi="Arial"/>
          <w:sz w:val="18"/>
          <w:szCs w:val="18"/>
          <w:color w:val="auto"/>
        </w:rPr>
        <w:t>Post-closure</w:t>
      </w:r>
      <w:r>
        <w:rPr>
          <w:sz w:val="20"/>
          <w:szCs w:val="20"/>
          <w:color w:val="auto"/>
        </w:rPr>
        <w:tab/>
      </w:r>
      <w:r>
        <w:rPr>
          <w:rFonts w:ascii="Arial" w:cs="Arial" w:eastAsia="Arial" w:hAnsi="Arial"/>
          <w:sz w:val="18"/>
          <w:szCs w:val="18"/>
          <w:color w:val="auto"/>
        </w:rPr>
        <w:t>Includes routine monitoring and maintenance of a</w:t>
      </w:r>
      <w:r>
        <w:rPr>
          <w:sz w:val="20"/>
          <w:szCs w:val="20"/>
          <w:color w:val="auto"/>
        </w:rPr>
        <w:tab/>
      </w:r>
      <w:r>
        <w:rPr>
          <w:rFonts w:ascii="Arial" w:cs="Arial" w:eastAsia="Arial" w:hAnsi="Arial"/>
          <w:sz w:val="15"/>
          <w:szCs w:val="15"/>
          <w:color w:val="auto"/>
        </w:rPr>
        <w:t>No change</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landfill after it has closed, ceased to accept waste</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and been certified as closed by the applicable state</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32" w:lineRule="exact"/>
        <w:rPr>
          <w:sz w:val="20"/>
          <w:szCs w:val="20"/>
          <w:color w:val="auto"/>
        </w:rPr>
      </w:pPr>
    </w:p>
    <w:p>
      <w:pPr>
        <w:spacing w:after="0"/>
        <w:tabs>
          <w:tab w:leader="none" w:pos="3320" w:val="left"/>
        </w:tabs>
        <w:rPr>
          <w:sz w:val="20"/>
          <w:szCs w:val="20"/>
          <w:color w:val="auto"/>
        </w:rPr>
      </w:pPr>
      <w:r>
        <w:rPr>
          <w:rFonts w:ascii="Arial" w:cs="Arial" w:eastAsia="Arial" w:hAnsi="Arial"/>
          <w:sz w:val="16"/>
          <w:szCs w:val="16"/>
          <w:color w:val="auto"/>
        </w:rPr>
        <w:t>Closure</w:t>
      </w:r>
      <w:r>
        <w:rPr>
          <w:sz w:val="20"/>
          <w:szCs w:val="20"/>
          <w:color w:val="auto"/>
        </w:rPr>
        <w:tab/>
      </w:r>
      <w:r>
        <w:rPr>
          <w:rFonts w:ascii="Arial" w:cs="Arial" w:eastAsia="Arial" w:hAnsi="Arial"/>
          <w:sz w:val="16"/>
          <w:szCs w:val="16"/>
          <w:color w:val="auto"/>
        </w:rPr>
        <w:t>Includes last final capping event, final portion of</w:t>
      </w:r>
    </w:p>
    <w:p>
      <w:pPr>
        <w:spacing w:after="0" w:line="3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methane gas collection system to be constructed,</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demobilization, and the routine maintenance costs</w:t>
      </w:r>
    </w:p>
    <w:p>
      <w:pPr>
        <w:spacing w:after="0" w:line="44"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incurred after site ceases to accept waste, but prior</w:t>
      </w:r>
    </w:p>
    <w:p>
      <w:pPr>
        <w:spacing w:after="0" w:line="4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to being certified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140" w:hanging="134"/>
        <w:spacing w:after="0" w:line="332" w:lineRule="auto"/>
        <w:rPr>
          <w:sz w:val="20"/>
          <w:szCs w:val="20"/>
          <w:color w:val="auto"/>
        </w:rPr>
      </w:pPr>
      <w:r>
        <w:rPr>
          <w:rFonts w:ascii="Arial" w:cs="Arial" w:eastAsia="Arial" w:hAnsi="Arial"/>
          <w:sz w:val="16"/>
          <w:szCs w:val="16"/>
          <w:color w:val="auto"/>
        </w:rPr>
        <w:t>No change, except that last final capping event of each landfill will be treated as a part of final capping</w:t>
      </w:r>
    </w:p>
    <w:p>
      <w:pPr>
        <w:spacing w:after="0" w:line="768" w:lineRule="exact"/>
        <w:rPr>
          <w:sz w:val="20"/>
          <w:szCs w:val="20"/>
          <w:color w:val="auto"/>
        </w:rPr>
      </w:pPr>
    </w:p>
    <w:p>
      <w:pPr>
        <w:sectPr>
          <w:pgSz w:w="11900" w:h="16838" w:orient="portrait"/>
          <w:cols w:equalWidth="0" w:num="2">
            <w:col w:w="7000" w:space="580"/>
            <w:col w:w="3840"/>
          </w:cols>
          <w:pgMar w:left="240" w:top="935" w:right="2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i w:val="1"/>
                <w:iCs w:val="1"/>
                <w:color w:val="auto"/>
              </w:rPr>
              <w:t>Discount Rate</w:t>
            </w:r>
          </w:p>
        </w:tc>
        <w:tc>
          <w:tcPr>
            <w:tcW w:w="5040" w:type="dxa"/>
            <w:vAlign w:val="bottom"/>
          </w:tcPr>
          <w:p>
            <w:pPr>
              <w:ind w:left="1140"/>
              <w:spacing w:after="0"/>
              <w:rPr>
                <w:sz w:val="20"/>
                <w:szCs w:val="20"/>
                <w:color w:val="auto"/>
              </w:rPr>
            </w:pPr>
            <w:r>
              <w:rPr>
                <w:rFonts w:ascii="Arial" w:cs="Arial" w:eastAsia="Arial" w:hAnsi="Arial"/>
                <w:sz w:val="18"/>
                <w:szCs w:val="18"/>
                <w:color w:val="auto"/>
              </w:rPr>
              <w:t>Risk-free rate (5.0% at December 31, 2002);</w:t>
            </w:r>
          </w:p>
        </w:tc>
        <w:tc>
          <w:tcPr>
            <w:tcW w:w="4180" w:type="dxa"/>
            <w:vAlign w:val="bottom"/>
          </w:tcPr>
          <w:p>
            <w:pPr>
              <w:ind w:left="200"/>
              <w:spacing w:after="0"/>
              <w:rPr>
                <w:sz w:val="20"/>
                <w:szCs w:val="20"/>
                <w:color w:val="auto"/>
              </w:rPr>
            </w:pPr>
            <w:r>
              <w:rPr>
                <w:rFonts w:ascii="Arial" w:cs="Arial" w:eastAsia="Arial" w:hAnsi="Arial"/>
                <w:sz w:val="18"/>
                <w:szCs w:val="18"/>
                <w:color w:val="auto"/>
                <w:w w:val="97"/>
              </w:rPr>
              <w:t>Credit-adjusted, risk-free rate (7.25% during 2003);</w:t>
            </w:r>
          </w:p>
        </w:tc>
      </w:tr>
      <w:tr>
        <w:trPr>
          <w:trHeight w:val="216"/>
        </w:trPr>
        <w:tc>
          <w:tcPr>
            <w:tcW w:w="2200" w:type="dxa"/>
            <w:vAlign w:val="bottom"/>
          </w:tcPr>
          <w:p>
            <w:pPr>
              <w:spacing w:after="0"/>
              <w:rPr>
                <w:sz w:val="18"/>
                <w:szCs w:val="18"/>
                <w:color w:val="auto"/>
              </w:rPr>
            </w:pPr>
          </w:p>
        </w:tc>
        <w:tc>
          <w:tcPr>
            <w:tcW w:w="5040" w:type="dxa"/>
            <w:vAlign w:val="bottom"/>
          </w:tcPr>
          <w:p>
            <w:pPr>
              <w:ind w:left="1260"/>
              <w:spacing w:after="0"/>
              <w:rPr>
                <w:sz w:val="20"/>
                <w:szCs w:val="20"/>
                <w:color w:val="auto"/>
              </w:rPr>
            </w:pPr>
            <w:r>
              <w:rPr>
                <w:rFonts w:ascii="Arial" w:cs="Arial" w:eastAsia="Arial" w:hAnsi="Arial"/>
                <w:sz w:val="18"/>
                <w:szCs w:val="18"/>
                <w:color w:val="auto"/>
                <w:w w:val="93"/>
              </w:rPr>
              <w:t>determined annually unless interim changes would</w:t>
            </w:r>
          </w:p>
        </w:tc>
        <w:tc>
          <w:tcPr>
            <w:tcW w:w="4180" w:type="dxa"/>
            <w:vAlign w:val="bottom"/>
          </w:tcPr>
          <w:p>
            <w:pPr>
              <w:ind w:left="340"/>
              <w:spacing w:after="0"/>
              <w:rPr>
                <w:sz w:val="20"/>
                <w:szCs w:val="20"/>
                <w:color w:val="auto"/>
              </w:rPr>
            </w:pPr>
            <w:r>
              <w:rPr>
                <w:rFonts w:ascii="Arial" w:cs="Arial" w:eastAsia="Arial" w:hAnsi="Arial"/>
                <w:sz w:val="18"/>
                <w:szCs w:val="18"/>
                <w:color w:val="auto"/>
                <w:w w:val="94"/>
              </w:rPr>
              <w:t>determined annually unless interim changes would</w:t>
            </w:r>
          </w:p>
        </w:tc>
      </w:tr>
      <w:tr>
        <w:trPr>
          <w:trHeight w:val="222"/>
        </w:trPr>
        <w:tc>
          <w:tcPr>
            <w:tcW w:w="2200" w:type="dxa"/>
            <w:vAlign w:val="bottom"/>
          </w:tcPr>
          <w:p>
            <w:pPr>
              <w:spacing w:after="0"/>
              <w:rPr>
                <w:sz w:val="19"/>
                <w:szCs w:val="19"/>
                <w:color w:val="auto"/>
              </w:rPr>
            </w:pPr>
          </w:p>
        </w:tc>
        <w:tc>
          <w:tcPr>
            <w:tcW w:w="5040" w:type="dxa"/>
            <w:vAlign w:val="bottom"/>
          </w:tcPr>
          <w:p>
            <w:pPr>
              <w:ind w:left="1260"/>
              <w:spacing w:after="0"/>
              <w:rPr>
                <w:sz w:val="20"/>
                <w:szCs w:val="20"/>
                <w:color w:val="auto"/>
              </w:rPr>
            </w:pPr>
            <w:r>
              <w:rPr>
                <w:rFonts w:ascii="Arial" w:cs="Arial" w:eastAsia="Arial" w:hAnsi="Arial"/>
                <w:sz w:val="18"/>
                <w:szCs w:val="18"/>
                <w:color w:val="auto"/>
              </w:rPr>
              <w:t>significantly impact results of operations</w:t>
            </w:r>
          </w:p>
        </w:tc>
        <w:tc>
          <w:tcPr>
            <w:tcW w:w="4180" w:type="dxa"/>
            <w:vAlign w:val="bottom"/>
          </w:tcPr>
          <w:p>
            <w:pPr>
              <w:ind w:left="340"/>
              <w:spacing w:after="0"/>
              <w:rPr>
                <w:sz w:val="20"/>
                <w:szCs w:val="20"/>
                <w:color w:val="auto"/>
              </w:rPr>
            </w:pPr>
            <w:r>
              <w:rPr>
                <w:rFonts w:ascii="Arial" w:cs="Arial" w:eastAsia="Arial" w:hAnsi="Arial"/>
                <w:sz w:val="18"/>
                <w:szCs w:val="18"/>
                <w:color w:val="auto"/>
              </w:rPr>
              <w:t>significantly impact results of operations</w:t>
            </w:r>
          </w:p>
        </w:tc>
      </w:tr>
      <w:tr>
        <w:trPr>
          <w:trHeight w:val="110"/>
        </w:trPr>
        <w:tc>
          <w:tcPr>
            <w:tcW w:w="2200" w:type="dxa"/>
            <w:vAlign w:val="bottom"/>
            <w:tcBorders>
              <w:bottom w:val="single" w:sz="8" w:color="808080"/>
            </w:tcBorders>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r>
      <w:tr>
        <w:trPr>
          <w:trHeight w:val="309"/>
        </w:trPr>
        <w:tc>
          <w:tcPr>
            <w:tcW w:w="2200" w:type="dxa"/>
            <w:vAlign w:val="bottom"/>
          </w:tcPr>
          <w:p>
            <w:pPr>
              <w:spacing w:after="0"/>
              <w:rPr>
                <w:sz w:val="20"/>
                <w:szCs w:val="20"/>
                <w:color w:val="auto"/>
              </w:rPr>
            </w:pPr>
            <w:r>
              <w:rPr>
                <w:rFonts w:ascii="Arial" w:cs="Arial" w:eastAsia="Arial" w:hAnsi="Arial"/>
                <w:sz w:val="18"/>
                <w:szCs w:val="18"/>
                <w:b w:val="1"/>
                <w:bCs w:val="1"/>
                <w:i w:val="1"/>
                <w:iCs w:val="1"/>
                <w:color w:val="auto"/>
              </w:rPr>
              <w:t>Cost Estimates</w:t>
            </w:r>
          </w:p>
        </w:tc>
        <w:tc>
          <w:tcPr>
            <w:tcW w:w="5040" w:type="dxa"/>
            <w:vAlign w:val="bottom"/>
          </w:tcPr>
          <w:p>
            <w:pPr>
              <w:ind w:left="1140"/>
              <w:spacing w:after="0"/>
              <w:rPr>
                <w:sz w:val="20"/>
                <w:szCs w:val="20"/>
                <w:color w:val="auto"/>
              </w:rPr>
            </w:pPr>
            <w:r>
              <w:rPr>
                <w:rFonts w:ascii="Arial" w:cs="Arial" w:eastAsia="Arial" w:hAnsi="Arial"/>
                <w:sz w:val="18"/>
                <w:szCs w:val="18"/>
                <w:color w:val="auto"/>
              </w:rPr>
              <w:t>Costs were estimated based on performance,</w:t>
            </w:r>
          </w:p>
        </w:tc>
        <w:tc>
          <w:tcPr>
            <w:tcW w:w="4180" w:type="dxa"/>
            <w:vAlign w:val="bottom"/>
          </w:tcPr>
          <w:p>
            <w:pPr>
              <w:ind w:left="200"/>
              <w:spacing w:after="0"/>
              <w:rPr>
                <w:sz w:val="20"/>
                <w:szCs w:val="20"/>
                <w:color w:val="auto"/>
              </w:rPr>
            </w:pPr>
            <w:r>
              <w:rPr>
                <w:rFonts w:ascii="Arial" w:cs="Arial" w:eastAsia="Arial" w:hAnsi="Arial"/>
                <w:sz w:val="18"/>
                <w:szCs w:val="18"/>
                <w:color w:val="auto"/>
              </w:rPr>
              <w:t>No change, except that the cost of any activities</w:t>
            </w:r>
          </w:p>
        </w:tc>
      </w:tr>
      <w:tr>
        <w:trPr>
          <w:trHeight w:val="216"/>
        </w:trPr>
        <w:tc>
          <w:tcPr>
            <w:tcW w:w="2200" w:type="dxa"/>
            <w:vAlign w:val="bottom"/>
          </w:tcPr>
          <w:p>
            <w:pPr>
              <w:spacing w:after="0"/>
              <w:rPr>
                <w:sz w:val="18"/>
                <w:szCs w:val="18"/>
                <w:color w:val="auto"/>
              </w:rPr>
            </w:pPr>
          </w:p>
        </w:tc>
        <w:tc>
          <w:tcPr>
            <w:tcW w:w="5040" w:type="dxa"/>
            <w:vAlign w:val="bottom"/>
          </w:tcPr>
          <w:p>
            <w:pPr>
              <w:ind w:left="1260"/>
              <w:spacing w:after="0"/>
              <w:rPr>
                <w:sz w:val="20"/>
                <w:szCs w:val="20"/>
                <w:color w:val="auto"/>
              </w:rPr>
            </w:pPr>
            <w:r>
              <w:rPr>
                <w:rFonts w:ascii="Arial" w:cs="Arial" w:eastAsia="Arial" w:hAnsi="Arial"/>
                <w:sz w:val="18"/>
                <w:szCs w:val="18"/>
                <w:color w:val="auto"/>
              </w:rPr>
              <w:t>principally by third parties, with a small portion</w:t>
            </w:r>
          </w:p>
        </w:tc>
        <w:tc>
          <w:tcPr>
            <w:tcW w:w="4180" w:type="dxa"/>
            <w:vAlign w:val="bottom"/>
          </w:tcPr>
          <w:p>
            <w:pPr>
              <w:ind w:left="340"/>
              <w:spacing w:after="0"/>
              <w:rPr>
                <w:sz w:val="20"/>
                <w:szCs w:val="20"/>
                <w:color w:val="auto"/>
              </w:rPr>
            </w:pPr>
            <w:r>
              <w:rPr>
                <w:rFonts w:ascii="Arial" w:cs="Arial" w:eastAsia="Arial" w:hAnsi="Arial"/>
                <w:sz w:val="18"/>
                <w:szCs w:val="18"/>
                <w:color w:val="auto"/>
                <w:w w:val="87"/>
              </w:rPr>
              <w:t>performed internally must be increased to represent an</w:t>
            </w:r>
          </w:p>
        </w:tc>
      </w:tr>
      <w:tr>
        <w:trPr>
          <w:trHeight w:val="216"/>
        </w:trPr>
        <w:tc>
          <w:tcPr>
            <w:tcW w:w="2200" w:type="dxa"/>
            <w:vAlign w:val="bottom"/>
          </w:tcPr>
          <w:p>
            <w:pPr>
              <w:spacing w:after="0"/>
              <w:rPr>
                <w:sz w:val="18"/>
                <w:szCs w:val="18"/>
                <w:color w:val="auto"/>
              </w:rPr>
            </w:pPr>
          </w:p>
        </w:tc>
        <w:tc>
          <w:tcPr>
            <w:tcW w:w="5040" w:type="dxa"/>
            <w:vAlign w:val="bottom"/>
          </w:tcPr>
          <w:p>
            <w:pPr>
              <w:ind w:left="1260"/>
              <w:spacing w:after="0"/>
              <w:rPr>
                <w:sz w:val="20"/>
                <w:szCs w:val="20"/>
                <w:color w:val="auto"/>
              </w:rPr>
            </w:pPr>
            <w:r>
              <w:rPr>
                <w:rFonts w:ascii="Arial" w:cs="Arial" w:eastAsia="Arial" w:hAnsi="Arial"/>
                <w:sz w:val="18"/>
                <w:szCs w:val="18"/>
                <w:color w:val="auto"/>
              </w:rPr>
              <w:t>performed by the Company</w:t>
            </w:r>
          </w:p>
        </w:tc>
        <w:tc>
          <w:tcPr>
            <w:tcW w:w="4180" w:type="dxa"/>
            <w:vAlign w:val="bottom"/>
          </w:tcPr>
          <w:p>
            <w:pPr>
              <w:ind w:left="340"/>
              <w:spacing w:after="0"/>
              <w:rPr>
                <w:sz w:val="20"/>
                <w:szCs w:val="20"/>
                <w:color w:val="auto"/>
              </w:rPr>
            </w:pPr>
            <w:r>
              <w:rPr>
                <w:rFonts w:ascii="Arial" w:cs="Arial" w:eastAsia="Arial" w:hAnsi="Arial"/>
                <w:sz w:val="18"/>
                <w:szCs w:val="18"/>
                <w:color w:val="auto"/>
                <w:w w:val="91"/>
              </w:rPr>
              <w:t>estimate of the amount a third party would charge to</w:t>
            </w:r>
          </w:p>
        </w:tc>
      </w:tr>
      <w:tr>
        <w:trPr>
          <w:trHeight w:val="222"/>
        </w:trPr>
        <w:tc>
          <w:tcPr>
            <w:tcW w:w="22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perform such activity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p>
      <w:pPr>
        <w:spacing w:after="0" w:line="223" w:lineRule="exact"/>
        <w:rPr>
          <w:sz w:val="20"/>
          <w:szCs w:val="20"/>
          <w:color w:val="auto"/>
        </w:rPr>
      </w:pPr>
    </w:p>
    <w:p>
      <w:pPr>
        <w:spacing w:after="0"/>
        <w:tabs>
          <w:tab w:leader="none" w:pos="3320" w:val="left"/>
        </w:tabs>
        <w:rPr>
          <w:sz w:val="20"/>
          <w:szCs w:val="20"/>
          <w:color w:val="auto"/>
        </w:rPr>
      </w:pPr>
      <w:r>
        <w:rPr>
          <w:rFonts w:ascii="Arial" w:cs="Arial" w:eastAsia="Arial" w:hAnsi="Arial"/>
          <w:sz w:val="16"/>
          <w:szCs w:val="16"/>
          <w:b w:val="1"/>
          <w:bCs w:val="1"/>
          <w:i w:val="1"/>
          <w:iCs w:val="1"/>
          <w:color w:val="auto"/>
        </w:rPr>
        <w:t>Inflation</w:t>
      </w:r>
      <w:r>
        <w:rPr>
          <w:sz w:val="20"/>
          <w:szCs w:val="20"/>
          <w:color w:val="auto"/>
        </w:rPr>
        <w:tab/>
      </w:r>
      <w:r>
        <w:rPr>
          <w:rFonts w:ascii="Arial" w:cs="Arial" w:eastAsia="Arial" w:hAnsi="Arial"/>
          <w:sz w:val="16"/>
          <w:szCs w:val="16"/>
          <w:color w:val="auto"/>
        </w:rPr>
        <w:t>Cost was inflated to period of performance (2.0% at</w:t>
      </w:r>
    </w:p>
    <w:p>
      <w:pPr>
        <w:spacing w:after="0" w:line="3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December 31, 2002); determined annually unless</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interim changes would significantly impact results</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40" w:hanging="134"/>
        <w:spacing w:after="0" w:line="298" w:lineRule="auto"/>
        <w:rPr>
          <w:sz w:val="20"/>
          <w:szCs w:val="20"/>
          <w:color w:val="auto"/>
        </w:rPr>
      </w:pPr>
      <w:r>
        <w:rPr>
          <w:rFonts w:ascii="Arial" w:cs="Arial" w:eastAsia="Arial" w:hAnsi="Arial"/>
          <w:sz w:val="16"/>
          <w:szCs w:val="16"/>
          <w:color w:val="auto"/>
        </w:rPr>
        <w:t>Inflation rate changed to 2.5% effective January 1, 2003 (this inflation rate was used throughout 2003); determined annually unless interim changes would significantly impact results of operations</w:t>
      </w:r>
    </w:p>
    <w:p>
      <w:pPr>
        <w:spacing w:after="0" w:line="200" w:lineRule="exact"/>
        <w:rPr>
          <w:sz w:val="20"/>
          <w:szCs w:val="20"/>
          <w:color w:val="auto"/>
        </w:rPr>
      </w:pPr>
    </w:p>
    <w:p>
      <w:pPr>
        <w:sectPr>
          <w:pgSz w:w="11900" w:h="16838" w:orient="portrait"/>
          <w:cols w:equalWidth="0" w:num="2">
            <w:col w:w="7020" w:space="560"/>
            <w:col w:w="3840"/>
          </w:cols>
          <w:pgMar w:left="240" w:top="935" w:right="2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Current Practice</w:t>
      </w:r>
    </w:p>
    <w:p>
      <w:pPr>
        <w:spacing w:after="0" w:line="1" w:lineRule="exact"/>
        <w:rPr>
          <w:sz w:val="20"/>
          <w:szCs w:val="20"/>
          <w:color w:val="auto"/>
        </w:rPr>
      </w:pPr>
    </w:p>
    <w:p>
      <w:pPr>
        <w:ind w:left="1180"/>
        <w:spacing w:after="0"/>
        <w:tabs>
          <w:tab w:leader="none" w:pos="4660" w:val="left"/>
          <w:tab w:leader="none" w:pos="864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Historical Practice</w:t>
      </w:r>
      <w:r>
        <w:rPr>
          <w:sz w:val="20"/>
          <w:szCs w:val="20"/>
          <w:color w:val="auto"/>
        </w:rPr>
        <w:tab/>
      </w:r>
      <w:r>
        <w:rPr>
          <w:rFonts w:ascii="Arial" w:cs="Arial" w:eastAsia="Arial" w:hAnsi="Arial"/>
          <w:sz w:val="12"/>
          <w:szCs w:val="12"/>
          <w:b w:val="1"/>
          <w:bCs w:val="1"/>
          <w:color w:val="auto"/>
        </w:rPr>
        <w:t>(Effective January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Recognition of Assets and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Final capping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hanging="134"/>
        <w:spacing w:after="0" w:line="254" w:lineRule="auto"/>
        <w:rPr>
          <w:sz w:val="20"/>
          <w:szCs w:val="20"/>
          <w:color w:val="auto"/>
        </w:rPr>
      </w:pPr>
      <w:r>
        <w:rPr>
          <w:rFonts w:ascii="Arial" w:cs="Arial" w:eastAsia="Arial" w:hAnsi="Arial"/>
          <w:sz w:val="18"/>
          <w:szCs w:val="18"/>
          <w:color w:val="auto"/>
        </w:rPr>
        <w:t>Costs were capitalized as spent, except for the last final capping event occurring after the landfill closed, which was accounted for as part of closure; spending was included in capital expenditures within investing activities in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200025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hanging="134"/>
        <w:spacing w:after="0" w:line="312" w:lineRule="auto"/>
        <w:rPr>
          <w:sz w:val="20"/>
          <w:szCs w:val="20"/>
          <w:color w:val="auto"/>
        </w:rPr>
      </w:pPr>
      <w:r>
        <w:rPr>
          <w:rFonts w:ascii="Arial" w:cs="Arial" w:eastAsia="Arial" w:hAnsi="Arial"/>
          <w:sz w:val="15"/>
          <w:szCs w:val="15"/>
          <w:color w:val="auto"/>
        </w:rPr>
        <w:t>Each final capping event is accounted for as a discrete obligation; all final capping is recorded as a liability and asset, based on the discounted cash flow associated with each final capping event, as airspace is consumed related to the specific final capping event; spending is reflected as a change in liabilities within operating activities in the statement of cash flows</w:t>
      </w:r>
    </w:p>
    <w:p>
      <w:pPr>
        <w:spacing w:after="0" w:line="173" w:lineRule="exact"/>
        <w:rPr>
          <w:sz w:val="20"/>
          <w:szCs w:val="20"/>
          <w:color w:val="auto"/>
        </w:rPr>
      </w:pPr>
    </w:p>
    <w:p>
      <w:pPr>
        <w:sectPr>
          <w:pgSz w:w="11900" w:h="16838" w:orient="portrait"/>
          <w:cols w:equalWidth="0" w:num="3">
            <w:col w:w="2740" w:space="720"/>
            <w:col w:w="3580" w:space="540"/>
            <w:col w:w="3840"/>
          </w:cols>
          <w:pgMar w:left="240" w:top="936" w:right="239" w:bottom="1440" w:gutter="0" w:footer="0" w:header="0"/>
          <w:type w:val="continuous"/>
        </w:sectPr>
      </w:pPr>
    </w:p>
    <w:p>
      <w:pPr>
        <w:spacing w:after="0"/>
        <w:tabs>
          <w:tab w:leader="none" w:pos="3320" w:val="left"/>
        </w:tabs>
        <w:rPr>
          <w:sz w:val="20"/>
          <w:szCs w:val="20"/>
          <w:color w:val="auto"/>
        </w:rPr>
      </w:pPr>
      <w:r>
        <w:rPr>
          <w:rFonts w:ascii="Arial" w:cs="Arial" w:eastAsia="Arial" w:hAnsi="Arial"/>
          <w:sz w:val="18"/>
          <w:szCs w:val="18"/>
          <w:color w:val="auto"/>
        </w:rPr>
        <w:t>Closure and post-closure</w:t>
      </w:r>
      <w:r>
        <w:rPr>
          <w:sz w:val="20"/>
          <w:szCs w:val="20"/>
          <w:color w:val="auto"/>
        </w:rPr>
        <w:tab/>
      </w:r>
      <w:r>
        <w:rPr>
          <w:rFonts w:ascii="Arial" w:cs="Arial" w:eastAsia="Arial" w:hAnsi="Arial"/>
          <w:sz w:val="16"/>
          <w:szCs w:val="16"/>
          <w:color w:val="auto"/>
        </w:rPr>
        <w:t>Accrued over the life of the landfill; the discounted</w:t>
      </w:r>
    </w:p>
    <w:p>
      <w:pPr>
        <w:spacing w:after="0" w:line="15"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cash flow associated with such liabilities was</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recorded to accrued liabilities, with a</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corresponding charge to cost of operations as</w:t>
      </w:r>
    </w:p>
    <w:p>
      <w:pPr>
        <w:spacing w:after="0" w:line="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airspace is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hanging="134"/>
        <w:spacing w:after="0" w:line="298" w:lineRule="auto"/>
        <w:rPr>
          <w:sz w:val="20"/>
          <w:szCs w:val="20"/>
          <w:color w:val="auto"/>
        </w:rPr>
      </w:pPr>
      <w:r>
        <w:rPr>
          <w:rFonts w:ascii="Arial" w:cs="Arial" w:eastAsia="Arial" w:hAnsi="Arial"/>
          <w:sz w:val="16"/>
          <w:szCs w:val="16"/>
          <w:color w:val="auto"/>
        </w:rPr>
        <w:t>Accrued over the life of the landfill; the discounted cash flow associated with such liabilities is recorded to accrued liabilities, with a corresponding increase in landfill assets as airspace is consumed</w:t>
      </w:r>
    </w:p>
    <w:p>
      <w:pPr>
        <w:spacing w:after="0" w:line="363" w:lineRule="exact"/>
        <w:rPr>
          <w:sz w:val="20"/>
          <w:szCs w:val="20"/>
          <w:color w:val="auto"/>
        </w:rPr>
      </w:pPr>
    </w:p>
    <w:p>
      <w:pPr>
        <w:sectPr>
          <w:pgSz w:w="11900" w:h="16838" w:orient="portrait"/>
          <w:cols w:equalWidth="0" w:num="2">
            <w:col w:w="6920" w:space="660"/>
            <w:col w:w="3840"/>
          </w:cols>
          <w:pgMar w:left="240" w:top="936" w:right="2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b w:val="1"/>
                <w:bCs w:val="1"/>
                <w:i w:val="1"/>
                <w:iCs w:val="1"/>
                <w:color w:val="auto"/>
                <w:w w:val="97"/>
              </w:rPr>
              <w:t>Statement of Operations Expense:</w:t>
            </w:r>
          </w:p>
        </w:tc>
        <w:tc>
          <w:tcPr>
            <w:tcW w:w="43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Liability accrual</w:t>
            </w:r>
          </w:p>
        </w:tc>
        <w:tc>
          <w:tcPr>
            <w:tcW w:w="4340" w:type="dxa"/>
            <w:vAlign w:val="bottom"/>
          </w:tcPr>
          <w:p>
            <w:pPr>
              <w:ind w:left="440"/>
              <w:spacing w:after="0"/>
              <w:rPr>
                <w:sz w:val="20"/>
                <w:szCs w:val="20"/>
                <w:color w:val="auto"/>
              </w:rPr>
            </w:pPr>
            <w:r>
              <w:rPr>
                <w:rFonts w:ascii="Arial" w:cs="Arial" w:eastAsia="Arial" w:hAnsi="Arial"/>
                <w:sz w:val="18"/>
                <w:szCs w:val="18"/>
                <w:color w:val="auto"/>
              </w:rPr>
              <w:t>Expense charged to cost of operations at same</w:t>
            </w:r>
          </w:p>
        </w:tc>
        <w:tc>
          <w:tcPr>
            <w:tcW w:w="4180" w:type="dxa"/>
            <w:vAlign w:val="bottom"/>
          </w:tcPr>
          <w:p>
            <w:pPr>
              <w:ind w:left="200"/>
              <w:spacing w:after="0"/>
              <w:rPr>
                <w:sz w:val="20"/>
                <w:szCs w:val="20"/>
                <w:color w:val="auto"/>
              </w:rPr>
            </w:pPr>
            <w:r>
              <w:rPr>
                <w:rFonts w:ascii="Arial" w:cs="Arial" w:eastAsia="Arial" w:hAnsi="Arial"/>
                <w:sz w:val="18"/>
                <w:szCs w:val="18"/>
                <w:color w:val="auto"/>
                <w:w w:val="89"/>
              </w:rPr>
              <w:t>Revisions in liability estimates result in a corresponding</w:t>
            </w:r>
          </w:p>
        </w:tc>
      </w:tr>
      <w:tr>
        <w:trPr>
          <w:trHeight w:val="216"/>
        </w:trPr>
        <w:tc>
          <w:tcPr>
            <w:tcW w:w="2900" w:type="dxa"/>
            <w:vAlign w:val="bottom"/>
          </w:tcPr>
          <w:p>
            <w:pPr>
              <w:spacing w:after="0"/>
              <w:rPr>
                <w:sz w:val="18"/>
                <w:szCs w:val="18"/>
                <w:color w:val="auto"/>
              </w:rPr>
            </w:pPr>
          </w:p>
        </w:tc>
        <w:tc>
          <w:tcPr>
            <w:tcW w:w="4340" w:type="dxa"/>
            <w:vAlign w:val="bottom"/>
          </w:tcPr>
          <w:p>
            <w:pPr>
              <w:ind w:left="560"/>
              <w:spacing w:after="0"/>
              <w:rPr>
                <w:sz w:val="20"/>
                <w:szCs w:val="20"/>
                <w:color w:val="auto"/>
              </w:rPr>
            </w:pPr>
            <w:r>
              <w:rPr>
                <w:rFonts w:ascii="Arial" w:cs="Arial" w:eastAsia="Arial" w:hAnsi="Arial"/>
                <w:sz w:val="18"/>
                <w:szCs w:val="18"/>
                <w:color w:val="auto"/>
              </w:rPr>
              <w:t>amount accrued to liability for both open and</w:t>
            </w:r>
          </w:p>
        </w:tc>
        <w:tc>
          <w:tcPr>
            <w:tcW w:w="4180" w:type="dxa"/>
            <w:vAlign w:val="bottom"/>
          </w:tcPr>
          <w:p>
            <w:pPr>
              <w:ind w:left="340"/>
              <w:spacing w:after="0"/>
              <w:rPr>
                <w:sz w:val="20"/>
                <w:szCs w:val="20"/>
                <w:color w:val="auto"/>
              </w:rPr>
            </w:pPr>
            <w:r>
              <w:rPr>
                <w:rFonts w:ascii="Arial" w:cs="Arial" w:eastAsia="Arial" w:hAnsi="Arial"/>
                <w:sz w:val="18"/>
                <w:szCs w:val="18"/>
                <w:color w:val="auto"/>
                <w:w w:val="86"/>
              </w:rPr>
              <w:t>change in the asset; gains and losses on settlements of</w:t>
            </w:r>
          </w:p>
        </w:tc>
      </w:tr>
      <w:tr>
        <w:trPr>
          <w:trHeight w:val="222"/>
        </w:trPr>
        <w:tc>
          <w:tcPr>
            <w:tcW w:w="2900" w:type="dxa"/>
            <w:vAlign w:val="bottom"/>
          </w:tcPr>
          <w:p>
            <w:pPr>
              <w:spacing w:after="0"/>
              <w:rPr>
                <w:sz w:val="19"/>
                <w:szCs w:val="19"/>
                <w:color w:val="auto"/>
              </w:rPr>
            </w:pPr>
          </w:p>
        </w:tc>
        <w:tc>
          <w:tcPr>
            <w:tcW w:w="4340" w:type="dxa"/>
            <w:vAlign w:val="bottom"/>
          </w:tcPr>
          <w:p>
            <w:pPr>
              <w:ind w:left="560"/>
              <w:spacing w:after="0"/>
              <w:rPr>
                <w:sz w:val="20"/>
                <w:szCs w:val="20"/>
                <w:color w:val="auto"/>
              </w:rPr>
            </w:pPr>
            <w:r>
              <w:rPr>
                <w:rFonts w:ascii="Arial" w:cs="Arial" w:eastAsia="Arial" w:hAnsi="Arial"/>
                <w:sz w:val="18"/>
                <w:szCs w:val="18"/>
                <w:color w:val="auto"/>
              </w:rPr>
              <w:t>closed landfills</w:t>
            </w:r>
          </w:p>
        </w:tc>
        <w:tc>
          <w:tcPr>
            <w:tcW w:w="4180" w:type="dxa"/>
            <w:vAlign w:val="bottom"/>
          </w:tcPr>
          <w:p>
            <w:pPr>
              <w:ind w:left="340"/>
              <w:spacing w:after="0"/>
              <w:rPr>
                <w:sz w:val="20"/>
                <w:szCs w:val="20"/>
                <w:color w:val="auto"/>
              </w:rPr>
            </w:pPr>
            <w:r>
              <w:rPr>
                <w:rFonts w:ascii="Arial" w:cs="Arial" w:eastAsia="Arial" w:hAnsi="Arial"/>
                <w:sz w:val="18"/>
                <w:szCs w:val="18"/>
                <w:color w:val="auto"/>
              </w:rPr>
              <w:t>liabilities are reflected in costs of operations</w:t>
            </w:r>
          </w:p>
        </w:tc>
      </w:tr>
      <w:tr>
        <w:trPr>
          <w:trHeight w:val="110"/>
        </w:trPr>
        <w:tc>
          <w:tcPr>
            <w:tcW w:w="290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r>
      <w:tr>
        <w:trPr>
          <w:trHeight w:val="309"/>
        </w:trPr>
        <w:tc>
          <w:tcPr>
            <w:tcW w:w="2900" w:type="dxa"/>
            <w:vAlign w:val="bottom"/>
          </w:tcPr>
          <w:p>
            <w:pPr>
              <w:spacing w:after="0"/>
              <w:rPr>
                <w:sz w:val="20"/>
                <w:szCs w:val="20"/>
                <w:color w:val="auto"/>
              </w:rPr>
            </w:pPr>
            <w:r>
              <w:rPr>
                <w:rFonts w:ascii="Arial" w:cs="Arial" w:eastAsia="Arial" w:hAnsi="Arial"/>
                <w:sz w:val="18"/>
                <w:szCs w:val="18"/>
                <w:color w:val="auto"/>
              </w:rPr>
              <w:t>Landfill asset amortization</w:t>
            </w:r>
          </w:p>
        </w:tc>
        <w:tc>
          <w:tcPr>
            <w:tcW w:w="4340" w:type="dxa"/>
            <w:vAlign w:val="bottom"/>
          </w:tcPr>
          <w:p>
            <w:pPr>
              <w:ind w:left="440"/>
              <w:spacing w:after="0"/>
              <w:rPr>
                <w:sz w:val="20"/>
                <w:szCs w:val="20"/>
                <w:color w:val="auto"/>
              </w:rPr>
            </w:pPr>
            <w:r>
              <w:rPr>
                <w:rFonts w:ascii="Arial" w:cs="Arial" w:eastAsia="Arial" w:hAnsi="Arial"/>
                <w:sz w:val="18"/>
                <w:szCs w:val="18"/>
                <w:color w:val="auto"/>
                <w:w w:val="97"/>
              </w:rPr>
              <w:t>Not applicable for landfill closure and post closure</w:t>
            </w:r>
          </w:p>
        </w:tc>
        <w:tc>
          <w:tcPr>
            <w:tcW w:w="4180" w:type="dxa"/>
            <w:vAlign w:val="bottom"/>
          </w:tcPr>
          <w:p>
            <w:pPr>
              <w:ind w:left="200"/>
              <w:spacing w:after="0"/>
              <w:rPr>
                <w:sz w:val="20"/>
                <w:szCs w:val="20"/>
                <w:color w:val="auto"/>
              </w:rPr>
            </w:pPr>
            <w:r>
              <w:rPr>
                <w:rFonts w:ascii="Arial" w:cs="Arial" w:eastAsia="Arial" w:hAnsi="Arial"/>
                <w:sz w:val="18"/>
                <w:szCs w:val="18"/>
                <w:color w:val="auto"/>
              </w:rPr>
              <w:t>Landfill asset is amortized to depreciation and</w:t>
            </w:r>
          </w:p>
        </w:tc>
      </w:tr>
      <w:tr>
        <w:trPr>
          <w:trHeight w:val="216"/>
        </w:trPr>
        <w:tc>
          <w:tcPr>
            <w:tcW w:w="2900" w:type="dxa"/>
            <w:vAlign w:val="bottom"/>
          </w:tcPr>
          <w:p>
            <w:pPr>
              <w:spacing w:after="0"/>
              <w:rPr>
                <w:sz w:val="18"/>
                <w:szCs w:val="18"/>
                <w:color w:val="auto"/>
              </w:rPr>
            </w:pPr>
          </w:p>
        </w:tc>
        <w:tc>
          <w:tcPr>
            <w:tcW w:w="4340" w:type="dxa"/>
            <w:vAlign w:val="bottom"/>
          </w:tcPr>
          <w:p>
            <w:pPr>
              <w:ind w:left="560"/>
              <w:spacing w:after="0"/>
              <w:rPr>
                <w:sz w:val="20"/>
                <w:szCs w:val="20"/>
                <w:color w:val="auto"/>
              </w:rPr>
            </w:pPr>
            <w:r>
              <w:rPr>
                <w:rFonts w:ascii="Arial" w:cs="Arial" w:eastAsia="Arial" w:hAnsi="Arial"/>
                <w:sz w:val="18"/>
                <w:szCs w:val="18"/>
                <w:color w:val="auto"/>
                <w:w w:val="98"/>
              </w:rPr>
              <w:t>obligations; for final capping, the capitalized and</w:t>
            </w:r>
          </w:p>
        </w:tc>
        <w:tc>
          <w:tcPr>
            <w:tcW w:w="4180" w:type="dxa"/>
            <w:vAlign w:val="bottom"/>
          </w:tcPr>
          <w:p>
            <w:pPr>
              <w:ind w:left="340"/>
              <w:spacing w:after="0"/>
              <w:rPr>
                <w:sz w:val="20"/>
                <w:szCs w:val="20"/>
                <w:color w:val="auto"/>
              </w:rPr>
            </w:pPr>
            <w:r>
              <w:rPr>
                <w:rFonts w:ascii="Arial" w:cs="Arial" w:eastAsia="Arial" w:hAnsi="Arial"/>
                <w:sz w:val="18"/>
                <w:szCs w:val="18"/>
                <w:color w:val="auto"/>
                <w:w w:val="85"/>
              </w:rPr>
              <w:t>amortization expense as airspace is consumed over the</w:t>
            </w:r>
          </w:p>
        </w:tc>
      </w:tr>
      <w:tr>
        <w:trPr>
          <w:trHeight w:val="216"/>
        </w:trPr>
        <w:tc>
          <w:tcPr>
            <w:tcW w:w="2900" w:type="dxa"/>
            <w:vAlign w:val="bottom"/>
          </w:tcPr>
          <w:p>
            <w:pPr>
              <w:spacing w:after="0"/>
              <w:rPr>
                <w:sz w:val="18"/>
                <w:szCs w:val="18"/>
                <w:color w:val="auto"/>
              </w:rPr>
            </w:pPr>
          </w:p>
        </w:tc>
        <w:tc>
          <w:tcPr>
            <w:tcW w:w="4340" w:type="dxa"/>
            <w:vAlign w:val="bottom"/>
          </w:tcPr>
          <w:p>
            <w:pPr>
              <w:ind w:left="560"/>
              <w:spacing w:after="0"/>
              <w:rPr>
                <w:sz w:val="20"/>
                <w:szCs w:val="20"/>
                <w:color w:val="auto"/>
              </w:rPr>
            </w:pPr>
            <w:r>
              <w:rPr>
                <w:rFonts w:ascii="Arial" w:cs="Arial" w:eastAsia="Arial" w:hAnsi="Arial"/>
                <w:sz w:val="18"/>
                <w:szCs w:val="18"/>
                <w:color w:val="auto"/>
                <w:w w:val="95"/>
              </w:rPr>
              <w:t>expected future costs (on an undiscounted basis)</w:t>
            </w:r>
          </w:p>
        </w:tc>
        <w:tc>
          <w:tcPr>
            <w:tcW w:w="4180" w:type="dxa"/>
            <w:vAlign w:val="bottom"/>
          </w:tcPr>
          <w:p>
            <w:pPr>
              <w:ind w:left="340"/>
              <w:spacing w:after="0"/>
              <w:rPr>
                <w:sz w:val="20"/>
                <w:szCs w:val="20"/>
                <w:color w:val="auto"/>
              </w:rPr>
            </w:pPr>
            <w:r>
              <w:rPr>
                <w:rFonts w:ascii="Arial" w:cs="Arial" w:eastAsia="Arial" w:hAnsi="Arial"/>
                <w:sz w:val="18"/>
                <w:szCs w:val="18"/>
                <w:color w:val="auto"/>
              </w:rPr>
              <w:t>life of the specific final capping event or life of</w:t>
            </w:r>
          </w:p>
        </w:tc>
      </w:tr>
      <w:tr>
        <w:trPr>
          <w:trHeight w:val="216"/>
        </w:trPr>
        <w:tc>
          <w:tcPr>
            <w:tcW w:w="2900" w:type="dxa"/>
            <w:vAlign w:val="bottom"/>
          </w:tcPr>
          <w:p>
            <w:pPr>
              <w:spacing w:after="0"/>
              <w:rPr>
                <w:sz w:val="18"/>
                <w:szCs w:val="18"/>
                <w:color w:val="auto"/>
              </w:rPr>
            </w:pPr>
          </w:p>
        </w:tc>
        <w:tc>
          <w:tcPr>
            <w:tcW w:w="4340" w:type="dxa"/>
            <w:vAlign w:val="bottom"/>
          </w:tcPr>
          <w:p>
            <w:pPr>
              <w:ind w:left="560"/>
              <w:spacing w:after="0"/>
              <w:rPr>
                <w:sz w:val="20"/>
                <w:szCs w:val="20"/>
                <w:color w:val="auto"/>
              </w:rPr>
            </w:pPr>
            <w:r>
              <w:rPr>
                <w:rFonts w:ascii="Arial" w:cs="Arial" w:eastAsia="Arial" w:hAnsi="Arial"/>
                <w:sz w:val="18"/>
                <w:szCs w:val="18"/>
                <w:color w:val="auto"/>
                <w:w w:val="90"/>
              </w:rPr>
              <w:t>were amortized as airspace was consumed over the</w:t>
            </w:r>
          </w:p>
        </w:tc>
        <w:tc>
          <w:tcPr>
            <w:tcW w:w="4180" w:type="dxa"/>
            <w:vAlign w:val="bottom"/>
          </w:tcPr>
          <w:p>
            <w:pPr>
              <w:ind w:left="340"/>
              <w:spacing w:after="0"/>
              <w:rPr>
                <w:sz w:val="20"/>
                <w:szCs w:val="20"/>
                <w:color w:val="auto"/>
              </w:rPr>
            </w:pPr>
            <w:r>
              <w:rPr>
                <w:rFonts w:ascii="Arial" w:cs="Arial" w:eastAsia="Arial" w:hAnsi="Arial"/>
                <w:sz w:val="18"/>
                <w:szCs w:val="18"/>
                <w:color w:val="auto"/>
              </w:rPr>
              <w:t>landfill for closure and post-closure</w:t>
            </w:r>
          </w:p>
        </w:tc>
      </w:tr>
      <w:tr>
        <w:trPr>
          <w:trHeight w:val="222"/>
        </w:trPr>
        <w:tc>
          <w:tcPr>
            <w:tcW w:w="2900" w:type="dxa"/>
            <w:vAlign w:val="bottom"/>
          </w:tcPr>
          <w:p>
            <w:pPr>
              <w:spacing w:after="0"/>
              <w:rPr>
                <w:sz w:val="19"/>
                <w:szCs w:val="19"/>
                <w:color w:val="auto"/>
              </w:rPr>
            </w:pPr>
          </w:p>
        </w:tc>
        <w:tc>
          <w:tcPr>
            <w:tcW w:w="4340" w:type="dxa"/>
            <w:vAlign w:val="bottom"/>
          </w:tcPr>
          <w:p>
            <w:pPr>
              <w:ind w:left="560"/>
              <w:spacing w:after="0"/>
              <w:rPr>
                <w:sz w:val="20"/>
                <w:szCs w:val="20"/>
                <w:color w:val="auto"/>
              </w:rPr>
            </w:pPr>
            <w:r>
              <w:rPr>
                <w:rFonts w:ascii="Arial" w:cs="Arial" w:eastAsia="Arial" w:hAnsi="Arial"/>
                <w:sz w:val="18"/>
                <w:szCs w:val="18"/>
                <w:color w:val="auto"/>
              </w:rPr>
              <w:t>life of the landfill</w:t>
            </w:r>
          </w:p>
        </w:tc>
        <w:tc>
          <w:tcPr>
            <w:tcW w:w="4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p>
      <w:pPr>
        <w:spacing w:after="0" w:line="223" w:lineRule="exact"/>
        <w:rPr>
          <w:sz w:val="20"/>
          <w:szCs w:val="20"/>
          <w:color w:val="auto"/>
        </w:rPr>
      </w:pPr>
    </w:p>
    <w:p>
      <w:pPr>
        <w:spacing w:after="0"/>
        <w:tabs>
          <w:tab w:leader="none" w:pos="3320" w:val="left"/>
        </w:tabs>
        <w:rPr>
          <w:sz w:val="20"/>
          <w:szCs w:val="20"/>
          <w:color w:val="auto"/>
        </w:rPr>
      </w:pPr>
      <w:r>
        <w:rPr>
          <w:rFonts w:ascii="Arial" w:cs="Arial" w:eastAsia="Arial" w:hAnsi="Arial"/>
          <w:sz w:val="15"/>
          <w:szCs w:val="15"/>
          <w:color w:val="auto"/>
        </w:rPr>
        <w:t>Accretion</w:t>
      </w:r>
      <w:r>
        <w:rPr>
          <w:sz w:val="20"/>
          <w:szCs w:val="20"/>
          <w:color w:val="auto"/>
        </w:rPr>
        <w:tab/>
      </w:r>
      <w:r>
        <w:rPr>
          <w:rFonts w:ascii="Arial" w:cs="Arial" w:eastAsia="Arial" w:hAnsi="Arial"/>
          <w:sz w:val="15"/>
          <w:szCs w:val="15"/>
          <w:color w:val="auto"/>
        </w:rPr>
        <w:t>Expense, charged to cost of operations, was accrued</w:t>
      </w:r>
    </w:p>
    <w:p>
      <w:pPr>
        <w:spacing w:after="0" w:line="5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at risk-free rate over the life of the landfill as</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airspace was consumed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260" w:hanging="134"/>
        <w:spacing w:after="0" w:line="306" w:lineRule="auto"/>
        <w:rPr>
          <w:sz w:val="20"/>
          <w:szCs w:val="20"/>
          <w:color w:val="auto"/>
        </w:rPr>
      </w:pPr>
      <w:r>
        <w:rPr>
          <w:rFonts w:ascii="Arial" w:cs="Arial" w:eastAsia="Arial" w:hAnsi="Arial"/>
          <w:sz w:val="16"/>
          <w:szCs w:val="16"/>
          <w:color w:val="auto"/>
        </w:rPr>
        <w:t>Expense, charged to cost of operations, is accreted at credit- adjusted, risk-free rate (7.25% during 2003) under the effective interest method</w:t>
      </w:r>
    </w:p>
    <w:p>
      <w:pPr>
        <w:spacing w:after="0" w:line="200" w:lineRule="exact"/>
        <w:rPr>
          <w:sz w:val="20"/>
          <w:szCs w:val="20"/>
          <w:color w:val="auto"/>
        </w:rPr>
      </w:pPr>
    </w:p>
    <w:p>
      <w:pPr>
        <w:sectPr>
          <w:pgSz w:w="11900" w:h="16838" w:orient="portrait"/>
          <w:cols w:equalWidth="0" w:num="2">
            <w:col w:w="6980" w:space="600"/>
            <w:col w:w="3840"/>
          </w:cols>
          <w:pgMar w:left="240" w:top="936" w:right="239" w:bottom="1440" w:gutter="0" w:footer="0" w:header="0"/>
          <w:type w:val="continuous"/>
        </w:sect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All acquisitions since January 1, 2000 have been accounted for using the purchase method of accounting. We allocate the cost of the acquired business to the assets acquired and the liabilities assumed based on estimates of fair values thereof.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We do not believe potential differences between our fair value estimates and actual fair values are material.</w:t>
      </w:r>
    </w:p>
    <w:p>
      <w:pPr>
        <w:spacing w:after="0" w:line="18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certain business combinations, we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ind w:right="40" w:firstLine="324"/>
        <w:spacing w:after="0" w:line="335" w:lineRule="auto"/>
        <w:rPr>
          <w:sz w:val="20"/>
          <w:szCs w:val="20"/>
          <w:color w:val="auto"/>
        </w:rPr>
      </w:pPr>
      <w:r>
        <w:rPr>
          <w:rFonts w:ascii="Arial" w:cs="Arial" w:eastAsia="Arial" w:hAnsi="Arial"/>
          <w:sz w:val="15"/>
          <w:szCs w:val="15"/>
          <w:color w:val="auto"/>
        </w:rPr>
        <w:t xml:space="preserve">Goodwill is the excess of our purchase cost over the fair value of the net assets of acquired businesses. In accordance with SFAS No. 142, </w:t>
      </w:r>
      <w:r>
        <w:rPr>
          <w:rFonts w:ascii="Arial" w:cs="Arial" w:eastAsia="Arial" w:hAnsi="Arial"/>
          <w:sz w:val="15"/>
          <w:szCs w:val="15"/>
          <w:i w:val="1"/>
          <w:iCs w:val="1"/>
          <w:color w:val="auto"/>
        </w:rPr>
        <w:t>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Goodwill and Other Intangible Assets, </w:t>
      </w:r>
      <w:r>
        <w:rPr>
          <w:rFonts w:ascii="Arial" w:cs="Arial" w:eastAsia="Arial" w:hAnsi="Arial"/>
          <w:sz w:val="15"/>
          <w:szCs w:val="15"/>
          <w:color w:val="auto"/>
        </w:rPr>
        <w:t>we do not amortize goodwill from purchases completed after June 30, 2001. Through December 31, 2001, we continued to</w:t>
      </w:r>
      <w:r>
        <w:rPr>
          <w:rFonts w:ascii="Arial" w:cs="Arial" w:eastAsia="Arial" w:hAnsi="Arial"/>
          <w:sz w:val="15"/>
          <w:szCs w:val="15"/>
          <w:i w:val="1"/>
          <w:iCs w:val="1"/>
          <w:color w:val="auto"/>
        </w:rPr>
        <w:t xml:space="preserve"> </w:t>
      </w:r>
      <w:r>
        <w:rPr>
          <w:rFonts w:ascii="Arial" w:cs="Arial" w:eastAsia="Arial" w:hAnsi="Arial"/>
          <w:sz w:val="15"/>
          <w:szCs w:val="15"/>
          <w:color w:val="auto"/>
        </w:rPr>
        <w:t>amortize goodwill associated with purchase business combinations completed on or before June 30, 2001. All amortization of goodwill ceased January 1, 2002.</w:t>
      </w:r>
    </w:p>
    <w:p>
      <w:pPr>
        <w:spacing w:after="0" w:line="16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Other intangible assets consist primarily of customer contracts, customer lists, covenants not-to-compete, licenses and permits (other than landfill permits, as all landfill related intangible assets are combined with landfill tangible assets and amortized using our landfill amortization policy). Other intangible assets are recorded at cost and are primarily amortized on a straight-line basis. Customer contracts and customer lists are generally amortized over five to seven years. Covenants not-to-compete are amortized over the term of the noncompete covenant, which is generally three to five years. Licenses, permits and other contracts are amortized over the definitive terms of the related agreements. If the underlying agreement does not contain definitive terms and the useful life is determined to be indefinite, the asset is not amortized. As of December 31, 2003, we have approximately $3 million of other intangible assets that are not amortized. For further discussion, see Note 6.</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52"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Long-lived assets consist primarily of property and equipment, goodwill and other intangible assets. Property, equipment and intangible assets other than goodwill are carried on financial statements based on their cost less accumulated depreciation or amortization. The recoverability of these assets is tested whenever events or changes in circumstances indicate that their carrying amount may not be recoverable. Typical indicators that an asset may be impaired include:</w:t>
      </w:r>
    </w:p>
    <w:p>
      <w:pPr>
        <w:spacing w:after="0" w:line="197" w:lineRule="exact"/>
        <w:rPr>
          <w:sz w:val="20"/>
          <w:szCs w:val="20"/>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279" w:lineRule="exact"/>
        <w:rPr>
          <w:rFonts w:ascii="Arial" w:cs="Arial" w:eastAsia="Arial" w:hAnsi="Arial"/>
          <w:sz w:val="18"/>
          <w:szCs w:val="18"/>
          <w:color w:val="auto"/>
        </w:rPr>
      </w:pPr>
    </w:p>
    <w:p>
      <w:pPr>
        <w:ind w:left="460" w:right="680" w:hanging="101"/>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460" w:right="280" w:hanging="101"/>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w:t>
      </w:r>
    </w:p>
    <w:p>
      <w:pPr>
        <w:spacing w:after="0" w:line="213"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If any of these or other indicators occur, the asset is reviewed to determine whether there has been an impairment. An impairment loss is recorded as the difference between the carrying amount and fair value of the asset. See Note 3 for further discussion on related estimates and assumptions. There are other considerations for impairments of landfills and goodwill, as described below.</w:t>
      </w:r>
    </w:p>
    <w:p>
      <w:pPr>
        <w:spacing w:after="0" w:line="221" w:lineRule="exact"/>
        <w:rPr>
          <w:sz w:val="20"/>
          <w:szCs w:val="20"/>
          <w:color w:val="auto"/>
        </w:rPr>
      </w:pPr>
    </w:p>
    <w:p>
      <w:pPr>
        <w:ind w:right="100" w:firstLine="324"/>
        <w:spacing w:after="0" w:line="323" w:lineRule="auto"/>
        <w:rPr>
          <w:sz w:val="20"/>
          <w:szCs w:val="20"/>
          <w:color w:val="auto"/>
        </w:rPr>
      </w:pPr>
      <w:r>
        <w:rPr>
          <w:rFonts w:ascii="Arial" w:cs="Arial" w:eastAsia="Arial" w:hAnsi="Arial"/>
          <w:sz w:val="15"/>
          <w:szCs w:val="15"/>
          <w:i w:val="1"/>
          <w:iCs w:val="1"/>
          <w:color w:val="auto"/>
        </w:rPr>
        <w:t xml:space="preserve">Landfills </w:t>
      </w:r>
      <w:r>
        <w:rPr>
          <w:rFonts w:ascii="Arial" w:cs="Arial" w:eastAsia="Arial" w:hAnsi="Arial"/>
          <w:sz w:val="15"/>
          <w:szCs w:val="15"/>
          <w:color w:val="auto"/>
        </w:rPr>
        <w:t>— There are certain indicators listed above that require significant judgment and understanding of the waste industry when applied to landfill</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or expansion projects.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179"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We assess whether goodwill is impaired on an annual basis. Upon determining the existence of goodwill impairment, we measure that</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based on the amount by which the book value of goodwill exceeds its implied fair value. The implied fair value of goodwill is determined by deducting the fair value of a reporting unit’s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funds</w:t>
      </w:r>
    </w:p>
    <w:p>
      <w:pPr>
        <w:spacing w:after="0" w:line="252" w:lineRule="exact"/>
        <w:rPr>
          <w:sz w:val="20"/>
          <w:szCs w:val="20"/>
          <w:color w:val="auto"/>
        </w:rPr>
      </w:pPr>
    </w:p>
    <w:p>
      <w:pPr>
        <w:ind w:right="700" w:firstLine="324"/>
        <w:spacing w:after="0" w:line="332" w:lineRule="auto"/>
        <w:rPr>
          <w:sz w:val="20"/>
          <w:szCs w:val="20"/>
          <w:color w:val="auto"/>
        </w:rPr>
      </w:pPr>
      <w:r>
        <w:rPr>
          <w:rFonts w:ascii="Arial" w:cs="Arial" w:eastAsia="Arial" w:hAnsi="Arial"/>
          <w:sz w:val="16"/>
          <w:szCs w:val="16"/>
          <w:color w:val="auto"/>
        </w:rPr>
        <w:t>Restricted funds are included in other non-current assets and consist principally of funds held in trust for the construction of various facilities, funds deposited in connection with landfill closure, post-closure and remedial obligations and insurance escrow deposits.</w:t>
      </w:r>
    </w:p>
    <w:p>
      <w:pPr>
        <w:spacing w:after="0" w:line="166"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Of the restricted funds balance of $752 million at December 31, 2003, $465 million relates to industrial revenue bonds issued primarily for the construction of collection and disposal facilities. Proceeds from these financing arrangements are directly deposited into trust funds, and we do not have the ability to use the funds in regular operating activities. Accordingly, these amounts are reported as an investing activity when the cash is released from the trust funds and as a financing activity when the industrial revenue bonds are repaid out of our cash balances. In 2003, 2002 and 2001 proceeds from tax-exempt borrowings, net of principal payments made directly from trust funds, were $456 million, $424 million and $174 million, respectively. We treated these transactions as non-cash financing activities in our statements of cash flows.</w:t>
      </w:r>
    </w:p>
    <w:p>
      <w:pPr>
        <w:spacing w:after="0" w:line="201"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Historically, proceeds from the issuance of industrial revenue bonds held in trust funds have been invested in cash and cash equivalents. Beginning in the fourth quarter of 2003 we determined that it would be beneficial to invest these funds in longer term, higher yield debt instruments. As of December 31, 2003, $397 million of our trust fund assets funded by industrial revenue bonds and held for future capital expenditures were invested in U.S. government agency debt securities with maturities ranging from less than one year to three years. For the year ended December 31, 2003, our realized and unrealized gains on these investments have not been material to our results of operations and financial position.</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several of our landfills, we provide financial assurance by depositing cash into escrow accounts or trust funds that are legally restricted for purposes of settling closure, post-closure and remedial obligations. The restricted funds balance related to the fair value of these escrow accounts and trust funds was approximately $186 million at December 31, 2003, and is primarily included as other long-term assets in our consolidated balance sheet. We are considering the impact that implementing FIN 46 may have on our current accounting practices related to these trust funds and escrow accounts. See Note 23 for disclosure of our current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conclusions. Balances maintained in these trust funds and escrow accounts will fluctuate based on (i) changes in statutory requirements; (ii) the ongoing use of funds for qualifying closure, post-closure and remedial activities; (iii) acquisitions or divestitures of landfills; and (iv) changes in the fair value of the underlying financial instruments.</w:t>
      </w:r>
    </w:p>
    <w:p>
      <w:pPr>
        <w:spacing w:after="0" w:line="221"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The remaining restricted funds balance at December 31, 2003 is primarily related to funds held in trust to meet future principal and interest payments required under certain of our debt obligations.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became effective for the Company on January 1, 2001.</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SFAS No. 133 establishes accounting and reporting standards requiring that all derivative instruments, including certain derivative instruments embedded in other contracts, be recorded as either assets or liabilities measured at fair value. We estimate the future prices of commodity fiber products and obtain current valuations of interest rate and foreign currency hedging instruments from third parties to obtain these fair values. SFAS No. 133 also requires that changes in a derivative’s fair value be recognized currently in earnings unless specific hedge accounting criteria are met. Adoption of SFAS No. 133 resulted in a gain, net of tax, of approximately $2 million in the first quarter of 2001, which is reflected as a cumulative effect of change in accounting principle.</w:t>
      </w:r>
    </w:p>
    <w:p>
      <w:pPr>
        <w:spacing w:after="0" w:line="198"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We use derivative financial instruments to manage our interest rate, commodity price and foreign currency exposure. The estimated fair values of derivatives used to hedge risks fluctuate over time. These changes in fair values should be viewed in relation to the underlying hedging transaction and to the overall management of our exposure to fluctuations in interest rates, commodity prices and foreign exchange rates.</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fair value of derivatives is included in other current assets, other long-term assets, accrued liabilities or other long-term liabilities, as appropriate. The offsetting amounts for those derivatives designated as fair value hedges are recorded as adjustments to the carrying values of the hedged items. Upon termination, this carrying value adjustment is amortized to earnings over the remaining life of the hedged item. The offsetting amounts for those derivatives designated as cash flow hedges are recorded in other comprehensive income within the equity section of our balance sheet. Upon termination, the associated balance in other comprehensive income is amortized to earnings as the hedged cash flows occur. Any ineffectiveness present in either fair value or cash flow hedges is recognized immediately in earnings without offset.</w:t>
      </w:r>
    </w:p>
    <w:p>
      <w:pPr>
        <w:spacing w:after="0" w:line="22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As of December 31, 2003 and 2002, the net fair value and earnings impact of our commodity and foreign currency derivatives were immaterial to our financial position and results of operations. We did not hold either type of derivative instrument during the year ended December 31, 2001. As discussed in Note 7, our use of interest rate derivatives to manage our fixed to floating rate position has had a material impact on our operating cash flows, carrying value of debt and interest expense during these periods.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Self-insurance reserves and recoveries</w:t>
      </w:r>
    </w:p>
    <w:p>
      <w:pPr>
        <w:spacing w:after="0" w:line="25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have retained a portion of the risks related to our automobile, general liability and workers’ compensation insurance programs. The exposure for unpaid claims and associated expenses, including incurred but not reported losses, is estimated with the assistance of external actuaries. The gross estimated liability associated with settling unpaid claims is included in accrued liabilities if expected to be settled within one year, or otherwise is included in other long-term liabilities. Estimated insurance recoveries related to recorded liabilities are reflected as current notes and other receivables or other long-term assets as appropriate.</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functional currency of our operations outside the United States is the local currency of the country in which we operate. The assets and liabilities of foreign operations are translated to U.S. dollars using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exchange rate at the balance sheet date. Revenues and expenses are translated to U.S. dollars using an average exchange rate during the period. The resulting translation difference is reflected as a component of other comprehensive income.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 revenues when all four criteria noted below have been satisfied:</w:t>
      </w:r>
    </w:p>
    <w:p>
      <w:pPr>
        <w:spacing w:after="0" w:line="225" w:lineRule="exact"/>
        <w:rPr>
          <w:sz w:val="20"/>
          <w:szCs w:val="20"/>
          <w:color w:val="auto"/>
        </w:rPr>
      </w:pPr>
    </w:p>
    <w:p>
      <w:pPr>
        <w:ind w:left="460" w:hanging="101"/>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Persuasive evidence of an arrangement exists, such as an executed service agreement, new customer account form or other relevant documentation;</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Services, such as providing hauling services and accepting waste at one of our disposal facilities, are rendered or products are delivered;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price to the customer is fixed or determinable;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279"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earned for services provided.</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Interest is capitalized on certain projects under development, including landfill projects and probable landfill expansion projects, and on certain assets under construction, including internal-use software, operating landfills and waste-to-energy facilities. The capitalization of interest for operating landfills is based on the costs incurred on discrete landfill cell construction projects, plus an allocated portion of the common landfill site costs. The common site costs include the development costs of a landfill project or the purchase price of an operating landfill, and the ongoing infrastructure costs benefiting the lifecycle of the landfill. Under our current accounting practices cell construction costs include the construction of cell liners during the operating life of the site. Prior to our adoption of SFAS No. 143, final capping costs incurred during the operating life of the site were also included as a component of these cell construction costs. During 2003, 2002 and 2001, total interest costs were $461 million, $487 million and $560 million, respectively, of which $22 million, $20 million and $16 million, respectively, were capitalized, primarily for landfill construction costs.</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Deferred income taxes are based on the difference between the financial reporting and tax bases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Additionally, with respect to income taxes, we assume the deductibility of certain costs in our income tax filings and estimate the future recovery of deferred tax assets.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stock options</w:t>
      </w:r>
    </w:p>
    <w:p>
      <w:pPr>
        <w:spacing w:after="0" w:line="252"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 xml:space="preserve">We account for our stock-based compensation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as amended. Pursuant to APB Opinion No. 25, we do not recognize compensation cost for our stock options because the number of shares potentially</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and the exercise price, which is equal to the fair market value of the underlying stock on the date of grant, are fixed.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As of December 31, 2003, 2002, and 2001, we had approximately 49.2 million, 44.5 million and 41.5 million stock options and warrants outstanding, respectively. The weighted average fair value per share of stock options granted during 2003, 2002 and 2001 was $7.53, $12.16 and $10.83, respectively. See Note 15 for further discussion on our common stock options and warrants.</w:t>
      </w:r>
    </w:p>
    <w:p>
      <w:pPr>
        <w:spacing w:after="0" w:line="221"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common share of accounting for our stock option grants using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which would result in the recognition of compensation expense for the fair value of stock option grants (in millions, except per 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w w:val="85"/>
              </w:rPr>
              <w:t>Years Ended December 31,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12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$ 630</w:t>
            </w:r>
          </w:p>
        </w:tc>
        <w:tc>
          <w:tcPr>
            <w:tcW w:w="12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$ 822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$ 503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$ 562</w:t>
            </w:r>
          </w:p>
        </w:tc>
        <w:tc>
          <w:tcPr>
            <w:tcW w:w="12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$ 737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$ 420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w:t>
            </w:r>
          </w:p>
        </w:tc>
        <w:tc>
          <w:tcPr>
            <w:tcW w:w="12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$0.95</w:t>
            </w:r>
          </w:p>
        </w:tc>
        <w:tc>
          <w:tcPr>
            <w:tcW w:w="12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w:t>
            </w:r>
          </w:p>
        </w:tc>
        <w:tc>
          <w:tcPr>
            <w:tcW w:w="12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$0.95</w:t>
            </w:r>
          </w:p>
        </w:tc>
        <w:tc>
          <w:tcPr>
            <w:tcW w:w="12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fair value of our stock option grants in the table above was estimated utilizing the Black-Scholes option pricing model. The following weighted average assumptions were used: dividend yield of 0%; risk-free interest rates, which vary for each grant, ranging from 2.77% to 6.19%; expected life of four to seven years for all grants; and stock price volatility ranging from 23.7% to 50.4%. Black-Scholes is a formula that calculates an estimated value of stock options based on appreciation and interest rate assumptions. Therefore, the fair value calculation of a stock option using Black-Scholes is not necessarily indicative of the actual value of a stock option.</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We estimate the amount of potential exposure we may have with respect to claims, assessments and litigation in accordance with SFAS No. 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We are subject to an array of laws and regulations relating to the protection of the environment. We provide for expenses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remediation obligations when such amounts are probable and can be reasonably estimated. Our estimations are based on several factors, as discussed in Note 3. We are also party to pending or threatened legal proceedings covering a wide range of matters in various jurisdictions. It is not always possible to predict the outcome of litigation, as it is subject to many uncertainties. Additionally, it is not always possible for management to make a meaningful estimate of the potential loss or range of loss associated with such litigation.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Assumptions</w:t>
      </w:r>
    </w:p>
    <w:p>
      <w:pPr>
        <w:spacing w:after="0" w:line="258"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The most difficult, subjective and complex estimates and the assumptions that deal with the greatest amount of uncertainty that we make in preparing our financial statements relate to our accounting for landfills, environmental liabilities and asset impairments, as described below.</w:t>
      </w:r>
    </w:p>
    <w:p>
      <w:pPr>
        <w:spacing w:after="0" w:line="16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 The cost estimates for final capping, closure and post-closure activities at landfills for which we have responsibility are estimated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interpretations of current requirements and proposed or anticipated regulatory changes. We also estimate additional costs, pursuant to the requirements of SFAS No. 143, based on the amount a third party would charge us to perform such activities even when we expect to perform these activities internally. Additionally, we estimate the airspace to be consumed related to each final capping event and the timing of each final capping event and closure and post-closure activities. Because landfill final capping, closure and post-closure obligations are measured at estimated fair value using present value techniques, changes in the estimated timing of future landfill final capping and closure and post-closure activities would have an effect on these liabilities, related assets and results of operations.</w:t>
      </w:r>
    </w:p>
    <w:p>
      <w:pPr>
        <w:spacing w:after="0" w:line="228" w:lineRule="exact"/>
        <w:rPr>
          <w:sz w:val="20"/>
          <w:szCs w:val="20"/>
          <w:color w:val="auto"/>
        </w:rPr>
      </w:pPr>
    </w:p>
    <w:p>
      <w:pPr>
        <w:ind w:left="360" w:right="120" w:firstLine="324"/>
        <w:spacing w:after="0" w:line="256" w:lineRule="auto"/>
        <w:rPr>
          <w:sz w:val="20"/>
          <w:szCs w:val="20"/>
          <w:color w:val="auto"/>
        </w:rPr>
      </w:pPr>
      <w:r>
        <w:rPr>
          <w:rFonts w:ascii="Arial" w:cs="Arial" w:eastAsia="Arial" w:hAnsi="Arial"/>
          <w:sz w:val="18"/>
          <w:szCs w:val="18"/>
          <w:i w:val="1"/>
          <w:iCs w:val="1"/>
          <w:color w:val="auto"/>
        </w:rPr>
        <w:t xml:space="preserve">Landfill Costs </w:t>
      </w:r>
      <w:r>
        <w:rPr>
          <w:rFonts w:ascii="Arial" w:cs="Arial" w:eastAsia="Arial" w:hAnsi="Arial"/>
          <w:sz w:val="18"/>
          <w:szCs w:val="18"/>
          <w:color w:val="auto"/>
        </w:rPr>
        <w:t>— We estimate the total cost to develop each landfill site to its final capacity. This includes projected landfill costs that are uncertain</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they are dependent on future events. The total cost to develop a site to its final capacity includes amounts previously expended and capitalized, net of accumulated airspace amortization, and projections of future purchase and development costs, landfill liner construction costs, operating construction costs, and capitalized interest costs.</w:t>
      </w:r>
    </w:p>
    <w:p>
      <w:pPr>
        <w:spacing w:after="0" w:line="251" w:lineRule="exact"/>
        <w:rPr>
          <w:sz w:val="20"/>
          <w:szCs w:val="20"/>
          <w:color w:val="auto"/>
        </w:rPr>
      </w:pPr>
    </w:p>
    <w:p>
      <w:pPr>
        <w:ind w:left="360" w:right="20" w:firstLine="324"/>
        <w:spacing w:after="0" w:line="298"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 We estimate the cost for each final capping event based on the area to be finally capped and the capping materials and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The estimates also consider when these costs would actually be paid and factor in inflation and discount rates. Our engineering personnel allocate final landfill capping costs to specific capping events. They then quantify the landfill capacity associated with each final capping event and the final capping costs for each event are amortized over the related capacity associated with the event as waste is disposed of at the landfill.</w:t>
      </w:r>
    </w:p>
    <w:p>
      <w:pPr>
        <w:spacing w:after="0" w:line="221" w:lineRule="exact"/>
        <w:rPr>
          <w:sz w:val="20"/>
          <w:szCs w:val="20"/>
          <w:color w:val="auto"/>
        </w:rPr>
      </w:pPr>
    </w:p>
    <w:p>
      <w:pPr>
        <w:ind w:left="360" w:firstLine="324"/>
        <w:spacing w:after="0" w:line="298"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 We base our estimates for closure and post-closure costs on our interpretations of permit and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closure and post-closure maintenance and monitoring. The estimates for landfill closure and post-closure costs also consider when the costs would actually be paid and factor in, where appropriate, inflation and discount rates. The possibility of changing legal and regulatory requirements and the forward-looking nature of these types of costs make any estimation or assumption uncertain.</w:t>
      </w:r>
    </w:p>
    <w:p>
      <w:pPr>
        <w:spacing w:after="0" w:line="221" w:lineRule="exact"/>
        <w:rPr>
          <w:sz w:val="20"/>
          <w:szCs w:val="20"/>
          <w:color w:val="auto"/>
        </w:rPr>
      </w:pPr>
    </w:p>
    <w:p>
      <w:pPr>
        <w:jc w:val="both"/>
        <w:ind w:left="360" w:firstLine="324"/>
        <w:spacing w:after="0" w:line="259" w:lineRule="auto"/>
        <w:rPr>
          <w:sz w:val="20"/>
          <w:szCs w:val="20"/>
          <w:color w:val="auto"/>
        </w:rPr>
      </w:pPr>
      <w:r>
        <w:rPr>
          <w:rFonts w:ascii="Arial" w:cs="Arial" w:eastAsia="Arial" w:hAnsi="Arial"/>
          <w:sz w:val="18"/>
          <w:szCs w:val="18"/>
          <w:i w:val="1"/>
          <w:iCs w:val="1"/>
          <w:color w:val="auto"/>
        </w:rPr>
        <w:t xml:space="preserve">Available Airspace </w:t>
      </w:r>
      <w:r>
        <w:rPr>
          <w:rFonts w:ascii="Arial" w:cs="Arial" w:eastAsia="Arial" w:hAnsi="Arial"/>
          <w:sz w:val="18"/>
          <w:szCs w:val="18"/>
          <w:color w:val="auto"/>
        </w:rPr>
        <w:t>— Our engineers are responsible for determining available airspace at our landfills. This is done by using surveys and other methods</w:t>
      </w:r>
      <w:r>
        <w:rPr>
          <w:rFonts w:ascii="Arial" w:cs="Arial" w:eastAsia="Arial" w:hAnsi="Arial"/>
          <w:sz w:val="18"/>
          <w:szCs w:val="18"/>
          <w:i w:val="1"/>
          <w:iCs w:val="1"/>
          <w:color w:val="auto"/>
        </w:rPr>
        <w:t xml:space="preserve"> </w:t>
      </w:r>
      <w:r>
        <w:rPr>
          <w:rFonts w:ascii="Arial" w:cs="Arial" w:eastAsia="Arial" w:hAnsi="Arial"/>
          <w:sz w:val="18"/>
          <w:szCs w:val="18"/>
          <w:color w:val="auto"/>
        </w:rPr>
        <w:t>to calculate, based on height restrictions and other factors, how much airspace is left to fill and how much waste can be disposed of at a landfill before it has reached its final capacity.</w:t>
      </w:r>
    </w:p>
    <w:p>
      <w:pPr>
        <w:spacing w:after="0" w:line="248" w:lineRule="exact"/>
        <w:rPr>
          <w:sz w:val="20"/>
          <w:szCs w:val="20"/>
          <w:color w:val="auto"/>
        </w:rPr>
      </w:pPr>
    </w:p>
    <w:p>
      <w:pPr>
        <w:ind w:left="360" w:right="200" w:firstLine="324"/>
        <w:spacing w:after="0" w:line="256"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airspace in our estimate of available airspace in certain circumstances. First, to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airspace associated with an expansion effort, we must generally expect the initial expansion permit application to be submitted within one year, and the expansion permit to be received within five years. Second, we must believe the success of obtaining the final expansion permit is probable, using the following criteria:</w:t>
      </w:r>
    </w:p>
    <w:p>
      <w:pPr>
        <w:spacing w:after="0" w:line="197" w:lineRule="exact"/>
        <w:rPr>
          <w:sz w:val="20"/>
          <w:szCs w:val="20"/>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Personnel are actively working to obtain land use and local, state or provincial approvals for an expansion of an existing landfill;</w:t>
      </w:r>
    </w:p>
    <w:p>
      <w:pPr>
        <w:spacing w:after="0" w:line="279"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probable that the approvals will be received within the normal application and processing time periods for approvals in the jurisdiction in which the landfill is located;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 we or the respective landfill owners have a legal right to use or obtain land to be included in the expansion plan;</w:t>
      </w:r>
    </w:p>
    <w:p>
      <w:pPr>
        <w:spacing w:after="0" w:line="279" w:lineRule="exact"/>
        <w:rPr>
          <w:rFonts w:ascii="Arial" w:cs="Arial" w:eastAsia="Arial" w:hAnsi="Arial"/>
          <w:sz w:val="18"/>
          <w:szCs w:val="18"/>
          <w:color w:val="auto"/>
        </w:rPr>
      </w:pPr>
    </w:p>
    <w:p>
      <w:pPr>
        <w:ind w:left="460" w:right="600" w:hanging="101"/>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27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These criteria are initially evaluated by our field-based engineers, accountants, managers and others to identify potential obstacles to obtaining the permits. However, our policy provides that, based on the facts and circumstances of a specific landfill, if these criteria are not met, inclusion of unpermitted airspace may still be allowed. In these circumstances, inclusion must be approved through a landfill-specific review process that includes approval of the Chief Financial Officer and a review by the Audit Committee of the Board of Directors on a quarterly basis. Of the 84 landfill sites with expansions at December 31, 2003, 25 landfills required the Chief Financial Officer to approve the inclusion of the unpermitted airspace. Approximately two-thirds of these landfills required approval by the Chief Financial Officer because legal, community, or other issues could impede the expansion process, while the remaining were primarily because the permit application processes would not meet the one and five year requirements, which in many cases were due to state-specific permitting procedures. When we include the expansion airspace in our calculations of available airspace, we also include the projected costs for development, final capping, and closure and post-closure of the expansion in the amortization basis of the landfill.</w:t>
      </w:r>
    </w:p>
    <w:p>
      <w:pPr>
        <w:spacing w:after="0" w:line="20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After determining the costs at our landfills, including final capping costs and closure and post-closure costs, and the available and probable expansion airspace relating to such costs, we then determine the per ton rates that will be expensed. We look at factors such as the waste stream, geography and rate of compaction, among others, to determine the number of tons necessary to fill the available and probable expansion airspace relating to these costs and activities. We then divide costs by the corresponding number of tons, giving us the rate per ton to expense for each activity as waste is received and deposited at the landfill. We calculate per ton amortization rates for each landfill for assets associated with each final capping event, for assets related to closure and post-closure activities and for all other costs capitalized or to be capitalized in the future.</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possible that actual results could ultimately turn out to be significantly different from our estimates and assumptions. To the extent that such estimates, or related assumptions, prove to be significantly different than actual results, or our belief that we will receive an expansion permit changes adversely in a significant manner, the costs of the landfill, including the costs incurred in the pursuit of the expansion, may be subject to impairment testing, as described below. Lower profitability may be experienced due to higher amortization rates, higher closure and post-closure rates, and higher expenses or asset impairments related to the removal of previously included expansion airspace. Additionally, if it is determined that the likelihood of receiving the expansion permit has become remote, the capitalized costs related to the expansion effort are expensed immediately.</w:t>
      </w:r>
    </w:p>
    <w:p>
      <w:pPr>
        <w:spacing w:after="0" w:line="201"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i w:val="1"/>
          <w:iCs w:val="1"/>
          <w:color w:val="auto"/>
        </w:rPr>
        <w:t xml:space="preserve">Environmental Remediation Liabilities </w:t>
      </w:r>
      <w:r>
        <w:rPr>
          <w:rFonts w:ascii="Arial" w:cs="Arial" w:eastAsia="Arial" w:hAnsi="Arial"/>
          <w:sz w:val="16"/>
          <w:szCs w:val="16"/>
          <w:color w:val="auto"/>
        </w:rPr>
        <w:t>— Under current laws and regulations, we may have liability for environmental damage caused by operations, or for</w:t>
      </w:r>
      <w:r>
        <w:rPr>
          <w:rFonts w:ascii="Arial" w:cs="Arial" w:eastAsia="Arial" w:hAnsi="Arial"/>
          <w:sz w:val="16"/>
          <w:szCs w:val="16"/>
          <w:i w:val="1"/>
          <w:iCs w:val="1"/>
          <w:color w:val="auto"/>
        </w:rPr>
        <w:t xml:space="preserve"> </w:t>
      </w:r>
      <w:r>
        <w:rPr>
          <w:rFonts w:ascii="Arial" w:cs="Arial" w:eastAsia="Arial" w:hAnsi="Arial"/>
          <w:sz w:val="16"/>
          <w:szCs w:val="16"/>
          <w:color w:val="auto"/>
        </w:rPr>
        <w:t>damage caused by conditions that existed before we acquired a site. Remedial costs are all costs relating to the remedy of any identified situation that occurs by natural causes or human error not expected in the normal course of business. These costs include potentially responsible party (“PRP”) investigation, settlement, certain legal and consultant fees, as well as costs directly associated with site investigation and clean up, such as materials and incremental internal costs directly related to the remedy. We estimate costs required to remediate sites where liability is probable based on site-specific facts and circumstances. We routinely review and evaluate sites that require remediation, considering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whether we were an owner, operator, transporter, or generator at the site, the amount and type of waste hauled to the site and the number of years we were connected with the site. Next, we review the same information with respect to other named and unnamed PRPs. Estimates of the cost for the likely remedy are then either developed using our internal resources or by third party environmental engineers or other service providers. Internally developed estimates are based on:</w:t>
      </w:r>
    </w:p>
    <w:p>
      <w:pPr>
        <w:spacing w:after="0" w:line="197" w:lineRule="exact"/>
        <w:rPr>
          <w:sz w:val="20"/>
          <w:szCs w:val="20"/>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typical allocation of costs among PRPs.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for further discussion.</w:t>
      </w:r>
    </w:p>
    <w:p>
      <w:pPr>
        <w:spacing w:after="0" w:line="25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i w:val="1"/>
          <w:iCs w:val="1"/>
          <w:color w:val="auto"/>
        </w:rPr>
        <w:t xml:space="preserve">Asset Impairments </w:t>
      </w:r>
      <w:r>
        <w:rPr>
          <w:rFonts w:ascii="Arial" w:cs="Arial" w:eastAsia="Arial" w:hAnsi="Arial"/>
          <w:sz w:val="16"/>
          <w:szCs w:val="16"/>
          <w:color w:val="auto"/>
        </w:rPr>
        <w:t>— If significant events or changes in circumstances indicate that the carrying value of an asset or asset group may not be recoverable, we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a test of recoverability by comparing the carrying value of the asset or asset group to its undiscounted expected future cash flows. Cash flow projections are sometimes based on a group of assets, rather than a single asset. If cash flows cannot be separately and independently identified for a single asset, we will determine whether an impairment has occurred for the group of assets for which we can identify the projected cash flow. If the carrying values are in excess of undiscounted expected future cash flows, we measure any impairment by comparing the fair value of the asset or asset group to its carrying value. Fair value is determined by either an actual third-party evaluation or an internally developed discounted projected cash flow analysis of the asset or asset group. If the fair value of an asset or asset group is determined to be less than the carrying amount of the asset or asset group, an impairment in the amount of the difference is recorded in the period that the impairment indicator occurs. Several impairment indicators are beyond our control, and cannot be predicted with any certainty whether or not they will occur. Estimating future cash flows requires significant judgment and projections may vary from cash flows eventually realized. Also, there are other considerations for impairments of landfills and goodwill as discussed in Note 2.</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results could differ materially from the estimates and assumptions that we use in the preparation of our financial statements.</w:t>
      </w:r>
    </w:p>
    <w:p>
      <w:pPr>
        <w:spacing w:after="0" w:line="200" w:lineRule="exact"/>
        <w:rPr>
          <w:sz w:val="20"/>
          <w:szCs w:val="20"/>
          <w:color w:val="auto"/>
        </w:rPr>
      </w:pPr>
    </w:p>
    <w:p>
      <w:pPr>
        <w:spacing w:after="0" w:line="26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material financial commitments for final capping, closure and post-closure obligations with respect to our landfills. 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Absent quoted market prices, the estimate of fair value should be based on the best available information, including the results of present value techniques. In general, we contract with third parties to fulfill most of our obligations for final capping, closure and post-closure. Accordingly, the fair value of these obligations is based upon quoted and actual prices paid for similar work. However, we intend to perform some of these activities using internal resources. Where internal resources are expected to be used to fulfill an asset retirement obligation, we have added a profit margin to the estimated cost of such services to better reflect the fair value of the obligation. When we then perform these services internally, the added profit margin is recognized as a component of operating income in the period earned. An estimate of fair value should include the price that marketplace participants are able to receive for bearing the uncertainties in cash flows. However, when using discounted cash flow techniques, reliable estimates of market premiums may not be obtainable. In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waste industry, there is no market for selling the responsibility for final capping, closure and post-closure obligations independent of selling the landfill in its entirety. Accordingly, we do not believe that it is possible to develop a methodology to reliably estimate a market risk premium and have therefore excluded any such market risk premium from our determination of expected cash flows for landfill asset retirement obligations.</w:t>
      </w:r>
    </w:p>
    <w:p>
      <w:pPr>
        <w:spacing w:after="0" w:line="18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Once we have determined the final capping, closure and post-closure costs, we then inflate those costs to the expected time of payment and discount those expected future costs back to present value. During 2003, we have inflated these costs in current dollars until the expected time of payment using an inflation rate of 2.5%, and have discounted these costs to present value using a credit-adjusted, risk-free discount rate of 7.25%. The credit-adjusted, risk-free rate is based on the risk-free interest rate on obligations of similar maturity adjusted for our own credit rating. Changes in our credit-adjusted, risk-free rate do not change recorded liabilities, but subsequently recognized obligations are measured using the revised credit-adjusted, risk-free rate.</w:t>
      </w:r>
    </w:p>
    <w:p>
      <w:pPr>
        <w:spacing w:after="0" w:line="19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The liability and corresponding asset are recorded on a per-ton basis as waste is accepted and deposited at our landfills. We assess the appropriateness of our recorded balances annually, unless there are indications that a more frequent review is appropriate. Significant changes in inflation rates or the amount or timing of future final capping, closure and post-closure cost estimates typically result in both (i) a current adjustment to the recorded liability (and corresponding adjustment to the landfill asset) based on the landfill’s capacity consumed to date, and (ii) a change in liability and asset amounts to be recorded prospectively over the remaining capacity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w:t>
      </w:r>
    </w:p>
    <w:p>
      <w:pPr>
        <w:spacing w:after="0" w:line="19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estimated fair value of each final capping event will be fully accrued when the tons associated with such capping event have been disposed in the landfill. Additionally, the estimated fair value of total future final capping, closure and post-closure costs will be fully accrued for each landfill at the time the site discontinues accepting waste and is closed. Closure and post-closure accruals consider estimates for methane gas control, leachate management and ground-water monitoring and other operational and maintenance costs to be incurred after the site discontinues accepting waste, which is generally expected to be for a period of up to thirty years after final site closure. Daily maintenance activities, which include many of these costs, are expensed as incurred during the operating life of the landfill. Daily maintenance activities include leachate disposal; surface water, groundwater, and methane gas monitoring and maintenance; other pollution control activities; mowing and fertilizing the landfill final cap; fence and road maintenance; and third party inspection and reporting costs. For purchased disposal sites, we assess and record the estimated fair value of final capping, closure and post-closure liabilities at the time we assume such responsibilities. Such liabilities are based on the percentage of airspace consumed related to such obligations as of the date we assumed the responsibility. Thereafter, we account for the landfill and related final capping, closure and post-closure obligations consistent with the policy described above.</w:t>
      </w:r>
    </w:p>
    <w:p>
      <w:pPr>
        <w:spacing w:after="0" w:line="20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costs and expenses on the income statement.</w:t>
      </w:r>
    </w:p>
    <w:p>
      <w:pPr>
        <w:spacing w:after="0" w:line="21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In the United States, the final capping, closure and post-closure requirements are established by the EPA and applied on a state-by-state basis. The costs to comply with these requirements could change materially as a result of legislation or regulation.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routinely review and evaluate sites that require remediation and determine our estimated cost for the likely remedy based on several estimates and assumptions as described in Note 3. These estimates are sometimes a range of “reasonably possible” outcomes. “Reasonably possible” outcomes are those outcomes that are considered more than remote and less than likely. In cases where our estimates are a range, we use the amount within the range that constitutes our best estimate. If no amount within the range appears to be a better estimate than any other, we use the amounts that are the low ends of such ranges in accordance with SFAS No. 5 and its interpretations. If we used the high ends of such ranges, our aggregate potential liability would be approximately $170 million higher on a discounted basis than the estimate recorded in the consolidated financial statements as of December 31, 2003.</w:t>
      </w:r>
    </w:p>
    <w:p>
      <w:pPr>
        <w:spacing w:after="0" w:line="201"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As of December 31, 2003, we had been notified that we are a PRP in connection with 71 locations listed on the EPA’s National Priorities List. Through various acquisitions, we have come to own 17 of these sites that were initially developed by others. We are working with the government to characterize or remediate identified site problems and have either agreed with other legally liable parties on an arrangement for sharing the costs of remediation or are pursuing resolution of an allocation formula. We generally expect to receive any amounts due from these parties at, or near, the time that we make remedial expenditures. Claims have been made against us at another 54 sites we do not own where we have been an operator, transporter or generator of waste. These claims are at different procedural stages under the Comprehensive Environmental Response, Compensation and Liability Act of 1980, as amended, which is also known as Superfund. At some of these sites,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20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be material in any given period.</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Where we believe that both the amount of a particular environmental remediation liability and the timing of the payments are reliably determinable, we inflate the cost in current dollars (2.5% at December 31, 2003 and 2.0% at December 31, 2002) until the expected time of payment and discount the cost to present value using a risk-free discount rate with a term approximating the weighted average period until settlement of the underlying obligation (4.25% at December 31, 2003 and 5.0% at December 31, 2002). We determine the discount rate, which is based on the rates for United States Treasury bonds, and the inflation rate on an annual basis unless interim changes would significantly impact our results of operations. For remedial liabilities that have been discounted, we include interest accretion, based on the effective interest method, in operating costs and expenses. The portion of our recorded environmental remedial liabilities that has never been subject to inflation or discounting was approximately $60 million and $66 million at December 31, 2003 and 2002, respectively. Had we not discounted any portion of our environmental remedial liability, the amount recorded would have been increased by approximately $44 million at December 31, 2003.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2003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2002(b)</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Environmental</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Landfill(a)</w:t>
            </w:r>
          </w:p>
        </w:tc>
        <w:tc>
          <w:tcPr>
            <w:tcW w:w="30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220" w:type="dxa"/>
            <w:vAlign w:val="bottom"/>
            <w:gridSpan w:val="3"/>
          </w:tcPr>
          <w:p>
            <w:pPr>
              <w:ind w:left="300"/>
              <w:spacing w:after="0"/>
              <w:rPr>
                <w:sz w:val="20"/>
                <w:szCs w:val="20"/>
                <w:color w:val="auto"/>
              </w:rPr>
            </w:pPr>
            <w:r>
              <w:rPr>
                <w:rFonts w:ascii="Arial" w:cs="Arial" w:eastAsia="Arial" w:hAnsi="Arial"/>
                <w:sz w:val="14"/>
                <w:szCs w:val="14"/>
                <w:b w:val="1"/>
                <w:bCs w:val="1"/>
                <w:color w:val="auto"/>
              </w:rPr>
              <w:t>Landfill(a)</w:t>
            </w:r>
          </w:p>
        </w:tc>
        <w:tc>
          <w:tcPr>
            <w:tcW w:w="30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Remediation</w:t>
            </w:r>
          </w:p>
        </w:tc>
        <w:tc>
          <w:tcPr>
            <w:tcW w:w="300" w:type="dxa"/>
            <w:vAlign w:val="bottom"/>
          </w:tcPr>
          <w:p>
            <w:pPr>
              <w:spacing w:after="0"/>
              <w:rPr>
                <w:sz w:val="15"/>
                <w:szCs w:val="15"/>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 (in accrued liabilities)</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5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275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606</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278</w:t>
            </w:r>
          </w:p>
        </w:tc>
        <w:tc>
          <w:tcPr>
            <w:tcW w:w="5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$958</w:t>
            </w:r>
          </w:p>
        </w:tc>
        <w:tc>
          <w:tcPr>
            <w:tcW w:w="4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332</w:t>
            </w:r>
          </w:p>
        </w:tc>
        <w:tc>
          <w:tcPr>
            <w:tcW w:w="5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1,290</w:t>
            </w:r>
          </w:p>
        </w:tc>
        <w:tc>
          <w:tcPr>
            <w:tcW w:w="12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655</w:t>
            </w:r>
          </w:p>
        </w:tc>
        <w:tc>
          <w:tcPr>
            <w:tcW w:w="4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343</w:t>
            </w:r>
          </w:p>
        </w:tc>
        <w:tc>
          <w:tcPr>
            <w:tcW w:w="5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50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of December 31, 2003, landfill liabilities include our final capping, closure and post-closure obligations pursuant to SFAS No. 143. Final capping obligations to be discharged during the operating lives of landfills were not included in landfill liabilities as of December 31, 2002.</w:t>
      </w:r>
    </w:p>
    <w:p>
      <w:pPr>
        <w:spacing w:after="0" w:line="166"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These amounts reflect our landfill and environmental remediation liabilities as recorded. Refer to Note 2, </w:t>
      </w:r>
      <w:r>
        <w:rPr>
          <w:rFonts w:ascii="Arial" w:cs="Arial" w:eastAsia="Arial" w:hAnsi="Arial"/>
          <w:sz w:val="18"/>
          <w:szCs w:val="18"/>
          <w:i w:val="1"/>
          <w:iCs w:val="1"/>
          <w:color w:val="auto"/>
        </w:rPr>
        <w:t>2003 Accounting Changes,</w:t>
      </w:r>
      <w:r>
        <w:rPr>
          <w:rFonts w:ascii="Arial" w:cs="Arial" w:eastAsia="Arial" w:hAnsi="Arial"/>
          <w:sz w:val="18"/>
          <w:szCs w:val="18"/>
          <w:color w:val="auto"/>
        </w:rPr>
        <w:t xml:space="preserve"> for disclosure of these obligations computed on a pro forma basis as if SFAS No. 143 had been applied during the reporting period.</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changes to landfill and environmental remediation liabilities for the year ended December 31, 2003 and 2002 are as follows (in millions):</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5"/>
                <w:szCs w:val="15"/>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2002</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Obligations incurred and capitalized</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Obligations settled</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(92)</w:t>
            </w:r>
          </w:p>
        </w:tc>
        <w:tc>
          <w:tcPr>
            <w:tcW w:w="1780" w:type="dxa"/>
            <w:vAlign w:val="bottom"/>
            <w:gridSpan w:val="4"/>
          </w:tcPr>
          <w:p>
            <w:pPr>
              <w:jc w:val="right"/>
              <w:ind w:right="5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Interest accretion</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Revisions in estimates</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Acquisitions, divestitures and other adjustments</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80" w:type="dxa"/>
            <w:vAlign w:val="bottom"/>
            <w:gridSpan w:val="2"/>
          </w:tcPr>
          <w:p>
            <w:pPr>
              <w:spacing w:after="0"/>
              <w:rPr>
                <w:sz w:val="20"/>
                <w:szCs w:val="20"/>
                <w:color w:val="auto"/>
              </w:rPr>
            </w:pPr>
            <w:r>
              <w:rPr>
                <w:rFonts w:ascii="Arial" w:cs="Arial" w:eastAsia="Arial" w:hAnsi="Arial"/>
                <w:sz w:val="18"/>
                <w:szCs w:val="18"/>
                <w:color w:val="auto"/>
              </w:rPr>
              <w:t>December 31, 2003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$332</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2001</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$625</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$321</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Spending</w:t>
            </w:r>
          </w:p>
        </w:tc>
        <w:tc>
          <w:tcPr>
            <w:tcW w:w="108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(29)</w:t>
            </w:r>
          </w:p>
        </w:tc>
        <w:tc>
          <w:tcPr>
            <w:tcW w:w="178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2002</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$343</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Anticipated payments of currently identified environmental remediation liabilities for the next five years and thereafter as measured in current dollars are reflected below (in millions). Our recorded liabilities as of December 31, 2003 include the impact of inflating these costs based on our expectations for cash settlement and discounting these costs to present value.</w:t>
      </w:r>
    </w:p>
    <w:p>
      <w:pPr>
        <w:spacing w:after="0" w:line="200" w:lineRule="exact"/>
        <w:rPr>
          <w:sz w:val="20"/>
          <w:szCs w:val="20"/>
          <w:color w:val="auto"/>
        </w:rPr>
      </w:pPr>
    </w:p>
    <w:p>
      <w:pPr>
        <w:spacing w:after="0" w:line="206"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880" w:type="dxa"/>
            <w:vAlign w:val="bottom"/>
          </w:tcPr>
          <w:p>
            <w:pPr>
              <w:jc w:val="right"/>
              <w:ind w:right="222"/>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2007</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b w:val="1"/>
                <w:bCs w:val="1"/>
                <w:color w:val="auto"/>
              </w:rPr>
              <w:t>Thereafter</w:t>
            </w:r>
          </w:p>
        </w:tc>
      </w:tr>
      <w:tr>
        <w:trPr>
          <w:trHeight w:val="95"/>
        </w:trPr>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316"/>
        </w:trPr>
        <w:tc>
          <w:tcPr>
            <w:tcW w:w="880" w:type="dxa"/>
            <w:vAlign w:val="bottom"/>
          </w:tcPr>
          <w:p>
            <w:pPr>
              <w:jc w:val="right"/>
              <w:ind w:right="242"/>
              <w:spacing w:after="0"/>
              <w:rPr>
                <w:sz w:val="20"/>
                <w:szCs w:val="20"/>
                <w:color w:val="auto"/>
              </w:rPr>
            </w:pPr>
            <w:r>
              <w:rPr>
                <w:rFonts w:ascii="Arial" w:cs="Arial" w:eastAsia="Arial" w:hAnsi="Arial"/>
                <w:sz w:val="18"/>
                <w:szCs w:val="18"/>
                <w:color w:val="auto"/>
              </w:rPr>
              <w:t>$ 57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$ 62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$ 29</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$ 17</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$ 13</w:t>
            </w:r>
          </w:p>
        </w:tc>
        <w:tc>
          <w:tcPr>
            <w:tcW w:w="1420" w:type="dxa"/>
            <w:vAlign w:val="bottom"/>
            <w:gridSpan w:val="2"/>
          </w:tcPr>
          <w:p>
            <w:pPr>
              <w:jc w:val="right"/>
              <w:ind w:right="412"/>
              <w:spacing w:after="0"/>
              <w:rPr>
                <w:sz w:val="20"/>
                <w:szCs w:val="20"/>
                <w:color w:val="auto"/>
              </w:rPr>
            </w:pPr>
            <w:r>
              <w:rPr>
                <w:rFonts w:ascii="Arial" w:cs="Arial" w:eastAsia="Arial" w:hAnsi="Arial"/>
                <w:sz w:val="18"/>
                <w:szCs w:val="18"/>
                <w:color w:val="auto"/>
              </w:rPr>
              <w:t>$198</w:t>
            </w:r>
          </w:p>
        </w:tc>
      </w:tr>
    </w:tbl>
    <w:p>
      <w:pPr>
        <w:spacing w:after="0" w:line="23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have, from time to time, filed suit against insurance carriers seeking reimbursement for environmentally related remedial, defense and tort claim costs at a number of sites. The majority of these claims have been settled. We are actively pursuing the remaining claims. For 2002, and 2001 we recorded approximately $1 million, and $105 million, respectively, of such recoveries from insurance carriers. No material recoveries were recorded in 2003. These recoveries are included as reductions to operating costs and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at December 31 consisted of the following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Landfills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Vehicles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3,388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Containers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2,072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20,964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19,110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on tangible property and equipment</w:t>
            </w: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1"/>
              </w:rPr>
              <w:t>(5,451)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1"/>
              </w:rPr>
              <w:t>(4,959)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Less accumulated landfill airspace amortization</w:t>
            </w:r>
          </w:p>
        </w:tc>
        <w:tc>
          <w:tcPr>
            <w:tcW w:w="2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(4,102)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(3,539)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11,411</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10,612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Depreciation and amortization expense for property and equipment for 2003, 2002 and 2001 was $1.23 billion, $1.19 billion and $1.18 billion, respectively. In 2002, depreciation and amortization expense, which includes amortization on assets recorded as capital leases, was comprised of $778 million for the depreciation of tangible property and equipment and $409 million for the amortization of landfill airspace. In 2003, depreciation and amortization expense, which includes amortization on assets recorded as capital leases, consisted of $798 million for the depreciation of tangible property and equipment and $429 million for the amortization of landfill airspace.</w:t>
      </w:r>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intangible assets as of December 31, 2003 and 2002 were comprised of the following (in millions):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Customer Contracts</w:t>
            </w:r>
          </w:p>
        </w:tc>
        <w:tc>
          <w:tcPr>
            <w:tcW w:w="28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Covenants</w:t>
            </w:r>
          </w:p>
        </w:tc>
        <w:tc>
          <w:tcPr>
            <w:tcW w:w="2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Licenses,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Not-to-</w:t>
            </w:r>
          </w:p>
        </w:tc>
        <w:tc>
          <w:tcPr>
            <w:tcW w:w="28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Permits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Customer Lists</w:t>
            </w:r>
          </w:p>
        </w:tc>
        <w:tc>
          <w:tcPr>
            <w:tcW w:w="280" w:type="dxa"/>
            <w:vAlign w:val="bottom"/>
          </w:tcPr>
          <w:p>
            <w:pPr>
              <w:spacing w:after="0"/>
              <w:rPr>
                <w:sz w:val="15"/>
                <w:szCs w:val="15"/>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Compete</w:t>
            </w:r>
          </w:p>
        </w:tc>
        <w:tc>
          <w:tcPr>
            <w:tcW w:w="2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and Other</w:t>
            </w:r>
          </w:p>
        </w:tc>
        <w:tc>
          <w:tcPr>
            <w:tcW w:w="280" w:type="dxa"/>
            <w:vAlign w:val="bottom"/>
          </w:tcPr>
          <w:p>
            <w:pPr>
              <w:spacing w:after="0"/>
              <w:rPr>
                <w:sz w:val="15"/>
                <w:szCs w:val="15"/>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 Intangible assets</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167</w:t>
            </w:r>
          </w:p>
        </w:tc>
        <w:tc>
          <w:tcPr>
            <w:tcW w:w="9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$ 86</w:t>
            </w:r>
          </w:p>
        </w:tc>
        <w:tc>
          <w:tcPr>
            <w:tcW w:w="4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$ 304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900" w:type="dxa"/>
            <w:vAlign w:val="bottom"/>
          </w:tcPr>
          <w:p>
            <w:pPr>
              <w:spacing w:after="0"/>
              <w:rPr>
                <w:sz w:val="19"/>
                <w:szCs w:val="19"/>
                <w:color w:val="auto"/>
              </w:rPr>
            </w:pPr>
          </w:p>
        </w:tc>
        <w:tc>
          <w:tcPr>
            <w:tcW w:w="1160" w:type="dxa"/>
            <w:vAlign w:val="bottom"/>
            <w:gridSpan w:val="2"/>
          </w:tcPr>
          <w:p>
            <w:pPr>
              <w:jc w:val="right"/>
              <w:ind w:right="840"/>
              <w:spacing w:after="0"/>
              <w:rPr>
                <w:sz w:val="20"/>
                <w:szCs w:val="20"/>
                <w:color w:val="auto"/>
              </w:rPr>
            </w:pPr>
            <w:r>
              <w:rPr>
                <w:rFonts w:ascii="Arial" w:cs="Arial" w:eastAsia="Arial" w:hAnsi="Arial"/>
                <w:sz w:val="18"/>
                <w:szCs w:val="18"/>
                <w:color w:val="auto"/>
                <w:w w:val="93"/>
              </w:rPr>
              <w:t>(90)</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9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$ 35</w:t>
            </w:r>
          </w:p>
        </w:tc>
        <w:tc>
          <w:tcPr>
            <w:tcW w:w="4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$ 156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right w:val="single" w:sz="8" w:color="808080"/>
            </w:tcBorders>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420" w:type="dxa"/>
            <w:vAlign w:val="bottom"/>
            <w:gridSpan w:val="2"/>
          </w:tcPr>
          <w:p>
            <w:pPr>
              <w:spacing w:after="0"/>
              <w:rPr>
                <w:sz w:val="20"/>
                <w:szCs w:val="20"/>
                <w:color w:val="auto"/>
              </w:rPr>
            </w:pPr>
            <w:r>
              <w:rPr>
                <w:rFonts w:ascii="Arial" w:cs="Arial" w:eastAsia="Arial" w:hAnsi="Arial"/>
                <w:sz w:val="18"/>
                <w:szCs w:val="18"/>
                <w:color w:val="auto"/>
              </w:rPr>
              <w:t>December 31, 2002 Intangible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128</w:t>
            </w:r>
          </w:p>
        </w:tc>
        <w:tc>
          <w:tcPr>
            <w:tcW w:w="9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$ 91</w:t>
            </w:r>
          </w:p>
        </w:tc>
        <w:tc>
          <w:tcPr>
            <w:tcW w:w="4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$ 240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 accumulated amortization</w:t>
            </w:r>
          </w:p>
        </w:tc>
        <w:tc>
          <w:tcPr>
            <w:tcW w:w="9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40"/>
              <w:spacing w:after="0"/>
              <w:rPr>
                <w:sz w:val="20"/>
                <w:szCs w:val="20"/>
                <w:color w:val="auto"/>
              </w:rPr>
            </w:pPr>
            <w:r>
              <w:rPr>
                <w:rFonts w:ascii="Arial" w:cs="Arial" w:eastAsia="Arial" w:hAnsi="Arial"/>
                <w:sz w:val="18"/>
                <w:szCs w:val="18"/>
                <w:color w:val="auto"/>
                <w:w w:val="93"/>
              </w:rPr>
              <w:t>(76)</w:t>
            </w:r>
          </w:p>
        </w:tc>
        <w:tc>
          <w:tcPr>
            <w:tcW w:w="14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w:t>
            </w:r>
          </w:p>
        </w:tc>
        <w:tc>
          <w:tcPr>
            <w:tcW w:w="11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$ 39</w:t>
            </w:r>
          </w:p>
        </w:tc>
        <w:tc>
          <w:tcPr>
            <w:tcW w:w="4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$ 105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Landfill operating permits are not presented above and are recognized on a combined basis with other landfill assets and amortized using our landfill amortization method. Amortization expense for other intangible assets was $38 million, $35 million and $37 million for 2003, 2002 and 2001, respectively. The intangible asset amortization expense estimated as of December 31, 2003, for the five years following 2003 is as follows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3420" w:type="dxa"/>
            <w:vAlign w:val="bottom"/>
          </w:tcPr>
          <w:p>
            <w:pPr>
              <w:spacing w:after="0"/>
              <w:rPr>
                <w:sz w:val="15"/>
                <w:szCs w:val="15"/>
                <w:color w:val="auto"/>
              </w:rPr>
            </w:pPr>
          </w:p>
        </w:tc>
      </w:tr>
      <w:tr>
        <w:trPr>
          <w:trHeight w:val="95"/>
        </w:trPr>
        <w:tc>
          <w:tcPr>
            <w:tcW w:w="34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20" w:type="dxa"/>
            <w:vAlign w:val="bottom"/>
          </w:tcPr>
          <w:p>
            <w:pPr>
              <w:spacing w:after="0"/>
              <w:rPr>
                <w:sz w:val="8"/>
                <w:szCs w:val="8"/>
                <w:color w:val="auto"/>
              </w:rPr>
            </w:pPr>
          </w:p>
        </w:tc>
      </w:tr>
      <w:tr>
        <w:trPr>
          <w:trHeight w:val="316"/>
        </w:trPr>
        <w:tc>
          <w:tcPr>
            <w:tcW w:w="34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420" w:type="dxa"/>
            <w:vAlign w:val="bottom"/>
          </w:tcPr>
          <w:p>
            <w:pPr>
              <w:spacing w:after="0"/>
              <w:rPr>
                <w:sz w:val="24"/>
                <w:szCs w:val="24"/>
                <w:color w:val="auto"/>
              </w:rPr>
            </w:pPr>
          </w:p>
        </w:tc>
      </w:tr>
      <w:tr>
        <w:trPr>
          <w:trHeight w:val="432"/>
        </w:trPr>
        <w:tc>
          <w:tcPr>
            <w:tcW w:w="3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8"/>
        </w:trPr>
        <w:tc>
          <w:tcPr>
            <w:tcW w:w="34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Amortization expense for goodwill and other intangible assets was $193 million for 2001. In accordance with SFAS No. 142, we did not amortize goodwill that arose from purchases of businesses completed after June 30, 2001. We continued, through December 31, 2001, the amortization of goodwill that was recorded prior to July 1, 2001. Amortization of goodwill ceased on January 1, 2002.</w:t>
      </w:r>
    </w:p>
    <w:p>
      <w:pPr>
        <w:spacing w:after="0" w:line="2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incurred no impairment of goodwill upon our initial adoption of SFAS No. 142 in 2002, or as a result of our annual goodwill impairment tests in 2003 and 2002. However, there can be no assurance that goodwill will not be impaired at any time in the future. Additionally, adopting SFAS No. 141,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required us to write-off net negative goodwill of approximately $2 million, which was recorded as a credit to cumulative effect of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accounting principle in the first quarter of 2002. During interim periods in 2002 or 2003, we did not encounter any events or changes in circumstances that indicated that impairment was more likely than not.</w:t>
      </w:r>
    </w:p>
    <w:p>
      <w:pPr>
        <w:spacing w:after="0" w:line="224"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The following schedule reflects the 2001 adjusted net income (excluding goodwill and negative goodwill amortization) as compared to the results of operations for December 31, 2003 and 2002 (in millions, except per share amounts).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w w:val="85"/>
              </w:rPr>
              <w:t>Years Ended December 31,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2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$ 630</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$ 503</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Add back: goodwill amortization, net of taxes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2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$ 630</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$ 627</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Basic earnings per common share:</w:t>
            </w: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0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2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Goodwill amortization, net of taxes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2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0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Diluted earnings per common share:</w:t>
            </w: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0" w:type="dxa"/>
            <w:vAlign w:val="bottom"/>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00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2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Goodwill amortization, net of taxes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2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040" w:type="dxa"/>
            <w:vAlign w:val="bottom"/>
            <w:vMerge w:val="restart"/>
          </w:tcPr>
          <w:p>
            <w:pPr>
              <w:jc w:val="right"/>
              <w:ind w:right="1155"/>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8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7.</w:t>
            </w:r>
          </w:p>
        </w:tc>
        <w:tc>
          <w:tcPr>
            <w:tcW w:w="7080" w:type="dxa"/>
            <w:vAlign w:val="bottom"/>
            <w:gridSpan w:val="3"/>
          </w:tcPr>
          <w:p>
            <w:pPr>
              <w:ind w:left="220"/>
              <w:spacing w:after="0"/>
              <w:rPr>
                <w:sz w:val="20"/>
                <w:szCs w:val="20"/>
                <w:color w:val="auto"/>
              </w:rPr>
            </w:pPr>
            <w:r>
              <w:rPr>
                <w:rFonts w:ascii="Arial" w:cs="Arial" w:eastAsia="Arial" w:hAnsi="Arial"/>
                <w:sz w:val="18"/>
                <w:szCs w:val="18"/>
                <w:b w:val="1"/>
                <w:bCs w:val="1"/>
                <w:color w:val="auto"/>
              </w:rPr>
              <w:t>Debt and Interest Rate Derivatives</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708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Debt</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color w:val="auto"/>
              </w:rPr>
              <w:t>Debt at December 31 consisted of the following (in millions):</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2"/>
              </w:rPr>
              <w:t>Senior notes and debentures, maturing through 2032, interest rates ranging</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from 6.375% to 8.75%</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6,164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3"/>
              </w:rPr>
              <w:t>Tax-exempt bonds maturing through 2038, fixed and variable interest rates</w:t>
            </w: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6"/>
              </w:rPr>
              <w:t>ranging from 1.2% to 10.0% (weighted average interest rate of 2.9% at</w:t>
            </w: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December 31, 2003)</w:t>
            </w:r>
          </w:p>
        </w:tc>
        <w:tc>
          <w:tcPr>
            <w:tcW w:w="320" w:type="dxa"/>
            <w:vAlign w:val="bottom"/>
            <w:tcBorders>
              <w:right w:val="single" w:sz="8" w:color="EEEEEE"/>
            </w:tcBorders>
            <w:shd w:val="clear" w:color="auto" w:fill="EEEEEE"/>
          </w:tcPr>
          <w:p>
            <w:pPr>
              <w:spacing w:after="0"/>
              <w:rPr>
                <w:sz w:val="19"/>
                <w:szCs w:val="19"/>
                <w:color w:val="auto"/>
              </w:rPr>
            </w:pPr>
          </w:p>
        </w:tc>
        <w:tc>
          <w:tcPr>
            <w:tcW w:w="6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3"/>
              </w:rPr>
              <w:t>1,762(a)</w:t>
            </w: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6"/>
              </w:rPr>
              <w:t>1,262(a)</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Tax-exempt project bonds, principal payable in periodic installments,</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w w:val="99"/>
              </w:rPr>
              <w:t>maturing through 2027, fixed and variable interest rates ranging from</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w w:val="96"/>
              </w:rPr>
              <w:t>1.0% to 9.3% (weighted average interest rate of 5.1% at December 31,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7080" w:type="dxa"/>
            <w:vAlign w:val="bottom"/>
            <w:gridSpan w:val="3"/>
          </w:tcPr>
          <w:p>
            <w:pPr>
              <w:ind w:left="1620"/>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566(b)</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634(b)</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5.75% convertible subordinated notes due 2005</w:t>
            </w:r>
          </w:p>
        </w:tc>
        <w:tc>
          <w:tcPr>
            <w:tcW w:w="3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5"/>
              </w:rPr>
              <w:t>Capital leases and other, maturing through 2022, interest rates up to 12%</w:t>
            </w:r>
          </w:p>
        </w:tc>
        <w:tc>
          <w:tcPr>
            <w:tcW w:w="3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488(c)</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4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8,511</w:t>
            </w:r>
          </w:p>
        </w:tc>
        <w:tc>
          <w:tcPr>
            <w:tcW w:w="2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8,293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60" w:hanging="452"/>
        <w:spacing w:after="0" w:line="294"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actively issue tax-exempt bonds as a means of accessing low-cost financing. These bonds are used to finance expenditures for landfill construction and development, equipment, vehicles and facilities in support of our operations. We have increased our utilization of tax-exempt financing and plan to continue this trend due to the attractive rates offered for these instruments. Proceeds from bond issues are held in trust until such time as we incur qualified expenditures, at which time we are reimbursed from the trust funds. We issue both fixed and floating rate obligations. Interest rates on floating rate bonds are re-set on a weekly basis and the underlying bonds are supported by letters of credit.</w:t>
      </w:r>
    </w:p>
    <w:p>
      <w:pPr>
        <w:spacing w:after="0" w:line="196"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Tax-exempt project bonds have been used by our Wheelabrator Group to finance the development of waste-to-energy facilities. These facilities are integral to the local communities they serve, and, as such, are supported by long-term contracts with multiple municipalities. The bonds generally have periodic amortizations that are supported by the cash flow of each specific facility being financed.</w:t>
      </w:r>
    </w:p>
    <w:p>
      <w:pPr>
        <w:spacing w:after="0" w:line="221"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discussed in Note 19, we began consolidating the assets, liabilities and results of operations of three variable interest entities during 2003. Our recorded long-term debt balance at December 31, 2003 includes approximately $197 million of debt obligations for these entities. The remaining increase over prior year is primarily related to our assumption of debt as a result of 2003 acquisition activity.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schedule of anticipated debt payments (including the current portion) for the next five years and thereafter is as follows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2004(a),(b)</w:t>
            </w:r>
          </w:p>
        </w:tc>
        <w:tc>
          <w:tcPr>
            <w:tcW w:w="18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2005</w:t>
            </w: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2006</w:t>
            </w: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2007</w:t>
            </w:r>
          </w:p>
        </w:tc>
        <w:tc>
          <w:tcPr>
            <w:tcW w:w="18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r>
      <w:tr>
        <w:trPr>
          <w:trHeight w:val="95"/>
        </w:trPr>
        <w:tc>
          <w:tcPr>
            <w:tcW w:w="2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r>
      <w:tr>
        <w:trPr>
          <w:trHeight w:val="316"/>
        </w:trPr>
        <w:tc>
          <w:tcPr>
            <w:tcW w:w="2080" w:type="dxa"/>
            <w:vAlign w:val="bottom"/>
          </w:tcPr>
          <w:p>
            <w:pPr>
              <w:jc w:val="right"/>
              <w:ind w:right="662"/>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24"/>
                <w:szCs w:val="2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$863</w:t>
            </w: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$433</w:t>
            </w:r>
          </w:p>
        </w:tc>
        <w:tc>
          <w:tcPr>
            <w:tcW w:w="1820" w:type="dxa"/>
            <w:vAlign w:val="bottom"/>
            <w:gridSpan w:val="2"/>
          </w:tcPr>
          <w:p>
            <w:pPr>
              <w:jc w:val="right"/>
              <w:ind w:right="560"/>
              <w:spacing w:after="0"/>
              <w:rPr>
                <w:sz w:val="20"/>
                <w:szCs w:val="20"/>
                <w:color w:val="auto"/>
              </w:rPr>
            </w:pPr>
            <w:r>
              <w:rPr>
                <w:rFonts w:ascii="Arial" w:cs="Arial" w:eastAsia="Arial" w:hAnsi="Arial"/>
                <w:sz w:val="18"/>
                <w:szCs w:val="18"/>
                <w:color w:val="auto"/>
              </w:rPr>
              <w:t>$475</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$518</w:t>
            </w:r>
          </w:p>
        </w:tc>
        <w:tc>
          <w:tcPr>
            <w:tcW w:w="1800" w:type="dxa"/>
            <w:vAlign w:val="bottom"/>
            <w:gridSpan w:val="2"/>
          </w:tcPr>
          <w:p>
            <w:pPr>
              <w:jc w:val="right"/>
              <w:ind w:right="432"/>
              <w:spacing w:after="0"/>
              <w:rPr>
                <w:sz w:val="20"/>
                <w:szCs w:val="20"/>
                <w:color w:val="auto"/>
              </w:rPr>
            </w:pPr>
            <w:r>
              <w:rPr>
                <w:rFonts w:ascii="Arial" w:cs="Arial" w:eastAsia="Arial" w:hAnsi="Arial"/>
                <w:sz w:val="18"/>
                <w:szCs w:val="18"/>
                <w:color w:val="auto"/>
              </w:rPr>
              <w:t>$5,708</w:t>
            </w:r>
          </w:p>
        </w:tc>
      </w:tr>
      <w:tr>
        <w:trPr>
          <w:trHeight w:val="218"/>
        </w:trPr>
        <w:tc>
          <w:tcPr>
            <w:tcW w:w="2080" w:type="dxa"/>
            <w:vAlign w:val="bottom"/>
            <w:tcBorders>
              <w:bottom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343" w:lineRule="exact"/>
        <w:rPr>
          <w:sz w:val="20"/>
          <w:szCs w:val="20"/>
          <w:color w:val="auto"/>
        </w:rPr>
      </w:pPr>
    </w:p>
    <w:p>
      <w:pPr>
        <w:ind w:left="460" w:right="100" w:hanging="452"/>
        <w:spacing w:after="0" w:line="290"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debt obligations as of December 31, 2003 include $150 million of 8.0% senior notes due April 30, 2004, $200 million of 6.5% senior notes due May 15, 2004, $294 million of 7% senior notes due October 1, 2004 and $245 million of fixed rate tax-exempt bonds subject to repricing within the next twelve months, which is prior to their scheduled maturity. If the reoffering of the bonds is unsuccessful, then the bonds can be put to us. These bonds are not backed by letters of credit that would serve to guarantee repayment in the event of a failed offering. Of this $889 million in current obligations, we classified $550 million as long-term at December 31, 2003. The classification of these obligations as long-term was based upon our current and forecasted available capacity under our two long-term revolving credit facilities and our intent to refinance the borrowings with other long-term financings. In the event other sources of long-term financing are not available, we intend to use our revolving credit facilities.</w:t>
      </w:r>
    </w:p>
    <w:p>
      <w:pPr>
        <w:spacing w:after="0" w:line="199"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$906 million of tax-exempt bonds at December 31, 2003 that mature through 2038 that are remarketed weekly by a remarketing agent to effectively maintain a variable yield. If the remarketing agent is unable to remarket the bonds, then the remarketing agent can put the bonds to us. We have obtained letters of credit, issued under our revolving credit facilities, to guarantee repayment of the bonds in this event. We classified these borrowings as long-term at December 31, 2003 because the borrowings are supported by letters of credit issued under our two revolving credit facilities, which are both long-term.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202"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270"/>
        <w:spacing w:after="0" w:line="298" w:lineRule="auto"/>
        <w:rPr>
          <w:sz w:val="20"/>
          <w:szCs w:val="20"/>
          <w:color w:val="auto"/>
        </w:rPr>
      </w:pPr>
      <w:r>
        <w:rPr>
          <w:rFonts w:ascii="Arial" w:cs="Arial" w:eastAsia="Arial" w:hAnsi="Arial"/>
          <w:sz w:val="16"/>
          <w:szCs w:val="16"/>
          <w:color w:val="auto"/>
        </w:rPr>
        <w:t>As of December 31, 2003, we had a three-year, $650 million syndicated revolving credit facility and a five-year, $1.75 billion syndicated revolving credit facility. The three-year revolver matures in June 2005 and the five-year revolver matures in June 2006. At December 31, 2003, no borrowings were outstanding under our revolving credit facilities and we had unused and available credit capacity under these facilities of approximately $792 million. The unused and available capacity under these facilities was approximately $770 million at December 31, 2002.</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2003, we are required to maintain the following financial covenants under our revolving credit facilities: (i) an interest coverage ratio;</w:t>
      </w:r>
    </w:p>
    <w:p>
      <w:pPr>
        <w:spacing w:after="0" w:line="38" w:lineRule="exact"/>
        <w:rPr>
          <w:sz w:val="20"/>
          <w:szCs w:val="20"/>
          <w:color w:val="auto"/>
        </w:rPr>
      </w:pPr>
    </w:p>
    <w:p>
      <w:pPr>
        <w:ind w:firstLine="8"/>
        <w:spacing w:after="0" w:line="286" w:lineRule="auto"/>
        <w:tabs>
          <w:tab w:leader="none" w:pos="2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debt to EBITDA ratio;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 than 3 to 1.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3.25 to 1. Our minimum net worth covenant restricts us from allowing stockholders’ equity to be less than $3.5 billion plus 75% of our cumulative consolidated net income for each fiscal quarter, beginning with the first fiscal quarter ended March 31, 2001. The credit facilities requiring compliance with these financial covenants state that the calculations must be based on generally accepted accounting principles promulgated by the FASB and applied by us during the latest fiscal year before the date of the facilities, or December 31, 2000 and 2001. Therefore, our adoption or implementation of accounting pronouncements or interpretations effective after those dates does not impact the calculation of the financial covenants defined above. We are in compliance with all covenants under our revolving credit facilities and all other debt instruments.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our operations, and in connection with issuances of tax-exempt bonds, we use letters of credit to support our bonding and funding needs. In order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increase our letter of credit availability, on June 30, 2003 we entered into a five-year, $15 million letter of credit and term loan agreement, a seven-year,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million letter of credit and term loan agreement, and a ten-year, $105 million letter of credit and term loan agreement, which expire in June 2008, 2010,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respectively (collectively, the “LC and term loan agreements”). At December 31, 2003, letters of credit were issued and outstanding for $284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capacity under these agreements. In December 2003, we entered into a five-year, $350 million letter of credit facility. As of December 31, 2003,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$349 million of letters of credit were outstanding under this facility.</w:t>
      </w:r>
    </w:p>
    <w:p>
      <w:pPr>
        <w:spacing w:after="0" w:line="24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December 31, 2003, we had letters of credit in the aggregate amount of approximately $2.4 billion (of which approximately $1.6 billion are issued under the revolving credit facilities, $284 million are issued under the LC and term loan agreements, $349 million are issued under the letter of credit facility and the remainder are issued under other various lines of credit). These letters of credit generally have terms allowing for automatic renewal after one year. In the event of an unreimbursed draw on a letter of credit, we have the ability to convert that amount into a term loan for the remaining term under its respective agreement or facility.</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Our 5.75% convertible subordinated notes due 2005 are subordinated to all of our existing and future senior indebtedness. Each note bears cash interest at the rate of two percent per annum of the $1,000 principal amount at maturity, payable semi-annually. The stated discount is $282.20. At the option of the holder, each note was redeemable for cash by us on March 15, 2000 at $843.03 along with the related accrued interest. The notes have been callable by us since March 15, 2000 for cash at the stated issue price plus accrued stated discount and accrued interest through the date of redemption. In addition, each note is convertible at any time prior to maturity into approximately 18.9 shares of our common stock, subject to adjustment upon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occurrence of certain events. Upon any such conversion, we have the option of paying cash equal to the market value of the shares which would otherwise be issuable.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debt balances are generally unsecured, except for approximately $549 million of the tax-exempt project bonds outstanding at December 31, 2003 that 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issued by certain of our subsidiaries within our Wheelabrator Group and secured by the related subsidiaries’ assets, with a carrying value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$720 million, and the related subsidiaries’ future revenue. Additionally, our consolidated variable interest entities have approximately $171 million of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borrowings that are collateralized by assets of those entities. These assets have a carrying value of approximately $400 million. See Note 19 for further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discussion.</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manage the interest rate risk of our debt portfolio principally by using interest rate derivatives to achieve a desired position of fixed and floating rate debt, which was approximately 63% fixed and 37% floating at December 31, 2003. Interest rate swap agreements that were outstanding as of December 31, 2003 and 2002 are set forth in the table below (dollars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Fair Value</w:t>
            </w:r>
          </w:p>
        </w:tc>
      </w:tr>
      <w:tr>
        <w:trPr>
          <w:trHeight w:val="174"/>
        </w:trPr>
        <w:tc>
          <w:tcPr>
            <w:tcW w:w="1940" w:type="dxa"/>
            <w:vAlign w:val="bottom"/>
          </w:tcPr>
          <w:p>
            <w:pPr>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jc w:val="right"/>
              <w:ind w:right="592"/>
              <w:spacing w:after="0"/>
              <w:rPr>
                <w:sz w:val="20"/>
                <w:szCs w:val="20"/>
                <w:color w:val="auto"/>
              </w:rPr>
            </w:pPr>
            <w:r>
              <w:rPr>
                <w:rFonts w:ascii="Arial" w:cs="Arial" w:eastAsia="Arial" w:hAnsi="Arial"/>
                <w:sz w:val="14"/>
                <w:szCs w:val="14"/>
                <w:b w:val="1"/>
                <w:bCs w:val="1"/>
                <w:color w:val="auto"/>
              </w:rPr>
              <w:t>Receive</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ind w:right="712"/>
              <w:spacing w:after="0"/>
              <w:rPr>
                <w:sz w:val="20"/>
                <w:szCs w:val="20"/>
                <w:color w:val="auto"/>
              </w:rPr>
            </w:pPr>
            <w:r>
              <w:rPr>
                <w:rFonts w:ascii="Arial" w:cs="Arial" w:eastAsia="Arial" w:hAnsi="Arial"/>
                <w:sz w:val="14"/>
                <w:szCs w:val="14"/>
                <w:b w:val="1"/>
                <w:bCs w:val="1"/>
                <w:color w:val="auto"/>
              </w:rPr>
              <w:t>Pay</w:t>
            </w:r>
          </w:p>
        </w:tc>
        <w:tc>
          <w:tcPr>
            <w:tcW w:w="220" w:type="dxa"/>
            <w:vAlign w:val="bottom"/>
          </w:tcPr>
          <w:p>
            <w:pPr>
              <w:spacing w:after="0"/>
              <w:rPr>
                <w:sz w:val="15"/>
                <w:szCs w:val="15"/>
                <w:color w:val="auto"/>
              </w:rPr>
            </w:pPr>
          </w:p>
        </w:tc>
        <w:tc>
          <w:tcPr>
            <w:tcW w:w="2580" w:type="dxa"/>
            <w:vAlign w:val="bottom"/>
          </w:tcPr>
          <w:p>
            <w:pPr>
              <w:ind w:left="880"/>
              <w:spacing w:after="0"/>
              <w:rPr>
                <w:sz w:val="20"/>
                <w:szCs w:val="20"/>
                <w:color w:val="auto"/>
              </w:rPr>
            </w:pPr>
            <w:r>
              <w:rPr>
                <w:rFonts w:ascii="Arial" w:cs="Arial" w:eastAsia="Arial" w:hAnsi="Arial"/>
                <w:sz w:val="14"/>
                <w:szCs w:val="14"/>
                <w:b w:val="1"/>
                <w:bCs w:val="1"/>
                <w:color w:val="auto"/>
              </w:rPr>
              <w:t>Maturity Date</w:t>
            </w:r>
          </w:p>
        </w:tc>
        <w:tc>
          <w:tcPr>
            <w:tcW w:w="220" w:type="dxa"/>
            <w:vAlign w:val="bottom"/>
          </w:tcPr>
          <w:p>
            <w:pPr>
              <w:spacing w:after="0"/>
              <w:rPr>
                <w:sz w:val="15"/>
                <w:szCs w:val="15"/>
                <w:color w:val="auto"/>
              </w:rPr>
            </w:pPr>
          </w:p>
        </w:tc>
        <w:tc>
          <w:tcPr>
            <w:tcW w:w="15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Asset/(Liability)(a)</w:t>
            </w:r>
          </w:p>
        </w:tc>
      </w:tr>
      <w:tr>
        <w:trPr>
          <w:trHeight w:val="95"/>
        </w:trPr>
        <w:tc>
          <w:tcPr>
            <w:tcW w:w="19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39"/>
        </w:trPr>
        <w:tc>
          <w:tcPr>
            <w:tcW w:w="1940" w:type="dxa"/>
            <w:vAlign w:val="bottom"/>
          </w:tcPr>
          <w:p>
            <w:pPr>
              <w:spacing w:after="0"/>
              <w:rPr>
                <w:sz w:val="20"/>
                <w:szCs w:val="20"/>
                <w:color w:val="auto"/>
              </w:rPr>
            </w:pPr>
            <w:r>
              <w:rPr>
                <w:rFonts w:ascii="Arial" w:cs="Arial" w:eastAsia="Arial" w:hAnsi="Arial"/>
                <w:sz w:val="14"/>
                <w:szCs w:val="14"/>
                <w:color w:val="auto"/>
              </w:rPr>
              <w:t>December 31, 2003</w:t>
            </w:r>
          </w:p>
        </w:tc>
        <w:tc>
          <w:tcPr>
            <w:tcW w:w="420" w:type="dxa"/>
            <w:vAlign w:val="bottom"/>
            <w:gridSpan w:val="3"/>
          </w:tcPr>
          <w:p>
            <w:pPr>
              <w:ind w:left="36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rPr>
                <w:sz w:val="20"/>
                <w:szCs w:val="20"/>
                <w:color w:val="auto"/>
              </w:rPr>
            </w:pPr>
            <w:r>
              <w:rPr>
                <w:rFonts w:ascii="Arial" w:cs="Arial" w:eastAsia="Arial" w:hAnsi="Arial"/>
                <w:sz w:val="14"/>
                <w:szCs w:val="14"/>
                <w:color w:val="auto"/>
              </w:rPr>
              <w:t>17</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Floating</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1.15%</w:t>
            </w:r>
          </w:p>
        </w:tc>
        <w:tc>
          <w:tcPr>
            <w:tcW w:w="840" w:type="dxa"/>
            <w:vAlign w:val="bottom"/>
            <w:gridSpan w:val="2"/>
          </w:tcPr>
          <w:p>
            <w:pPr>
              <w:ind w:left="220"/>
              <w:spacing w:after="0"/>
              <w:rPr>
                <w:sz w:val="20"/>
                <w:szCs w:val="20"/>
                <w:color w:val="auto"/>
              </w:rPr>
            </w:pPr>
            <w:r>
              <w:rPr>
                <w:rFonts w:ascii="Arial" w:cs="Arial" w:eastAsia="Arial" w:hAnsi="Arial"/>
                <w:sz w:val="14"/>
                <w:szCs w:val="14"/>
                <w:color w:val="auto"/>
              </w:rPr>
              <w:t>Fixed</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7.27%</w:t>
            </w:r>
          </w:p>
        </w:tc>
        <w:tc>
          <w:tcPr>
            <w:tcW w:w="220" w:type="dxa"/>
            <w:vAlign w:val="bottom"/>
          </w:tcPr>
          <w:p>
            <w:pPr>
              <w:spacing w:after="0"/>
              <w:rPr>
                <w:sz w:val="20"/>
                <w:szCs w:val="20"/>
                <w:color w:val="auto"/>
              </w:rPr>
            </w:pPr>
          </w:p>
        </w:tc>
        <w:tc>
          <w:tcPr>
            <w:tcW w:w="2580" w:type="dxa"/>
            <w:vAlign w:val="bottom"/>
          </w:tcPr>
          <w:p>
            <w:pPr>
              <w:ind w:left="540"/>
              <w:spacing w:after="0"/>
              <w:rPr>
                <w:sz w:val="20"/>
                <w:szCs w:val="20"/>
                <w:color w:val="auto"/>
              </w:rPr>
            </w:pPr>
            <w:r>
              <w:rPr>
                <w:rFonts w:ascii="Arial" w:cs="Arial" w:eastAsia="Arial" w:hAnsi="Arial"/>
                <w:sz w:val="14"/>
                <w:szCs w:val="14"/>
                <w:color w:val="auto"/>
              </w:rPr>
              <w:t>Through December 31, 2012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12"/>
              <w:spacing w:after="0"/>
              <w:rPr>
                <w:sz w:val="20"/>
                <w:szCs w:val="20"/>
                <w:color w:val="auto"/>
              </w:rPr>
            </w:pPr>
            <w:r>
              <w:rPr>
                <w:rFonts w:ascii="Arial" w:cs="Arial" w:eastAsia="Arial" w:hAnsi="Arial"/>
                <w:sz w:val="14"/>
                <w:szCs w:val="14"/>
                <w:color w:val="auto"/>
              </w:rPr>
              <w:t>(3)(b)</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December 31, 2003</w:t>
            </w:r>
          </w:p>
        </w:tc>
        <w:tc>
          <w:tcPr>
            <w:tcW w:w="420" w:type="dxa"/>
            <w:vAlign w:val="bottom"/>
            <w:gridSpan w:val="3"/>
          </w:tcPr>
          <w:p>
            <w:pPr>
              <w:ind w:left="36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9"/>
              </w:rPr>
              <w:t>2,250</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Fixed</w:t>
            </w:r>
          </w:p>
        </w:tc>
        <w:tc>
          <w:tcPr>
            <w:tcW w:w="12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6.38%-7.65%</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Floating</w:t>
            </w: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3.74%-5.54%</w:t>
            </w:r>
          </w:p>
        </w:tc>
        <w:tc>
          <w:tcPr>
            <w:tcW w:w="220" w:type="dxa"/>
            <w:vAlign w:val="bottom"/>
          </w:tcPr>
          <w:p>
            <w:pPr>
              <w:spacing w:after="0"/>
              <w:rPr>
                <w:sz w:val="12"/>
                <w:szCs w:val="12"/>
                <w:color w:val="auto"/>
              </w:rPr>
            </w:pPr>
          </w:p>
        </w:tc>
        <w:tc>
          <w:tcPr>
            <w:tcW w:w="2580" w:type="dxa"/>
            <w:vAlign w:val="bottom"/>
          </w:tcPr>
          <w:p>
            <w:pPr>
              <w:ind w:left="540"/>
              <w:spacing w:after="0" w:line="149" w:lineRule="exact"/>
              <w:rPr>
                <w:sz w:val="20"/>
                <w:szCs w:val="20"/>
                <w:color w:val="auto"/>
              </w:rPr>
            </w:pPr>
            <w:r>
              <w:rPr>
                <w:rFonts w:ascii="Arial" w:cs="Arial" w:eastAsia="Arial" w:hAnsi="Arial"/>
                <w:sz w:val="14"/>
                <w:szCs w:val="14"/>
                <w:color w:val="auto"/>
              </w:rPr>
              <w:t>Through December 15, 2017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89"/>
              </w:rPr>
              <w:t>(99)(c),(d)</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December 31, 2002</w:t>
            </w:r>
          </w:p>
        </w:tc>
        <w:tc>
          <w:tcPr>
            <w:tcW w:w="420" w:type="dxa"/>
            <w:vAlign w:val="bottom"/>
            <w:gridSpan w:val="3"/>
          </w:tcPr>
          <w:p>
            <w:pPr>
              <w:ind w:left="36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Floating</w:t>
            </w:r>
          </w:p>
        </w:tc>
        <w:tc>
          <w:tcPr>
            <w:tcW w:w="12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1.38%</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Fixed</w:t>
            </w:r>
          </w:p>
        </w:tc>
        <w:tc>
          <w:tcPr>
            <w:tcW w:w="11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7.27%</w:t>
            </w:r>
          </w:p>
        </w:tc>
        <w:tc>
          <w:tcPr>
            <w:tcW w:w="220" w:type="dxa"/>
            <w:vAlign w:val="bottom"/>
          </w:tcPr>
          <w:p>
            <w:pPr>
              <w:spacing w:after="0"/>
              <w:rPr>
                <w:sz w:val="12"/>
                <w:szCs w:val="12"/>
                <w:color w:val="auto"/>
              </w:rPr>
            </w:pPr>
          </w:p>
        </w:tc>
        <w:tc>
          <w:tcPr>
            <w:tcW w:w="2580" w:type="dxa"/>
            <w:vAlign w:val="bottom"/>
          </w:tcPr>
          <w:p>
            <w:pPr>
              <w:ind w:left="540"/>
              <w:spacing w:after="0" w:line="149" w:lineRule="exact"/>
              <w:rPr>
                <w:sz w:val="20"/>
                <w:szCs w:val="20"/>
                <w:color w:val="auto"/>
              </w:rPr>
            </w:pPr>
            <w:r>
              <w:rPr>
                <w:rFonts w:ascii="Arial" w:cs="Arial" w:eastAsia="Arial" w:hAnsi="Arial"/>
                <w:sz w:val="14"/>
                <w:szCs w:val="14"/>
                <w:color w:val="auto"/>
              </w:rPr>
              <w:t>Through December 31, 2012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(3)(b)</w:t>
            </w: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December 31, 2002</w:t>
            </w:r>
          </w:p>
        </w:tc>
        <w:tc>
          <w:tcPr>
            <w:tcW w:w="420" w:type="dxa"/>
            <w:vAlign w:val="bottom"/>
            <w:gridSpan w:val="3"/>
          </w:tcPr>
          <w:p>
            <w:pPr>
              <w:ind w:left="36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52"/>
              <w:spacing w:after="0"/>
              <w:rPr>
                <w:sz w:val="20"/>
                <w:szCs w:val="20"/>
                <w:color w:val="auto"/>
              </w:rPr>
            </w:pPr>
            <w:r>
              <w:rPr>
                <w:rFonts w:ascii="Arial" w:cs="Arial" w:eastAsia="Arial" w:hAnsi="Arial"/>
                <w:sz w:val="14"/>
                <w:szCs w:val="14"/>
                <w:color w:val="auto"/>
                <w:w w:val="79"/>
              </w:rPr>
              <w:t>2,000</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Fixed</w:t>
            </w:r>
          </w:p>
        </w:tc>
        <w:tc>
          <w:tcPr>
            <w:tcW w:w="1220" w:type="dxa"/>
            <w:vAlign w:val="bottom"/>
          </w:tcPr>
          <w:p>
            <w:pPr>
              <w:jc w:val="right"/>
              <w:ind w:right="72"/>
              <w:spacing w:after="0"/>
              <w:rPr>
                <w:sz w:val="20"/>
                <w:szCs w:val="20"/>
                <w:color w:val="auto"/>
              </w:rPr>
            </w:pPr>
            <w:r>
              <w:rPr>
                <w:rFonts w:ascii="Arial" w:cs="Arial" w:eastAsia="Arial" w:hAnsi="Arial"/>
                <w:sz w:val="14"/>
                <w:szCs w:val="14"/>
                <w:color w:val="auto"/>
              </w:rPr>
              <w:t>6.38%-7.65%</w:t>
            </w:r>
          </w:p>
        </w:tc>
        <w:tc>
          <w:tcPr>
            <w:tcW w:w="840" w:type="dxa"/>
            <w:vAlign w:val="bottom"/>
            <w:gridSpan w:val="2"/>
          </w:tcPr>
          <w:p>
            <w:pPr>
              <w:ind w:left="220"/>
              <w:spacing w:after="0"/>
              <w:rPr>
                <w:sz w:val="20"/>
                <w:szCs w:val="20"/>
                <w:color w:val="auto"/>
              </w:rPr>
            </w:pPr>
            <w:r>
              <w:rPr>
                <w:rFonts w:ascii="Arial" w:cs="Arial" w:eastAsia="Arial" w:hAnsi="Arial"/>
                <w:sz w:val="14"/>
                <w:szCs w:val="14"/>
                <w:color w:val="auto"/>
              </w:rPr>
              <w:t>Floating</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2.97%-4.91%</w:t>
            </w:r>
          </w:p>
        </w:tc>
        <w:tc>
          <w:tcPr>
            <w:tcW w:w="220" w:type="dxa"/>
            <w:vAlign w:val="bottom"/>
          </w:tcPr>
          <w:p>
            <w:pPr>
              <w:spacing w:after="0"/>
              <w:rPr>
                <w:sz w:val="14"/>
                <w:szCs w:val="14"/>
                <w:color w:val="auto"/>
              </w:rPr>
            </w:pPr>
          </w:p>
        </w:tc>
        <w:tc>
          <w:tcPr>
            <w:tcW w:w="2580" w:type="dxa"/>
            <w:vAlign w:val="bottom"/>
          </w:tcPr>
          <w:p>
            <w:pPr>
              <w:ind w:left="540"/>
              <w:spacing w:after="0"/>
              <w:rPr>
                <w:sz w:val="20"/>
                <w:szCs w:val="20"/>
                <w:color w:val="auto"/>
              </w:rPr>
            </w:pPr>
            <w:r>
              <w:rPr>
                <w:rFonts w:ascii="Arial" w:cs="Arial" w:eastAsia="Arial" w:hAnsi="Arial"/>
                <w:sz w:val="14"/>
                <w:szCs w:val="14"/>
                <w:color w:val="auto"/>
              </w:rPr>
              <w:t>Through July 15, 2028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32"/>
              <w:spacing w:after="0"/>
              <w:rPr>
                <w:sz w:val="20"/>
                <w:szCs w:val="20"/>
                <w:color w:val="auto"/>
              </w:rPr>
            </w:pPr>
            <w:r>
              <w:rPr>
                <w:rFonts w:ascii="Arial" w:cs="Arial" w:eastAsia="Arial" w:hAnsi="Arial"/>
                <w:sz w:val="14"/>
                <w:szCs w:val="14"/>
                <w:color w:val="auto"/>
                <w:w w:val="94"/>
              </w:rPr>
              <w:t>34 (c)</w:t>
            </w:r>
          </w:p>
        </w:tc>
      </w:tr>
      <w:tr>
        <w:trPr>
          <w:trHeight w:val="203"/>
        </w:trPr>
        <w:tc>
          <w:tcPr>
            <w:tcW w:w="19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343" w:lineRule="exact"/>
        <w:rPr>
          <w:sz w:val="20"/>
          <w:szCs w:val="20"/>
          <w:color w:val="auto"/>
        </w:rPr>
      </w:pPr>
    </w:p>
    <w:p>
      <w:pPr>
        <w:ind w:left="460" w:right="4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value of interest rate derivatives is included in our balance sheets as components of other long-term assets and other long-term liabilities. Fair values of these interest rate derivatives are based on third party pricing models.</w:t>
      </w:r>
    </w:p>
    <w:p>
      <w:pPr>
        <w:spacing w:after="0" w:line="21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interest rate derivative contract’s terms do not qualify for hedge accounting. Therefore, the contract is accounted for at fair value with changes in fair value recognized immediately in interest expense.</w:t>
      </w:r>
    </w:p>
    <w:p>
      <w:pPr>
        <w:spacing w:after="0" w:line="212" w:lineRule="exact"/>
        <w:rPr>
          <w:rFonts w:ascii="Arial" w:cs="Arial" w:eastAsia="Arial" w:hAnsi="Arial"/>
          <w:sz w:val="18"/>
          <w:szCs w:val="18"/>
          <w:color w:val="auto"/>
        </w:rPr>
      </w:pPr>
    </w:p>
    <w:p>
      <w:pPr>
        <w:ind w:left="460" w:right="7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interest rate derivatives qualify for hedge accounting. Therefore, changes in fair value of these interest rate swap contracts are deferred and recognized as an adjustment to interest expense over the remaining life of the hedged instrument.</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value for these interest rate derivatives is comprised of $2 million long-term assets and $101 million long-term liabilities.</w:t>
      </w:r>
    </w:p>
    <w:p>
      <w:pPr>
        <w:spacing w:after="0" w:line="252" w:lineRule="exact"/>
        <w:rPr>
          <w:sz w:val="20"/>
          <w:szCs w:val="20"/>
          <w:color w:val="auto"/>
        </w:rPr>
      </w:pPr>
    </w:p>
    <w:p>
      <w:pPr>
        <w:ind w:right="60" w:firstLine="270"/>
        <w:spacing w:after="0" w:line="310" w:lineRule="auto"/>
        <w:rPr>
          <w:sz w:val="20"/>
          <w:szCs w:val="20"/>
          <w:color w:val="auto"/>
        </w:rPr>
      </w:pPr>
      <w:r>
        <w:rPr>
          <w:rFonts w:ascii="Arial" w:cs="Arial" w:eastAsia="Arial" w:hAnsi="Arial"/>
          <w:sz w:val="15"/>
          <w:szCs w:val="15"/>
          <w:color w:val="auto"/>
        </w:rPr>
        <w:t>In 2002, we elected to terminate several interest rate swap agreements with a notional amount of $2.95 billion prior to the scheduled maturities and received cash of $200 million (which is comprised of $166 million for the fair value of the swaps that were terminated and $34 million of accrued but unpaid interest receivable) from the counterparties to the interest rate swaps. During the first and second quarters of 2003, we terminated several additional interest rate swap agreements with a notional amount of $2.35 billion prior to the scheduled maturities and received cash of $117 million (which was comprised of $109 million for the fair value of the swaps terminated and $8 million of interest receivable) from the counterparties to the interest rate swaps. We designated these swap agreements as fair value hedges, and as such the unamortized adjustment to long-term debt for the change in fair value of the swaps remains classified with long-term debt and will be amortized over the remaining life of the underlying debt. The proceeds received from the termination of the interest rate swap agreements have been classified as a change in other assets or other liabilities within operating activities in the accompanying consolidated statements of cash flows.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Fair value hedge accounting for interest rate swap contracts increased the carrying value of debt instruments by approximately $168 million as of December 31, 2003 and $239 million as of December 31, 2002. The following table summarizes the accumulated fair value adjustments from interest rate swap agreements by underlying debt instrument category at December 31 (in millions):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40" w:type="dxa"/>
            <w:vAlign w:val="bottom"/>
          </w:tcPr>
          <w:p>
            <w:pPr>
              <w:jc w:val="center"/>
              <w:ind w:right="292"/>
              <w:spacing w:after="0"/>
              <w:rPr>
                <w:sz w:val="20"/>
                <w:szCs w:val="20"/>
                <w:color w:val="auto"/>
              </w:rPr>
            </w:pPr>
            <w:r>
              <w:rPr>
                <w:rFonts w:ascii="Arial" w:cs="Arial" w:eastAsia="Arial" w:hAnsi="Arial"/>
                <w:sz w:val="14"/>
                <w:szCs w:val="14"/>
                <w:b w:val="1"/>
                <w:bCs w:val="1"/>
                <w:color w:val="auto"/>
                <w:w w:val="85"/>
              </w:rPr>
              <w:t>Increase (decrease) in carrying value of debt due to</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40" w:type="dxa"/>
            <w:vAlign w:val="bottom"/>
          </w:tcPr>
          <w:p>
            <w:pPr>
              <w:jc w:val="center"/>
              <w:ind w:right="272"/>
              <w:spacing w:after="0"/>
              <w:rPr>
                <w:sz w:val="20"/>
                <w:szCs w:val="20"/>
                <w:color w:val="auto"/>
              </w:rPr>
            </w:pPr>
            <w:r>
              <w:rPr>
                <w:rFonts w:ascii="Arial" w:cs="Arial" w:eastAsia="Arial" w:hAnsi="Arial"/>
                <w:sz w:val="14"/>
                <w:szCs w:val="14"/>
                <w:b w:val="1"/>
                <w:bCs w:val="1"/>
                <w:color w:val="auto"/>
                <w:w w:val="84"/>
              </w:rPr>
              <w:t>hedge accounting for interest rate swaps</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notes and debentures:</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gridSpan w:val="2"/>
          </w:tcPr>
          <w:p>
            <w:pPr>
              <w:ind w:left="220"/>
              <w:spacing w:after="0"/>
              <w:rPr>
                <w:sz w:val="20"/>
                <w:szCs w:val="20"/>
                <w:color w:val="auto"/>
              </w:rPr>
            </w:pPr>
            <w:r>
              <w:rPr>
                <w:rFonts w:ascii="Arial" w:cs="Arial" w:eastAsia="Arial" w:hAnsi="Arial"/>
                <w:sz w:val="18"/>
                <w:szCs w:val="18"/>
                <w:color w:val="auto"/>
              </w:rPr>
              <w:t>Active swap agreements</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 (99)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Terminated swap agreements</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4"/>
              </w:rPr>
              <w:t>266(a)</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203</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6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Tax-exempt and project bonds:</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100" w:type="dxa"/>
            <w:vAlign w:val="bottom"/>
            <w:gridSpan w:val="2"/>
          </w:tcPr>
          <w:p>
            <w:pPr>
              <w:ind w:left="220"/>
              <w:spacing w:after="0"/>
              <w:rPr>
                <w:sz w:val="20"/>
                <w:szCs w:val="20"/>
                <w:color w:val="auto"/>
              </w:rPr>
            </w:pPr>
            <w:r>
              <w:rPr>
                <w:rFonts w:ascii="Arial" w:cs="Arial" w:eastAsia="Arial" w:hAnsi="Arial"/>
                <w:sz w:val="18"/>
                <w:szCs w:val="18"/>
                <w:color w:val="auto"/>
              </w:rPr>
              <w:t>Terminated swap agreements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1(a)</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7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239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 these amounts, $48 million (on a pre-tax basis) is scheduled to be reclassified as a credit to interest expense over the next twelve months.</w:t>
      </w:r>
    </w:p>
    <w:p>
      <w:pPr>
        <w:spacing w:after="0" w:line="275"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Interest rate swap agreements reduced net interest expense by $90 million, $86 million and $39 million for the years ended December 31, 2003, 2002 and 2001, respectively. The significant terms of the interest rate contracts and the underlying debt instruments are identical and therefore no ineffectiveness has been realized.</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rate locks</w:t>
      </w:r>
    </w:p>
    <w:p>
      <w:pPr>
        <w:spacing w:after="0" w:line="252"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During 2002 and 2001, we entered into cash flow hedges to secure the underlying interest rates in anticipation of our senior note issuances. These hedging agreements resulted in a deferred loss, net of taxes, of approximately $36 million at December 31, 2003, which is included in accumulated other comprehensive income. Of this amount, $5 million (on a pre-tax basis) is scheduled to be reclassified into interest expense over the next twelve months.</w:t>
      </w:r>
    </w:p>
    <w:p>
      <w:pPr>
        <w:spacing w:after="0" w:line="39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For financial reporting purposes, income before income taxes and cumulative effect of changes in accounting principles, showing domestic and international sources, was as follows (in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gridSpan w:val="6"/>
          </w:tcPr>
          <w:p>
            <w:pPr>
              <w:ind w:left="120"/>
              <w:spacing w:after="0"/>
              <w:rPr>
                <w:sz w:val="20"/>
                <w:szCs w:val="20"/>
                <w:color w:val="auto"/>
              </w:rPr>
            </w:pPr>
            <w:r>
              <w:rPr>
                <w:rFonts w:ascii="Arial" w:cs="Arial" w:eastAsia="Arial" w:hAnsi="Arial"/>
                <w:sz w:val="14"/>
                <w:szCs w:val="14"/>
                <w:b w:val="1"/>
                <w:bCs w:val="1"/>
                <w:color w:val="auto"/>
                <w:w w:val="90"/>
              </w:rPr>
              <w:t>Years Ended December 31,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Domestic</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$1,098</w:t>
            </w: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International</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w w:val="96"/>
              </w:rPr>
              <w:t>Income before income taxes and cumulative effect of changes in accounting</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principles</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$1,123</w:t>
            </w:r>
          </w:p>
        </w:tc>
        <w:tc>
          <w:tcPr>
            <w:tcW w:w="12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000" w:type="dxa"/>
            <w:vAlign w:val="bottom"/>
            <w:gridSpan w:val="2"/>
            <w:vMerge w:val="restart"/>
          </w:tcPr>
          <w:p>
            <w:pPr>
              <w:jc w:val="right"/>
              <w:ind w:right="1112"/>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before cumulative effect of changes in accounting principles consisted of the following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6"/>
          </w:tcPr>
          <w:p>
            <w:pPr>
              <w:ind w:left="120"/>
              <w:spacing w:after="0"/>
              <w:rPr>
                <w:sz w:val="20"/>
                <w:szCs w:val="20"/>
                <w:color w:val="auto"/>
              </w:rPr>
            </w:pPr>
            <w:r>
              <w:rPr>
                <w:rFonts w:ascii="Arial" w:cs="Arial" w:eastAsia="Arial" w:hAnsi="Arial"/>
                <w:sz w:val="14"/>
                <w:szCs w:val="14"/>
                <w:b w:val="1"/>
                <w:bCs w:val="1"/>
                <w:color w:val="auto"/>
                <w:w w:val="86"/>
              </w:rPr>
              <w:t>Years Ended December 31,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103</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152</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308</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259</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149</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3"/>
              </w:rPr>
              <w:t>(37)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363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319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404</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422</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283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federal statutory rate is reconciled to the effective rate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0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10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at federal statutory rate</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35.00%</w:t>
            </w:r>
          </w:p>
        </w:tc>
        <w:tc>
          <w:tcPr>
            <w:tcW w:w="134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88"/>
              </w:rPr>
              <w:t>State and local income taxes, net of federal income tax benefit</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Nondeductible costs relating to acquired intangibles</w:t>
            </w:r>
          </w:p>
        </w:tc>
        <w:tc>
          <w:tcPr>
            <w:tcW w:w="2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0.81</w:t>
            </w:r>
          </w:p>
        </w:tc>
        <w:tc>
          <w:tcPr>
            <w:tcW w:w="14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Writedown of investments in subsidiaries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w:t>
            </w:r>
          </w:p>
        </w:tc>
        <w:tc>
          <w:tcPr>
            <w:tcW w:w="22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(0.02)</w:t>
            </w: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Sale of subsidiaries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Tax rate differential on foreign income</w:t>
            </w:r>
          </w:p>
        </w:tc>
        <w:tc>
          <w:tcPr>
            <w:tcW w:w="22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(0.90)</w:t>
            </w:r>
          </w:p>
        </w:tc>
        <w:tc>
          <w:tcPr>
            <w:tcW w:w="134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Cumulative effect of change in Canadian tax rates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Nonconventional fuel tax credit</w:t>
            </w:r>
          </w:p>
        </w:tc>
        <w:tc>
          <w:tcPr>
            <w:tcW w:w="22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(2.48)</w:t>
            </w:r>
          </w:p>
        </w:tc>
        <w:tc>
          <w:tcPr>
            <w:tcW w:w="134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(0.46)</w:t>
            </w: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(0.80)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Provision for income taxes</w:t>
            </w:r>
          </w:p>
        </w:tc>
        <w:tc>
          <w:tcPr>
            <w:tcW w:w="2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35.98%</w:t>
            </w:r>
          </w:p>
        </w:tc>
        <w:tc>
          <w:tcPr>
            <w:tcW w:w="134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33.98%</w:t>
            </w: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36.10%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340" w:type="dxa"/>
            <w:vAlign w:val="bottom"/>
            <w:vMerge w:val="restart"/>
          </w:tcPr>
          <w:p>
            <w:pPr>
              <w:jc w:val="right"/>
              <w:ind w:right="1034"/>
              <w:spacing w:after="0"/>
              <w:rPr>
                <w:sz w:val="20"/>
                <w:szCs w:val="20"/>
                <w:color w:val="auto"/>
              </w:rPr>
            </w:pPr>
            <w:r>
              <w:rPr>
                <w:rFonts w:ascii="Arial" w:cs="Arial" w:eastAsia="Arial" w:hAnsi="Arial"/>
                <w:sz w:val="18"/>
                <w:szCs w:val="18"/>
                <w:color w:val="auto"/>
                <w:w w:val="99"/>
              </w:rPr>
              <w:t>75</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4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0" w:name="page81"/>
    <w:bookmarkEnd w:id="80"/>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assets (liabilities) at December 31 are as follows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Net operating loss, capital loss and tax credit carryforwards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Environmental and other reserves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Reserves not deductible until paid</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600"/>
              <w:spacing w:after="0"/>
              <w:rPr>
                <w:sz w:val="20"/>
                <w:szCs w:val="20"/>
                <w:color w:val="auto"/>
              </w:rPr>
            </w:pPr>
            <w:r>
              <w:rPr>
                <w:rFonts w:ascii="Arial" w:cs="Arial" w:eastAsia="Arial" w:hAnsi="Arial"/>
                <w:sz w:val="18"/>
                <w:szCs w:val="18"/>
                <w:color w:val="auto"/>
              </w:rPr>
              <w:t>Subtotal</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1,212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1,233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Property, equipment, intangible assets, and other</w:t>
            </w: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(2,170)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(1,950)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Net deferred tax liabilities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(1,242)</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At December 31, 2003 we had approximately $19 million of federal net operating loss (“NOL”) carryforwards, $3.9 billion of state NOL carryforwards, and $143 million of Canadian NOL carryforwards. The federal and state NOL carryforwards have expiration dates through the year 2023. The Canadian NOL carryforwards have the following expiry: $32 million in 2004, $33 million in 2005, $14 million in 2006, $25 million in 2007 and $39 million in 2009. We have approximately $1 million of alternative minimum tax credit carryforwards that may be used indefinitely and state tax credit carryforwards of $15 million.</w:t>
      </w:r>
    </w:p>
    <w:p>
      <w:pPr>
        <w:spacing w:after="0" w:line="19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have established valuation allowances for uncertainties in realizing the benefit of tax loss and credit carryforwards and other deferred tax assets. While we expect to realize the deferred tax assets, net of the valuation allowances, changes in estimates of future taxable income or in tax laws may alter this expectation. The valuation allowance increased approximately $4 million and $9 million in 2003 and 2002, respectively, primarily due to the uncertainty of realizing foreign and state NOL carryforwards and tax credits.</w:t>
      </w:r>
    </w:p>
    <w:p>
      <w:pPr>
        <w:spacing w:after="0" w:line="224"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Unremitted earnings in foreign operations were approximately $300 million at December 31, 2003, which we intend to reinvest. It is not practicable to determine the amount of United States based income taxes that would be payable upon remittance of the assets that represent those earnings.</w:t>
      </w:r>
    </w:p>
    <w:p>
      <w:pPr>
        <w:spacing w:after="0" w:line="37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8" w:lineRule="exact"/>
        <w:rPr>
          <w:sz w:val="20"/>
          <w:szCs w:val="20"/>
          <w:color w:val="auto"/>
        </w:rPr>
      </w:pPr>
    </w:p>
    <w:p>
      <w:pPr>
        <w:ind w:right="40" w:firstLine="324"/>
        <w:spacing w:after="0" w:line="318" w:lineRule="auto"/>
        <w:rPr>
          <w:sz w:val="20"/>
          <w:szCs w:val="20"/>
          <w:color w:val="auto"/>
        </w:rPr>
      </w:pPr>
      <w:r>
        <w:rPr>
          <w:rFonts w:ascii="Arial" w:cs="Arial" w:eastAsia="Arial" w:hAnsi="Arial"/>
          <w:sz w:val="15"/>
          <w:szCs w:val="15"/>
          <w:color w:val="auto"/>
        </w:rPr>
        <w:t>The Waste Management Retirement Savings Plan (“Savings Plan”) covers employees (except those working subject to collective bargaining agreements, which do not provide for coverage under such plans) following a 90 day waiting period after hire, and allows eligible employees to contribute up to 15% of their annual compensation, as limited by IRS regulations. Under the Savings Plan, we match, in cash, employee contributions up to 3% of their eligible compensation and match 50% of employee contributions in excess of 3% but no more than 6% of eligible compensation. Both employee and company contributions vest immediately. Charges to operations for our defined contribution plans were $43 million during both 2003 and 2002 and $41 million during 2001.</w:t>
      </w:r>
    </w:p>
    <w:p>
      <w:pPr>
        <w:spacing w:after="0" w:line="181"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Waste Management Holdings, Inc. (“WM Holdings”) and certain of its subsidiaries provided post-retirement health care and other benefits to eligible employees. In conjunction with our acquisition of WM Holdings in July 1998, we limited participation in these plans to participating retired employees as of December 31, 1998. The benefit obligation for these plans was $60 million and $55 million at December 31, 2003 and 2002, respectively. The discount rate assumptions used in the measurement of our benefit obligations as of December 31, 2003 and 2002 were 6.0% and 6.5%, respectively. The accrued benefit liability as of December 31, 2003 and 2002 was $64 million and $67 million, respectively, which is reflected in accrued liabilities in our consolidated balance sheets.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Participants in the WM Holdings post-retirement plan contribute to the cost of the benefit, and for retirees since January 1, 1992, our contribution is capped at between $0 and $600 per month per retiree, based on years of service. For measurement purposes, a 10.5% annual rate of increase in the per capita cost of covered health care claims was assumed for 2003 (being an average of the rate used by all plans); the rate was assumed to decrease to 5.5% in 2008 and remain at that level thereafter.</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1% change in assumed health care cost trend rates has no significant effect on total service and interest cost components of net periodic post-retirement health care costs. A 1% increase or decrease in assumed health care cost trend rates would increase or decrease the accumulated post-retirement benefit obligation by approximately $5 million.</w:t>
      </w:r>
    </w:p>
    <w:p>
      <w:pPr>
        <w:spacing w:after="0" w:line="221"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Our subsidiaries participate in various multi-employer employee benefit and pension plans and in two instances, site or contract specific plans (one of which terminated and completed liquidation in 2002), covering certain employees not covered under other pension plans. These multi-employer plans are generally defined contribution plans. Specific benefit levels are not negotiated with or known by the employer contributors to the pension plans. The projected benefit obligation, plan assets and unfunded liability of the multi-employer pension plans and the site or contract specific plans are not material. Contributions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$31 million during both 2003 and 2002 and $23 million during 2001 were charged to operations for subsidiaries’ defined benefit and contribution plans.</w:t>
      </w:r>
    </w:p>
    <w:p>
      <w:pPr>
        <w:spacing w:after="0" w:line="200" w:lineRule="exact"/>
        <w:rPr>
          <w:sz w:val="20"/>
          <w:szCs w:val="20"/>
          <w:color w:val="auto"/>
        </w:rPr>
      </w:pPr>
    </w:p>
    <w:p>
      <w:pPr>
        <w:spacing w:after="0" w:line="279"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closure, post-closure and remedial requirements, and other obligations. We obtain surety bonds as well as insurance policies from an affiliated entity that we have an investment in and account for under the equity method. As of December 31, 2003, we have approximately $1.0 billion of surety bonds and $17 million of insurance policies outstanding with this entity. We also use insurance policies issued by our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 Because virtually no claims have been made against these financial instruments in the past, and considering our current financial position, management does not expect that these instruments will have a material adverse effect on our consolidated financial statements. We have not experienced any unmanageable difficulty in obtaining the required financial assurance instruments for our current operations.</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During 2003, we entered into the LC and term loan agreements and the letter of credit facility to provide us with additional sources of capacity from which we may obtain letters of credit. See Note 7 for additional information related to these arrangements. Additionally in 2003, we guaranteed the debt of a newly formed surety company in order to assist in the establishment of that entity. The terms of this guarantee are further discussed within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this note. In an ongoing effort to mitigate risks of future cost increases and reductions in available capacity, we continue to evaluate various options to access cost-effective sources of financial assurance.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a broad range of insurance coverages for protection of our assets and operations from certain risks including pollution legal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for certain of our disposal sites, transfer stations, recycling and other facilities. Our current programs carry self-insurance exposures of up to $750,000, $20,000 and $2 million per incident with regards to workers compensation, auto and general liability, respectively. Self-insurance claims reserves acquired as part of our acquisition of WM Holdings in July 1998 were discounted at 4.25% and 5.0% at December 31, 2003 and 2002, respectively. The changes to our net insurance liabilities are summarized below (in millions):</w:t>
      </w:r>
    </w:p>
    <w:p>
      <w:pPr>
        <w:spacing w:after="0" w:line="3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Claims</w:t>
            </w:r>
          </w:p>
        </w:tc>
        <w:tc>
          <w:tcPr>
            <w:tcW w:w="280" w:type="dxa"/>
            <w:vAlign w:val="bottom"/>
          </w:tcPr>
          <w:p>
            <w:pPr>
              <w:spacing w:after="0"/>
              <w:rPr>
                <w:sz w:val="12"/>
                <w:szCs w:val="12"/>
                <w:color w:val="auto"/>
              </w:rPr>
            </w:pPr>
          </w:p>
        </w:tc>
        <w:tc>
          <w:tcPr>
            <w:tcW w:w="118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Insurance</w:t>
            </w:r>
          </w:p>
        </w:tc>
        <w:tc>
          <w:tcPr>
            <w:tcW w:w="280" w:type="dxa"/>
            <w:vAlign w:val="bottom"/>
          </w:tcPr>
          <w:p>
            <w:pPr>
              <w:spacing w:after="0"/>
              <w:rPr>
                <w:sz w:val="12"/>
                <w:szCs w:val="12"/>
                <w:color w:val="auto"/>
              </w:rPr>
            </w:pP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Claims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Liability</w:t>
            </w:r>
          </w:p>
        </w:tc>
        <w:tc>
          <w:tcPr>
            <w:tcW w:w="280" w:type="dxa"/>
            <w:vAlign w:val="bottom"/>
          </w:tcPr>
          <w:p>
            <w:pPr>
              <w:spacing w:after="0"/>
              <w:rPr>
                <w:sz w:val="15"/>
                <w:szCs w:val="15"/>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Recoveries</w:t>
            </w:r>
          </w:p>
        </w:tc>
        <w:tc>
          <w:tcPr>
            <w:tcW w:w="280" w:type="dxa"/>
            <w:vAlign w:val="bottom"/>
          </w:tcPr>
          <w:p>
            <w:pPr>
              <w:spacing w:after="0"/>
              <w:rPr>
                <w:sz w:val="15"/>
                <w:szCs w:val="15"/>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$ 597</w:t>
            </w:r>
          </w:p>
        </w:tc>
        <w:tc>
          <w:tcPr>
            <w:tcW w:w="3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$ 372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60"/>
              <w:spacing w:after="0"/>
              <w:rPr>
                <w:sz w:val="20"/>
                <w:szCs w:val="20"/>
                <w:color w:val="auto"/>
              </w:rPr>
            </w:pPr>
            <w:r>
              <w:rPr>
                <w:rFonts w:ascii="Arial" w:cs="Arial" w:eastAsia="Arial" w:hAnsi="Arial"/>
                <w:sz w:val="18"/>
                <w:szCs w:val="18"/>
                <w:color w:val="auto"/>
              </w:rPr>
              <w:t>Self-insurance expense incurred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Payments made to fund self-insurance related liabilities</w:t>
            </w:r>
          </w:p>
        </w:tc>
        <w:tc>
          <w:tcPr>
            <w:tcW w:w="11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60"/>
              <w:spacing w:after="0"/>
              <w:rPr>
                <w:sz w:val="20"/>
                <w:szCs w:val="20"/>
                <w:color w:val="auto"/>
              </w:rPr>
            </w:pPr>
            <w:r>
              <w:rPr>
                <w:rFonts w:ascii="Arial" w:cs="Arial" w:eastAsia="Arial" w:hAnsi="Arial"/>
                <w:sz w:val="18"/>
                <w:szCs w:val="18"/>
                <w:color w:val="auto"/>
              </w:rPr>
              <w:t>Increase in estimated recoverable claims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$ 643</w:t>
            </w:r>
          </w:p>
        </w:tc>
        <w:tc>
          <w:tcPr>
            <w:tcW w:w="3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$ 377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2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320" w:type="dxa"/>
            <w:vAlign w:val="bottom"/>
            <w:gridSpan w:val="2"/>
          </w:tcPr>
          <w:p>
            <w:pPr>
              <w:spacing w:after="0"/>
              <w:rPr>
                <w:sz w:val="20"/>
                <w:szCs w:val="20"/>
                <w:color w:val="auto"/>
              </w:rPr>
            </w:pPr>
            <w:r>
              <w:rPr>
                <w:rFonts w:ascii="Arial" w:cs="Arial" w:eastAsia="Arial" w:hAnsi="Arial"/>
                <w:sz w:val="18"/>
                <w:szCs w:val="18"/>
                <w:color w:val="auto"/>
              </w:rPr>
              <w:t>Current portion at December 31, 2003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$ 247</w:t>
            </w:r>
          </w:p>
        </w:tc>
        <w:tc>
          <w:tcPr>
            <w:tcW w:w="3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$ 128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Long-term portion at December 31, 2003</w:t>
            </w:r>
          </w:p>
        </w:tc>
        <w:tc>
          <w:tcPr>
            <w:tcW w:w="7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$ 396</w:t>
            </w:r>
          </w:p>
        </w:tc>
        <w:tc>
          <w:tcPr>
            <w:tcW w:w="3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$ 249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potential recoveries from the liquidation, it is unlikely that events relating to Reliance will have a material adverse impact on our financial statements.</w:t>
      </w:r>
    </w:p>
    <w:p>
      <w:pPr>
        <w:spacing w:after="0" w:line="194"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 Rental expense for leased properties was $174 million, $166 million and $162 million during 2003, 2002 and 2001, respectively.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primarily include rents under long-term operating leases. Contractual payments due during the next five years and thereafter on long-term operating lease obligations are noted below (in millions). Our minimum contractual payments for lease agreements during future periods is significantly less than current year rent expense because a significant portion of our lease agreements have month-to-month lease terms.</w:t>
      </w:r>
    </w:p>
    <w:p>
      <w:pPr>
        <w:spacing w:after="0" w:line="378"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480" w:type="dxa"/>
            <w:vAlign w:val="bottom"/>
          </w:tcPr>
          <w:p>
            <w:pPr>
              <w:jc w:val="right"/>
              <w:ind w:right="42"/>
              <w:spacing w:after="0"/>
              <w:rPr>
                <w:sz w:val="20"/>
                <w:szCs w:val="20"/>
                <w:color w:val="auto"/>
              </w:rPr>
            </w:pPr>
            <w:r>
              <w:rPr>
                <w:rFonts w:ascii="Arial" w:cs="Arial" w:eastAsia="Arial" w:hAnsi="Arial"/>
                <w:sz w:val="14"/>
                <w:szCs w:val="14"/>
                <w:b w:val="1"/>
                <w:bCs w:val="1"/>
                <w:color w:val="auto"/>
              </w:rPr>
              <w:t>2004</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Thereafter</w:t>
            </w:r>
          </w:p>
        </w:tc>
      </w:tr>
      <w:tr>
        <w:trPr>
          <w:trHeight w:val="95"/>
        </w:trPr>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316"/>
        </w:trPr>
        <w:tc>
          <w:tcPr>
            <w:tcW w:w="480" w:type="dxa"/>
            <w:vAlign w:val="bottom"/>
          </w:tcPr>
          <w:p>
            <w:pPr>
              <w:jc w:val="right"/>
              <w:ind w:right="82"/>
              <w:spacing w:after="0"/>
              <w:rPr>
                <w:sz w:val="20"/>
                <w:szCs w:val="20"/>
                <w:color w:val="auto"/>
              </w:rPr>
            </w:pPr>
            <w:r>
              <w:rPr>
                <w:rFonts w:ascii="Arial" w:cs="Arial" w:eastAsia="Arial" w:hAnsi="Arial"/>
                <w:sz w:val="18"/>
                <w:szCs w:val="18"/>
                <w:color w:val="auto"/>
                <w:w w:val="99"/>
              </w:rPr>
              <w:t>$81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jc w:val="right"/>
              <w:ind w:right="372"/>
              <w:spacing w:after="0"/>
              <w:rPr>
                <w:sz w:val="20"/>
                <w:szCs w:val="20"/>
                <w:color w:val="auto"/>
              </w:rPr>
            </w:pPr>
            <w:r>
              <w:rPr>
                <w:rFonts w:ascii="Arial" w:cs="Arial" w:eastAsia="Arial" w:hAnsi="Arial"/>
                <w:sz w:val="18"/>
                <w:szCs w:val="18"/>
                <w:color w:val="auto"/>
              </w:rPr>
              <w:t>$230</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long-term commitments </w:t>
      </w:r>
      <w:r>
        <w:rPr>
          <w:rFonts w:ascii="Arial" w:cs="Arial" w:eastAsia="Arial" w:hAnsi="Arial"/>
          <w:sz w:val="18"/>
          <w:szCs w:val="18"/>
          <w:color w:val="auto"/>
        </w:rPr>
        <w:t>— We have the following unconditional purchase obligations.</w:t>
      </w:r>
    </w:p>
    <w:p>
      <w:pPr>
        <w:spacing w:after="0" w:line="225" w:lineRule="exact"/>
        <w:rPr>
          <w:sz w:val="20"/>
          <w:szCs w:val="20"/>
          <w:color w:val="auto"/>
        </w:rPr>
      </w:pPr>
    </w:p>
    <w:p>
      <w:pPr>
        <w:ind w:left="460" w:right="580" w:hanging="101"/>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Equipment </w:t>
      </w:r>
      <w:r>
        <w:rPr>
          <w:rFonts w:ascii="Arial" w:cs="Arial" w:eastAsia="Arial" w:hAnsi="Arial"/>
          <w:sz w:val="16"/>
          <w:szCs w:val="16"/>
          <w:color w:val="auto"/>
        </w:rPr>
        <w:t>— We have agreements that require us to purchase a minimum number of containers from certain vendors. We enter into these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ensure that we receive competitive prices for equipment used in our operations. These agreements extend through 2007.</w:t>
      </w:r>
    </w:p>
    <w:p>
      <w:pPr>
        <w:spacing w:after="0" w:line="166"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We have fuel purchase agreements with select counterparties expiring at various dates through 2010 that require us to purchase a minimum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gallons. These agreements are primarily established based on the anticipated needs of each of our operating Groups. Under our fuel take-or-pay contracts, we are generally obligated to pay for a minimum number of gallons at either a stated or market-driven rate even if such quantities are not required in our operations.</w:t>
      </w:r>
    </w:p>
    <w:p>
      <w:pPr>
        <w:spacing w:after="0" w:line="224" w:lineRule="exact"/>
        <w:rPr>
          <w:rFonts w:ascii="Arial" w:cs="Arial" w:eastAsia="Arial" w:hAnsi="Arial"/>
          <w:sz w:val="18"/>
          <w:szCs w:val="18"/>
          <w:color w:val="auto"/>
        </w:rPr>
      </w:pPr>
    </w:p>
    <w:p>
      <w:pPr>
        <w:ind w:left="460" w:right="280" w:hanging="101"/>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Disposal </w:t>
      </w:r>
      <w:r>
        <w:rPr>
          <w:rFonts w:ascii="Arial" w:cs="Arial" w:eastAsia="Arial" w:hAnsi="Arial"/>
          <w:sz w:val="18"/>
          <w:szCs w:val="18"/>
          <w:color w:val="auto"/>
        </w:rPr>
        <w:t>— We have several agreements expiring at various dates through 2019 that require us to dispose of a minimum number of tons at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facilities. Under these put-or-pay agreements, we are required to pay for the agreed upon minimum volumes regardless of the actual number of tons placed at the facilities.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460" w:right="180" w:hanging="101"/>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Waste Paper </w:t>
      </w:r>
      <w:r>
        <w:rPr>
          <w:rFonts w:ascii="Arial" w:cs="Arial" w:eastAsia="Arial" w:hAnsi="Arial"/>
          <w:sz w:val="18"/>
          <w:szCs w:val="18"/>
          <w:color w:val="auto"/>
        </w:rPr>
        <w:t>— We are a party to a waste paper purchase agreement that expires in 2009 that requires us to purchase a minimum number of tons of waste</w:t>
      </w:r>
      <w:r>
        <w:rPr>
          <w:rFonts w:ascii="Arial" w:cs="Arial" w:eastAsia="Arial" w:hAnsi="Arial"/>
          <w:sz w:val="18"/>
          <w:szCs w:val="18"/>
          <w:i w:val="1"/>
          <w:iCs w:val="1"/>
          <w:color w:val="auto"/>
        </w:rPr>
        <w:t xml:space="preserve"> </w:t>
      </w:r>
      <w:r>
        <w:rPr>
          <w:rFonts w:ascii="Arial" w:cs="Arial" w:eastAsia="Arial" w:hAnsi="Arial"/>
          <w:sz w:val="18"/>
          <w:szCs w:val="18"/>
          <w:color w:val="auto"/>
        </w:rPr>
        <w:t>paper from the counterparty each year. The cost per ton of waste paper purchased is based on market prices and the delivery of the product to our customers.</w:t>
      </w:r>
    </w:p>
    <w:p>
      <w:pPr>
        <w:spacing w:after="0" w:line="22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unconditional purchase obligations are generally quantity driven. We have therefore made estimates of our future purchase obligations based on the current underlying market values of the products or services. Estimates of our contractual obligations for the commitments described above during the next five years and thereafter are noted in the table below (in millions).</w:t>
      </w:r>
    </w:p>
    <w:p>
      <w:pPr>
        <w:spacing w:after="0" w:line="200" w:lineRule="exact"/>
        <w:rPr>
          <w:sz w:val="20"/>
          <w:szCs w:val="20"/>
          <w:color w:val="auto"/>
        </w:rPr>
      </w:pPr>
    </w:p>
    <w:p>
      <w:pPr>
        <w:spacing w:after="0" w:line="206" w:lineRule="exact"/>
        <w:rPr>
          <w:sz w:val="20"/>
          <w:szCs w:val="20"/>
          <w:color w:val="auto"/>
        </w:rPr>
      </w:pPr>
    </w:p>
    <w:tbl>
      <w:tblPr>
        <w:tblLayout w:type="fixed"/>
        <w:tblInd w:w="3440" w:type="dxa"/>
        <w:tblCellMar>
          <w:top w:w="0" w:type="dxa"/>
          <w:left w:w="0" w:type="dxa"/>
          <w:bottom w:w="0" w:type="dxa"/>
          <w:right w:w="0" w:type="dxa"/>
        </w:tblCellMar>
      </w:tblPr>
      <w:tr>
        <w:trPr>
          <w:trHeight w:val="174"/>
        </w:trPr>
        <w:tc>
          <w:tcPr>
            <w:tcW w:w="600" w:type="dxa"/>
            <w:vAlign w:val="bottom"/>
          </w:tcPr>
          <w:p>
            <w:pPr>
              <w:jc w:val="right"/>
              <w:ind w:right="102"/>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Thereafter</w:t>
            </w:r>
          </w:p>
        </w:tc>
      </w:tr>
      <w:tr>
        <w:trPr>
          <w:trHeight w:val="95"/>
        </w:trPr>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316"/>
        </w:trPr>
        <w:tc>
          <w:tcPr>
            <w:tcW w:w="600" w:type="dxa"/>
            <w:vAlign w:val="bottom"/>
          </w:tcPr>
          <w:p>
            <w:pPr>
              <w:jc w:val="right"/>
              <w:ind w:right="102"/>
              <w:spacing w:after="0"/>
              <w:rPr>
                <w:sz w:val="20"/>
                <w:szCs w:val="20"/>
                <w:color w:val="auto"/>
              </w:rPr>
            </w:pPr>
            <w:r>
              <w:rPr>
                <w:rFonts w:ascii="Arial" w:cs="Arial" w:eastAsia="Arial" w:hAnsi="Arial"/>
                <w:sz w:val="18"/>
                <w:szCs w:val="18"/>
                <w:color w:val="auto"/>
                <w:w w:val="99"/>
              </w:rPr>
              <w:t>$204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$306</w:t>
            </w:r>
          </w:p>
        </w:tc>
      </w:tr>
    </w:tbl>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225" w:lineRule="exact"/>
        <w:rPr>
          <w:sz w:val="20"/>
          <w:szCs w:val="20"/>
          <w:color w:val="auto"/>
        </w:rPr>
      </w:pPr>
    </w:p>
    <w:p>
      <w:pPr>
        <w:jc w:val="both"/>
        <w:ind w:left="460" w:right="60" w:hanging="101"/>
        <w:spacing w:after="0" w:line="255"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WM Holdings, one of WMI’s wholly-owned subsidiaries, has fully and unconditionally guaranteed WMI’s senior indebtedness that matures through 2032. WMI has fully and unconditionally guaranteed the senior indebtedness of WM Holdings that matures through 2026 and WM Holdings’ 5.75% convertible subordinated notes due 2005. Performance under these guarantee agreements would be required if either party defaulted on their respective obligations. No additional liability has been recorded for these guarantees because the underlying obligations are reflected in our consolidated balance sheets. See Note 22 for further information.</w:t>
      </w:r>
    </w:p>
    <w:p>
      <w:pPr>
        <w:spacing w:after="0" w:line="223" w:lineRule="exact"/>
        <w:rPr>
          <w:rFonts w:ascii="Arial" w:cs="Arial" w:eastAsia="Arial" w:hAnsi="Arial"/>
          <w:sz w:val="18"/>
          <w:szCs w:val="18"/>
          <w:color w:val="auto"/>
        </w:rPr>
      </w:pPr>
    </w:p>
    <w:p>
      <w:pPr>
        <w:ind w:left="460" w:right="80" w:hanging="101"/>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consolidated balance sheets. See Note 7 for information related to the balances and maturities of our tax-exempt bonds.</w:t>
      </w:r>
    </w:p>
    <w:p>
      <w:pPr>
        <w:spacing w:after="0" w:line="224" w:lineRule="exact"/>
        <w:rPr>
          <w:rFonts w:ascii="Arial" w:cs="Arial" w:eastAsia="Arial" w:hAnsi="Arial"/>
          <w:sz w:val="18"/>
          <w:szCs w:val="18"/>
          <w:color w:val="auto"/>
        </w:rPr>
      </w:pPr>
    </w:p>
    <w:p>
      <w:pPr>
        <w:ind w:left="460" w:right="200" w:hanging="101"/>
        <w:spacing w:after="0" w:line="298"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have guaranteed certain financial obligations of unconsolidated entities. The guarantees are primarily for the benefit of entities that we account for under the equity method of accounting. The related obligations, which mature through 2011, are not recorded on our consolidated balance sheets, and we have not recorded any liability for these guarantees. As of December 31, 2003, our maximum future payments associated with these guarantees is approximately $35 million. However, we have ongoing projects with the entities and believe that our performance under these guarantees is not likely.</w:t>
      </w:r>
    </w:p>
    <w:p>
      <w:pPr>
        <w:spacing w:after="0" w:line="193" w:lineRule="exact"/>
        <w:rPr>
          <w:rFonts w:ascii="Arial" w:cs="Arial" w:eastAsia="Arial" w:hAnsi="Arial"/>
          <w:sz w:val="16"/>
          <w:szCs w:val="16"/>
          <w:color w:val="auto"/>
        </w:rPr>
      </w:pPr>
    </w:p>
    <w:p>
      <w:pPr>
        <w:ind w:left="460" w:right="400" w:hanging="101"/>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2003, we issued a $25.6 million letter of credit to support the debt of a surety bonding company. The guaranteed obligation is included as a component of long-term debt in our consolidated balance sheet. See Note 7 for additional discussion about our financial interest in this surety bonding company.</w:t>
      </w:r>
    </w:p>
    <w:p>
      <w:pPr>
        <w:spacing w:after="0" w:line="221" w:lineRule="exact"/>
        <w:rPr>
          <w:rFonts w:ascii="Arial" w:cs="Arial" w:eastAsia="Arial" w:hAnsi="Arial"/>
          <w:sz w:val="18"/>
          <w:szCs w:val="18"/>
          <w:color w:val="auto"/>
        </w:rPr>
      </w:pPr>
    </w:p>
    <w:p>
      <w:pPr>
        <w:ind w:left="460" w:hanging="101"/>
        <w:spacing w:after="0" w:line="283"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Oakmont Asset Trust, an independent, statutory Delaware trust (“Oakmont”), issued $350 million of 4.514% fixed rate notes due in 2008. The proceeds of the issuance were loaned to a letter of credit provider, who pays a variable interest rate on its loan. The note receivable held by Oakmont is collateral for the repayment of letters of credit issued by the letter of credit provider for our benefit. Oakmont entered into interest rate swaps to exchange the floating rate it receives from the letter of credit provider for fixed interest rate cash flows to be used as payment on the fixed rate notes due in 2008. We entered into a reimbursement agreement with Oakmont pursuant to which we must reimburse Oakmont for any payments it makes to the letter of credit provider for draws on letters of credit issued for our benefit; our obligations under the reimbursement agreement are guaranteed by WM Holdings. WMI and</w:t>
      </w:r>
    </w:p>
    <w:p>
      <w:pPr>
        <w:spacing w:after="0" w:line="1"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WM Holdings also entered into guarantees pursuant to which they guaranteed the interest rate swap payments made by Oakmont to the swap counterparties. The probability of loss for these guarantees was determined to be remote and the fair value of such guarantees is immaterial to our financial position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460" w:hanging="101"/>
        <w:spacing w:after="0" w:line="298"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value of certain homeowners’ properties that are adjacent to our landfills. These guarantee agreements extend over the life of the landfill. Under these agreements, we would be responsible for the difference between the sale value and the market value of the homeowners’ properties, if any. We do not believe it is possible to determine the contingent obligation associated with these guarantees, but we do not believe it would have a material effect on our financial position or results of operations.</w:t>
      </w:r>
    </w:p>
    <w:p>
      <w:pPr>
        <w:spacing w:after="0" w:line="193" w:lineRule="exact"/>
        <w:rPr>
          <w:rFonts w:ascii="Arial" w:cs="Arial" w:eastAsia="Arial" w:hAnsi="Arial"/>
          <w:sz w:val="16"/>
          <w:szCs w:val="16"/>
          <w:color w:val="auto"/>
        </w:rPr>
      </w:pPr>
    </w:p>
    <w:p>
      <w:pPr>
        <w:ind w:left="460" w:right="80" w:hanging="101"/>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We do not believe that it is possible to determine the contingent obligations associated with these indemnities.</w:t>
      </w:r>
    </w:p>
    <w:p>
      <w:pPr>
        <w:spacing w:after="0" w:line="212" w:lineRule="exact"/>
        <w:rPr>
          <w:rFonts w:ascii="Arial" w:cs="Arial" w:eastAsia="Arial" w:hAnsi="Arial"/>
          <w:sz w:val="18"/>
          <w:szCs w:val="18"/>
          <w:color w:val="auto"/>
        </w:rPr>
      </w:pPr>
    </w:p>
    <w:p>
      <w:pPr>
        <w:jc w:val="both"/>
        <w:ind w:left="460" w:right="240" w:hanging="101"/>
        <w:spacing w:after="0" w:line="306"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WMI guarantees the service and lease obligations of certain of its subsidiaries. If a subsidiary fails to meet its contractual service or lease obligations as they come due, WMI has an unconditional obligation to perform on its behalf. No additional liability has been recorded for these guarantees because the subsidiaries’ obligations are properly accounted for as costs of operations as services are provided and operating or capital leases, as appropriate.</w:t>
      </w:r>
    </w:p>
    <w:p>
      <w:pPr>
        <w:spacing w:after="0" w:line="188" w:lineRule="exact"/>
        <w:rPr>
          <w:sz w:val="20"/>
          <w:szCs w:val="20"/>
          <w:color w:val="auto"/>
        </w:rPr>
      </w:pPr>
    </w:p>
    <w:p>
      <w:pPr>
        <w:ind w:right="840" w:firstLine="324"/>
        <w:spacing w:after="0" w:line="268" w:lineRule="auto"/>
        <w:rPr>
          <w:sz w:val="20"/>
          <w:szCs w:val="20"/>
          <w:color w:val="auto"/>
        </w:rPr>
      </w:pPr>
      <w:r>
        <w:rPr>
          <w:rFonts w:ascii="Arial" w:cs="Arial" w:eastAsia="Arial" w:hAnsi="Arial"/>
          <w:sz w:val="18"/>
          <w:szCs w:val="18"/>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213"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Our business is intrinsically connected with the protection of the environment. As such, a significant portion of our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 For more information regarding environmental matters, see Note 4.</w:t>
      </w:r>
    </w:p>
    <w:p>
      <w:pPr>
        <w:spacing w:after="0" w:line="19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2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been identified as a PRP in a number of governmental investigations and actions relating to waste disposal sites that may be subject to remedial action under the Comprehensive Environmental Response, Compensation and Liabilities Act of 1980, as amended (“CERCLA” or “Superfund”), or similar state laws. 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indentified as a PRP,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From time to time, we are named as defendants in personal injury and property damage lawsuits, including purported class actions, on the basis of having owned, operated or transported waste to a disposal facility that is alleged to have contaminated the environment or, in certain cases, conducted environmental remediation activities at sites. Some of the lawsuits may seek to have us pay the costs of groundwater monitoring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4.</w:t>
      </w:r>
    </w:p>
    <w:p>
      <w:pPr>
        <w:spacing w:after="0" w:line="25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December 1999, an individual brought an action against the Company, five former officers of WM Holdings, and WM Holdings’ former</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In May 2001, the court granted in part and denied in part the defendants’ motion to dismiss and in August 2003 denied defendants’ motion for summary judgment. The extent of possible damages, if any, in this action cannot yet be determined.</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November 7, 2001, we announced that we had reached a settlement agreement with the plaintiff in a class action lawsuit arising from events related to our earnings announcements in July and August of 1999. The settlement agreement resolved all claims in the lawsuit against us and our current and former officers and directors. The agreement provided for payment of $457 million to members of the class and for us to consent, for settlement purposes, to the certification of a class of purchasers or acquirers of our securities from June 11, 1998 through November 9, 1999. The payment, including interest accrued at the Federal Funds rate, was made on September 16, 2003.</w:t>
      </w:r>
    </w:p>
    <w:p>
      <w:pPr>
        <w:spacing w:after="0" w:line="22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 former participant in WM Holdings’ ERISA plans filed appeals relating to the settlement in March 2003, which were remanded back to the trial court where a settlement among plaintiffs’ counsel and the appellant was approved by the court. This settlement requires no additional commitment from us. This former participant and another individual also filed a separate case in Washington, D.C. against us and others, attempting to increase the recovery of a class of ERISA plan participants based on allegations related to both the events alleged in, and the settlements relating to, the class action against WM Holdings that was settled in 1998 and the complaint in this action. Additionally, a single group of stockholders opted not to participate in the settlement of the class action lawsuit and filed an individual lawsuit against us. The Company intends to defend itself vigorously in all of these remaining proceedings.</w:t>
      </w:r>
    </w:p>
    <w:p>
      <w:pPr>
        <w:spacing w:after="0" w:line="20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Also on November 7, 2001, we announced that we would receive $20 million (less fees of approximately $5 million awarded to counsel for the derivative plaintiffs) as a result of a settlement reached between the derivative plaintiffs and Arthur Andersen in a stockholder derivative suit filed on July 3, 2001 in Texas state court against Arthur Andersen, as our former independent auditor. The derivative plaintiffs alleged, among other things, that Arthur Andersen engaged in professional malpractice in connection with certain services that it performed for us. Arthur Andersen informed us that neither the complaint nor the settlement affected its independence in 2001 or prior years, when Arthur Andersen was serving as our independent auditor. The settlement was approved in May 2002. Arthur Andersen’s payment became due and was paid at the same time our payment to the plaintiffs in settlement of the class action lawsuit described above became due.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reversed in the first quarter of 2004 by an intermediate appellate court, and we are appealing that decision. The other case also filed in state court is stayed pending resolution of the first case. The third case is pending in federal court and the parties await a ruling on the Company’s motion to dismiss. We intend to continue to vigorously defend these claims.</w:t>
      </w:r>
    </w:p>
    <w:p>
      <w:pPr>
        <w:spacing w:after="0" w:line="20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business is intrinsically connected with the protection of the environment, and there is the potential for unintended or unpermitted noncompliance with environmental laws or regulations. From time to time, we pay fines or penalties in environmental proceedings relating primarily to waste treatment, storage or disposal facilities. As of December 31, 2003, there were nine proceedings involving our subsidiaries where the sanctions involved in each could potentially exceed $100,000. The matters involve allegations that subsidiaries (i) operated a waste-to-energy facility that, as a result of intermittent and isolated equipment malfunctions, exceeded emission limits and failed to meet monitoring requirements, (ii) are responsible for remediation of landfill gas and chemical compounds required pursuant to a Unilateral Administrative Order associated with an NPL site, (iii) are responsible for late performance of work required under a Unilateral Administrative Order, (iv) improperly operated a solid waste landfill and caused excess odors, (v) improperly operated a solid waste landfill by failing to maintain required records, properly place and cover waste and adhere to proper leachate levels, (vi) violated the state’s clean water act, (vii) did not comply with air regulations requiring control of emissions at a closed landfill, (viii) improperly operated a solid waste landfill by failing to maintain required leachate levels and erosion control and failing to properly operate and monitor gas wells and adequately control odors and stormwater, and (ix) failed to comply with an operating permit for a solid waste incineration unit by exceeding permit limits for capacity, temperature and waste charging rates and record keeping and notifications associated with those permit violations. We do not believe that the fines or other penalties in any of these matters will, individually or in the aggregate, have a material adverse effect on our financial condition or results of operations.</w:t>
      </w:r>
    </w:p>
    <w:p>
      <w:pPr>
        <w:spacing w:after="0" w:line="20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these matters may ultimately have a material adverse impact on our financial condition or results of operations in one or more future periods.</w:t>
      </w:r>
    </w:p>
    <w:p>
      <w:pPr>
        <w:spacing w:after="0" w:line="22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are also currently involved in other routine civil litigation and governmental proceedings relating to the conduct of our business. We do not believe that any of these routine matters will have a material adverse impact on our consolidated financial statements.</w:t>
      </w:r>
    </w:p>
    <w:p>
      <w:pPr>
        <w:spacing w:after="0" w:line="21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under audit by the Internal Revenue Service (“IRS”) and from time to time are audited by other taxing authorities. We fully</w:t>
      </w:r>
      <w:r>
        <w:rPr>
          <w:rFonts w:ascii="Arial" w:cs="Arial" w:eastAsia="Arial" w:hAnsi="Arial"/>
          <w:sz w:val="16"/>
          <w:szCs w:val="16"/>
          <w:i w:val="1"/>
          <w:iCs w:val="1"/>
          <w:color w:val="auto"/>
        </w:rPr>
        <w:t xml:space="preserve"> </w:t>
      </w:r>
      <w:r>
        <w:rPr>
          <w:rFonts w:ascii="Arial" w:cs="Arial" w:eastAsia="Arial" w:hAnsi="Arial"/>
          <w:sz w:val="16"/>
          <w:szCs w:val="16"/>
          <w:color w:val="auto"/>
        </w:rPr>
        <w:t>cooperate with all audits, but defend our positions vigorously. Our audits are in various stages of completion. Specifically, we are in the process of concluding the appeals phase of IRS audits for the years 1989 to 1992 and 1993 to 1996. The audits for these years should be completed within the next 18 months. In addition, we are in the examination phase of an IRS audit for the years 1997 to 2000. This audit should also be completed within the next 18 months. To provide for potential tax exposures, we maintain an allowance for tax contingencies, the balance of which management believes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adequate. Results of audit assessments by taxing authorities could have a material effect on our quarterly or annual cash flows as well as our results of operations over the next 18 months as these audits are completed. However, we do not believe that any of these matters will have a material adverse effect on our results of operations.</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2002 we organized the Company into market areas to better align our collection, transport, recycling and disposal resources. As part of the restructuring, we reduced the number of field layers of management and eliminated approximately 1,900 field-level administrative and operational positions. In the first quarter of 2002, we recorded $37 million of pre-tax charges for costs associated with the implementation of the new structure. An additional $1 million was recorded in the third quarter of 2002. These charges included $36 million for employee severance and benefit costs and $2 million related to abandoned operating lease agreements. As of December 31, 2003, substantially all payments related to this restructuring had been made. We do not expect to incur any additional costs associated with this restructuring.</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February 2003 we reduced the number of market areas that make up our geographic operating Groups to 66 from a total of 91 at December 31, 2002, and reduced certain overhead positions to further streamline our organization. Our market areas all report to one of our five Groups that divide our operations geographically into the Eastern, Midwest, Southern, Western and Canadian operations. We manage and evaluate our operations through these five geographic operating Groups and our Recycling and Wheelabrator Groups, which represent our reporting segments as further described in Note 20. We believe that this structure results in a more effective utilization of resources and enables us to serve our customers more efficiently. In connection with the restructuring, we reduced our workforce by about 700 employees and 270 contract workers. We recorded $20 million of pre-tax charges for costs associated with our February 2003 restructuring and workforce reduction, all of which was associated with employee severance and benefit costs.</w:t>
      </w:r>
    </w:p>
    <w:p>
      <w:pPr>
        <w:spacing w:after="0" w:line="199"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The operational efficiencies provided by these organizational changes and a focus on fully utilizing the capabilities of our information technology resources enabled us to further reduce our workforce in June 2003. This workforce reduction resulted in the elimination of an additional 600 employee positions and 200 contract worker positions. We recorded $24 million of pre-tax charges for costs associated with the June 2003 workforce reduction.</w:t>
      </w:r>
    </w:p>
    <w:p>
      <w:pPr>
        <w:spacing w:after="0" w:line="18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incurred a total of approximately $44 million in employee severance and benefit costs for the 2003 restructuring and workforce reductions. We do not expect to incur any additional costs associated with the 2003 restructuring. The following table summarizes the total costs recorded for the year ended December 31, 2003 for each of our operating Groups (in millions):</w:t>
      </w:r>
    </w:p>
    <w:p>
      <w:pPr>
        <w:spacing w:after="0" w:line="200" w:lineRule="exact"/>
        <w:rPr>
          <w:sz w:val="20"/>
          <w:szCs w:val="20"/>
          <w:color w:val="auto"/>
        </w:rPr>
      </w:pPr>
    </w:p>
    <w:p>
      <w:pPr>
        <w:spacing w:after="0" w:line="21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Canadian</w:t>
            </w:r>
          </w:p>
        </w:tc>
        <w:tc>
          <w:tcPr>
            <w:tcW w:w="2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Eastern</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Midwest</w:t>
            </w:r>
          </w:p>
        </w:tc>
        <w:tc>
          <w:tcPr>
            <w:tcW w:w="2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Southern</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Western</w:t>
            </w:r>
          </w:p>
        </w:tc>
        <w:tc>
          <w:tcPr>
            <w:tcW w:w="2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Wheelabrator</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Recycling</w:t>
            </w:r>
          </w:p>
        </w:tc>
        <w:tc>
          <w:tcPr>
            <w:tcW w:w="2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Corporate</w:t>
            </w:r>
          </w:p>
        </w:tc>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79"/>
              </w:rPr>
              <w:t>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-35560</wp:posOffset>
            </wp:positionV>
            <wp:extent cx="13271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323"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During the year ended December 31, 2003 we paid approximately $18 million of the employee severance and benefit costs incurred as a result of the February 2003 restructuring and workforce reduction. As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December 31, 2003, $2 million of the related accrual remained for employee severance and benefit costs. The length of time we are obligated to make severance payments to employees associated with the February 2003 reorganization and workforce reduction varies, with the longest period of obligation ending in the first quarter of 2005.</w:t>
      </w:r>
    </w:p>
    <w:p>
      <w:pPr>
        <w:spacing w:after="0" w:line="221" w:lineRule="exact"/>
        <w:rPr>
          <w:sz w:val="20"/>
          <w:szCs w:val="20"/>
          <w:color w:val="auto"/>
        </w:rPr>
      </w:pPr>
    </w:p>
    <w:p>
      <w:pPr>
        <w:jc w:val="both"/>
        <w:ind w:right="180" w:firstLine="324"/>
        <w:spacing w:after="0" w:line="298" w:lineRule="auto"/>
        <w:rPr>
          <w:sz w:val="20"/>
          <w:szCs w:val="20"/>
          <w:color w:val="auto"/>
        </w:rPr>
      </w:pPr>
      <w:r>
        <w:rPr>
          <w:rFonts w:ascii="Arial" w:cs="Arial" w:eastAsia="Arial" w:hAnsi="Arial"/>
          <w:sz w:val="16"/>
          <w:szCs w:val="16"/>
          <w:color w:val="auto"/>
        </w:rPr>
        <w:t>As of December 31, 2003, we paid approximately $15 million of the employee severance and benefit costs incurred as a result of the June 2003 workforce reduction. Approximately $9 million remains accrued as of December 31, 2003 for employee severance and benefit costs incurred as a result of the June 2003 workforce reduction. The length of time we are obligated to make severance payments to employees associated with the June 2003 workforce reduction varies, with the longest period of obligation ending in the third quarter of 2005.</w:t>
      </w:r>
    </w:p>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2003, 2002 and 2001, we recorded certain charges and credits for asset impairments and unusual items as follows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6"/>
          </w:tcPr>
          <w:p>
            <w:pPr>
              <w:ind w:left="240"/>
              <w:spacing w:after="0"/>
              <w:rPr>
                <w:sz w:val="20"/>
                <w:szCs w:val="20"/>
                <w:color w:val="auto"/>
              </w:rPr>
            </w:pPr>
            <w:r>
              <w:rPr>
                <w:rFonts w:ascii="Arial" w:cs="Arial" w:eastAsia="Arial" w:hAnsi="Arial"/>
                <w:sz w:val="14"/>
                <w:szCs w:val="14"/>
                <w:b w:val="1"/>
                <w:bCs w:val="1"/>
                <w:color w:val="auto"/>
                <w:w w:val="87"/>
              </w:rPr>
              <w:t>Years Ended December 31,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9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12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6"/>
              </w:rPr>
              <w:t>2001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588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1"/>
              </w:rPr>
              <w:t>Losses (gains) on businesses sold and held-for-sale adjustments for businesses</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8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to be sold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w w:val="85"/>
              </w:rPr>
              <w:t>(13)(a)</w:t>
            </w:r>
          </w:p>
        </w:tc>
        <w:tc>
          <w:tcPr>
            <w:tcW w:w="260" w:type="dxa"/>
            <w:vAlign w:val="bottom"/>
            <w:shd w:val="clear" w:color="auto" w:fill="EEEEEE"/>
          </w:tcPr>
          <w:p>
            <w:pPr>
              <w:spacing w:after="0"/>
              <w:rPr>
                <w:sz w:val="19"/>
                <w:szCs w:val="19"/>
                <w:color w:val="auto"/>
              </w:rPr>
            </w:pPr>
          </w:p>
        </w:tc>
        <w:tc>
          <w:tcPr>
            <w:tcW w:w="122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$(19)(b)</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Changes in litigation settlements and estimates</w:t>
            </w:r>
          </w:p>
        </w:tc>
        <w:tc>
          <w:tcPr>
            <w:tcW w:w="360" w:type="dxa"/>
            <w:vAlign w:val="bottom"/>
          </w:tcPr>
          <w:p>
            <w:pPr>
              <w:spacing w:after="0"/>
              <w:rPr>
                <w:sz w:val="18"/>
                <w:szCs w:val="18"/>
                <w:color w:val="auto"/>
              </w:rPr>
            </w:pPr>
          </w:p>
        </w:tc>
        <w:tc>
          <w:tcPr>
            <w:tcW w:w="60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362(d)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(7)(e)</w:t>
            </w:r>
          </w:p>
        </w:tc>
        <w:tc>
          <w:tcPr>
            <w:tcW w:w="2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32"/>
              <w:spacing w:after="0"/>
              <w:rPr>
                <w:sz w:val="20"/>
                <w:szCs w:val="20"/>
                <w:color w:val="auto"/>
              </w:rPr>
            </w:pPr>
            <w:r>
              <w:rPr>
                <w:rFonts w:ascii="Arial" w:cs="Arial" w:eastAsia="Arial" w:hAnsi="Arial"/>
                <w:sz w:val="18"/>
                <w:szCs w:val="18"/>
                <w:color w:val="auto"/>
              </w:rPr>
              <w:t>(8)</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380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Related to gains realized on divestitures with the most significant portions derived from our Western and Southern Groups.</w:t>
      </w:r>
    </w:p>
    <w:p>
      <w:pPr>
        <w:spacing w:after="0" w:line="252"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Due primarily to (i) an $11 million contingency payment we received related to a non-revenue producing property written down as an asset impairment in 1998 and (ii) a net gain of $8 million relating to divestitures.</w:t>
      </w:r>
    </w:p>
    <w:p>
      <w:pPr>
        <w:spacing w:after="0" w:line="212"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Consisted of held-for-sale impairment losses for international operations outside of North America of approximately $15 million along with an impairment loss for an investment in an operation in Mexico of approximately $28 million. In addition, we recorded a net gain of approximately $24 million from our re-evaluation of our business alternatives related to our IPPs during the third quarter of 2001 and a gain of approximately $1 million for other held-for-sale impairment adjustments.</w:t>
      </w:r>
    </w:p>
    <w:p>
      <w:pPr>
        <w:spacing w:after="0" w:line="224"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Primarily attributable to agreements that were reached to settle the stockholder class action lawsuit filed against the Company in July 1999 alleging violations of the federal securities laws and the stockholder derivative suit against our auditor for the period, Arthur Andersen LLP, which resulted in a net charge of $374 million.</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Primarily comprised of reversals of loss contract accruals that were initially recognized as a charge to asset impairments and unusual items.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were as follows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w w:val="94"/>
              </w:rPr>
              <w:t>Minimum pension liability adjustment, net of taxes of $1 million for each of 2002 and</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2001</w:t>
            </w:r>
          </w:p>
        </w:tc>
        <w:tc>
          <w:tcPr>
            <w:tcW w:w="68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 —</w:t>
            </w: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5"/>
              </w:rPr>
              <w:t>Accumulated unrealized gain (loss) on derivative instruments, net of a tax benefit of</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120"/>
              <w:spacing w:after="0"/>
              <w:rPr>
                <w:sz w:val="20"/>
                <w:szCs w:val="20"/>
                <w:color w:val="auto"/>
              </w:rPr>
            </w:pPr>
            <w:r>
              <w:rPr>
                <w:rFonts w:ascii="Arial" w:cs="Arial" w:eastAsia="Arial" w:hAnsi="Arial"/>
                <w:sz w:val="18"/>
                <w:szCs w:val="18"/>
                <w:color w:val="auto"/>
              </w:rPr>
              <w:t>$27 for 2003 and $26 million for 2002 and tax expense of $1 million for 2001</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w w:val="94"/>
              </w:rPr>
              <w:t>Accumulated unrealized gain on marketable securities, net of taxes of $0 for each of</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2003 and 2002 and $4 million for 2001</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7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80"/>
              </w:rPr>
              <w:t>(139)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$(53)</w:t>
            </w: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0"/>
              </w:rPr>
              <w:t>(179)</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5"/>
              </w:rPr>
              <w:t>(148)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Dividends</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has ten million shares of authorized preferred stock, $0.01 par value, none of which is currently outstanding.</w:t>
      </w:r>
    </w:p>
    <w:p>
      <w:pPr>
        <w:spacing w:after="0" w:line="221"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We declared cash dividends of $0.01 per common share, or approximately $6 million, during each of 2003, 2002 and 2001. In August 2003, we announced that the Board of Directors approved a quarterly dividend program beginning in 2004. It is expected that the dividend will be $0.1875 per share per quarter, or $0.75 per share annually. The first quarterly dividend of $0.1875 per share will be paid on March 25, 2004 to stockholders of record as of March 1, 2004. As of December 31, 2003, we have the ability, under our most restrictive loan covenant financial tests, to make dividend payments and repurchase shares in the aggregate amount of up to approximately $600 million, plus 25% of future net income.</w:t>
      </w:r>
    </w:p>
    <w:p>
      <w:pPr>
        <w:spacing w:after="0" w:line="19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February 2002 we announced that our Board of Directors had approved a stock repurchase program for up to $1 billion in annual repurchases for each of 2002, 2003 and 2004, to be implemented at management’s discretion. Any purchases may be made in either open market or privately negotiated transactions primarily using cash flows from operations.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activity to date for our stock repurchase program (in millions, except shares in thousands and price per share).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3"/>
          </w:tcPr>
          <w:p>
            <w:pPr>
              <w:ind w:left="920"/>
              <w:spacing w:after="0"/>
              <w:rPr>
                <w:sz w:val="20"/>
                <w:szCs w:val="20"/>
                <w:color w:val="auto"/>
              </w:rPr>
            </w:pPr>
            <w:r>
              <w:rPr>
                <w:rFonts w:ascii="Arial" w:cs="Arial" w:eastAsia="Arial" w:hAnsi="Arial"/>
                <w:sz w:val="14"/>
                <w:szCs w:val="14"/>
                <w:b w:val="1"/>
                <w:bCs w:val="1"/>
                <w:color w:val="auto"/>
              </w:rPr>
              <w:t>Agreement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w w:val="97"/>
              </w:rPr>
              <w:t>Common Stock</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8"/>
              </w:rPr>
              <w:t>Purchase</w:t>
            </w:r>
          </w:p>
        </w:tc>
        <w:tc>
          <w:tcPr>
            <w:tcW w:w="240" w:type="dxa"/>
            <w:vAlign w:val="bottom"/>
            <w:vMerge w:val="restart"/>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Settlement</w:t>
            </w:r>
          </w:p>
        </w:tc>
        <w:tc>
          <w:tcPr>
            <w:tcW w:w="240" w:type="dxa"/>
            <w:vAlign w:val="bottom"/>
            <w:vMerge w:val="restart"/>
          </w:tcPr>
          <w:p>
            <w:pPr>
              <w:spacing w:after="0"/>
              <w:rPr>
                <w:sz w:val="8"/>
                <w:szCs w:val="8"/>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160" w:type="dxa"/>
            <w:vAlign w:val="bottom"/>
            <w:gridSpan w:val="2"/>
          </w:tcPr>
          <w:p>
            <w:pPr>
              <w:ind w:left="460"/>
              <w:spacing w:after="0"/>
              <w:rPr>
                <w:sz w:val="20"/>
                <w:szCs w:val="20"/>
                <w:color w:val="auto"/>
              </w:rPr>
            </w:pPr>
            <w:r>
              <w:rPr>
                <w:rFonts w:ascii="Arial" w:cs="Arial" w:eastAsia="Arial" w:hAnsi="Arial"/>
                <w:sz w:val="14"/>
                <w:szCs w:val="14"/>
                <w:b w:val="1"/>
                <w:bCs w:val="1"/>
                <w:color w:val="auto"/>
              </w:rPr>
              <w:t>Transaction Type</w:t>
            </w: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Initiating Date</w:t>
            </w:r>
          </w:p>
        </w:tc>
        <w:tc>
          <w:tcPr>
            <w:tcW w:w="24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w w:val="92"/>
              </w:rPr>
              <w:t>Settlement Date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660" w:type="dxa"/>
            <w:vAlign w:val="bottom"/>
          </w:tcPr>
          <w:p>
            <w:pPr>
              <w:jc w:val="right"/>
              <w:ind w:right="612"/>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(Received)/Paid</w:t>
            </w:r>
          </w:p>
        </w:tc>
        <w:tc>
          <w:tcPr>
            <w:tcW w:w="24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95"/>
        </w:trPr>
        <w:tc>
          <w:tcPr>
            <w:tcW w:w="1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160" w:type="dxa"/>
            <w:vAlign w:val="bottom"/>
            <w:gridSpan w:val="2"/>
          </w:tcPr>
          <w:p>
            <w:pPr>
              <w:spacing w:after="0"/>
              <w:rPr>
                <w:sz w:val="20"/>
                <w:szCs w:val="20"/>
                <w:color w:val="auto"/>
              </w:rPr>
            </w:pPr>
            <w:r>
              <w:rPr>
                <w:rFonts w:ascii="Arial" w:cs="Arial" w:eastAsia="Arial" w:hAnsi="Arial"/>
                <w:sz w:val="18"/>
                <w:szCs w:val="18"/>
                <w:color w:val="auto"/>
              </w:rPr>
              <w:t>Private accelerated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140"/>
              <w:spacing w:after="0"/>
              <w:rPr>
                <w:sz w:val="20"/>
                <w:szCs w:val="20"/>
                <w:color w:val="auto"/>
              </w:rPr>
            </w:pPr>
            <w:r>
              <w:rPr>
                <w:rFonts w:ascii="Arial" w:cs="Arial" w:eastAsia="Arial" w:hAnsi="Arial"/>
                <w:sz w:val="18"/>
                <w:szCs w:val="18"/>
                <w:color w:val="auto"/>
              </w:rPr>
              <w:t>purchase (a)</w:t>
            </w:r>
          </w:p>
        </w:tc>
        <w:tc>
          <w:tcPr>
            <w:tcW w:w="1120" w:type="dxa"/>
            <w:vAlign w:val="bottom"/>
          </w:tcPr>
          <w:p>
            <w:pPr>
              <w:spacing w:after="0"/>
              <w:rPr>
                <w:sz w:val="20"/>
                <w:szCs w:val="20"/>
                <w:color w:val="auto"/>
              </w:rPr>
            </w:pPr>
            <w:r>
              <w:rPr>
                <w:rFonts w:ascii="Arial" w:cs="Arial" w:eastAsia="Arial" w:hAnsi="Arial"/>
                <w:sz w:val="18"/>
                <w:szCs w:val="18"/>
                <w:color w:val="auto"/>
              </w:rPr>
              <w:t>March 2002</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August 2002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c>
          <w:tcPr>
            <w:tcW w:w="1880" w:type="dxa"/>
            <w:vAlign w:val="bottom"/>
            <w:gridSpan w:val="2"/>
          </w:tcPr>
          <w:p>
            <w:pPr>
              <w:jc w:val="right"/>
              <w:ind w:right="252"/>
              <w:spacing w:after="0"/>
              <w:rPr>
                <w:sz w:val="20"/>
                <w:szCs w:val="20"/>
                <w:color w:val="auto"/>
              </w:rPr>
            </w:pPr>
            <w:r>
              <w:rPr>
                <w:rFonts w:ascii="Arial" w:cs="Arial" w:eastAsia="Arial" w:hAnsi="Arial"/>
                <w:sz w:val="18"/>
                <w:szCs w:val="18"/>
                <w:color w:val="auto"/>
              </w:rPr>
              <w:t>$27.46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$(18)(b)</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Private accelerated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140"/>
              <w:spacing w:after="0"/>
              <w:rPr>
                <w:sz w:val="20"/>
                <w:szCs w:val="20"/>
                <w:color w:val="auto"/>
              </w:rPr>
            </w:pPr>
            <w:r>
              <w:rPr>
                <w:rFonts w:ascii="Arial" w:cs="Arial" w:eastAsia="Arial" w:hAnsi="Arial"/>
                <w:sz w:val="18"/>
                <w:szCs w:val="18"/>
                <w:color w:val="auto"/>
              </w:rPr>
              <w:t>purchase (a)</w:t>
            </w:r>
          </w:p>
        </w:tc>
        <w:tc>
          <w:tcPr>
            <w:tcW w:w="1120" w:type="dxa"/>
            <w:vAlign w:val="bottom"/>
          </w:tcPr>
          <w:p>
            <w:pPr>
              <w:spacing w:after="0"/>
              <w:rPr>
                <w:sz w:val="20"/>
                <w:szCs w:val="20"/>
                <w:color w:val="auto"/>
              </w:rPr>
            </w:pPr>
            <w:r>
              <w:rPr>
                <w:rFonts w:ascii="Arial" w:cs="Arial" w:eastAsia="Arial" w:hAnsi="Arial"/>
                <w:sz w:val="18"/>
                <w:szCs w:val="18"/>
                <w:color w:val="auto"/>
                <w:w w:val="85"/>
              </w:rPr>
              <w:t>December 2002</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w w:val="92"/>
              </w:rPr>
              <w:t>February 2003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8"/>
                <w:szCs w:val="18"/>
                <w:color w:val="auto"/>
              </w:rPr>
            </w:pPr>
          </w:p>
        </w:tc>
        <w:tc>
          <w:tcPr>
            <w:tcW w:w="1880" w:type="dxa"/>
            <w:vAlign w:val="bottom"/>
            <w:gridSpan w:val="2"/>
          </w:tcPr>
          <w:p>
            <w:pPr>
              <w:jc w:val="right"/>
              <w:ind w:right="252"/>
              <w:spacing w:after="0"/>
              <w:rPr>
                <w:sz w:val="20"/>
                <w:szCs w:val="20"/>
                <w:color w:val="auto"/>
              </w:rPr>
            </w:pPr>
            <w:r>
              <w:rPr>
                <w:rFonts w:ascii="Arial" w:cs="Arial" w:eastAsia="Arial" w:hAnsi="Arial"/>
                <w:sz w:val="18"/>
                <w:szCs w:val="18"/>
                <w:color w:val="auto"/>
              </w:rPr>
              <w:t>$24.52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ind w:left="640"/>
              <w:spacing w:after="0"/>
              <w:rPr>
                <w:sz w:val="20"/>
                <w:szCs w:val="20"/>
                <w:color w:val="auto"/>
              </w:rPr>
            </w:pPr>
            <w:r>
              <w:rPr>
                <w:rFonts w:ascii="Arial" w:cs="Arial" w:eastAsia="Arial" w:hAnsi="Arial"/>
                <w:sz w:val="18"/>
                <w:szCs w:val="18"/>
                <w:color w:val="auto"/>
              </w:rPr>
              <w:t>(3)(c)</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Private accelerated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140"/>
              <w:spacing w:after="0"/>
              <w:rPr>
                <w:sz w:val="20"/>
                <w:szCs w:val="20"/>
                <w:color w:val="auto"/>
              </w:rPr>
            </w:pPr>
            <w:r>
              <w:rPr>
                <w:rFonts w:ascii="Arial" w:cs="Arial" w:eastAsia="Arial" w:hAnsi="Arial"/>
                <w:sz w:val="18"/>
                <w:szCs w:val="18"/>
                <w:color w:val="auto"/>
              </w:rPr>
              <w:t>purchase (a)</w:t>
            </w:r>
          </w:p>
        </w:tc>
        <w:tc>
          <w:tcPr>
            <w:tcW w:w="1120" w:type="dxa"/>
            <w:vAlign w:val="bottom"/>
          </w:tcPr>
          <w:p>
            <w:pPr>
              <w:spacing w:after="0"/>
              <w:rPr>
                <w:sz w:val="20"/>
                <w:szCs w:val="20"/>
                <w:color w:val="auto"/>
              </w:rPr>
            </w:pPr>
            <w:r>
              <w:rPr>
                <w:rFonts w:ascii="Arial" w:cs="Arial" w:eastAsia="Arial" w:hAnsi="Arial"/>
                <w:sz w:val="18"/>
                <w:szCs w:val="18"/>
                <w:color w:val="auto"/>
              </w:rPr>
              <w:t>March 2003</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May 2003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1880" w:type="dxa"/>
            <w:vAlign w:val="bottom"/>
            <w:gridSpan w:val="2"/>
          </w:tcPr>
          <w:p>
            <w:pPr>
              <w:jc w:val="right"/>
              <w:ind w:right="252"/>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3 (d)</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w w:val="97"/>
              </w:rPr>
              <w:t>Open market purchases (e)</w:t>
            </w:r>
          </w:p>
        </w:tc>
        <w:tc>
          <w:tcPr>
            <w:tcW w:w="1120" w:type="dxa"/>
            <w:vAlign w:val="bottom"/>
          </w:tcPr>
          <w:p>
            <w:pPr>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N/A</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tcPr>
          <w:p>
            <w:pPr>
              <w:spacing w:after="0"/>
              <w:rPr>
                <w:sz w:val="19"/>
                <w:szCs w:val="19"/>
                <w:color w:val="auto"/>
              </w:rPr>
            </w:pPr>
          </w:p>
        </w:tc>
        <w:tc>
          <w:tcPr>
            <w:tcW w:w="1880" w:type="dxa"/>
            <w:vAlign w:val="bottom"/>
            <w:gridSpan w:val="2"/>
          </w:tcPr>
          <w:p>
            <w:pPr>
              <w:jc w:val="right"/>
              <w:ind w:right="252"/>
              <w:spacing w:after="0"/>
              <w:rPr>
                <w:sz w:val="20"/>
                <w:szCs w:val="20"/>
                <w:color w:val="auto"/>
              </w:rPr>
            </w:pPr>
            <w:r>
              <w:rPr>
                <w:rFonts w:ascii="Arial" w:cs="Arial" w:eastAsia="Arial" w:hAnsi="Arial"/>
                <w:sz w:val="18"/>
                <w:szCs w:val="18"/>
                <w:color w:val="auto"/>
              </w:rPr>
              <w:t>$19.70-$29.48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60,300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1,556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85</w:t>
            </w: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460" w:right="320" w:hanging="452"/>
        <w:spacing w:after="0" w:line="33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accounted for the initial payments as a purchase of treasury stock and classified the future settlements with the counterparty as an equity instrument because we had the option under these agreements to settle our obligations, if any, in shares of our common stock.</w:t>
      </w:r>
    </w:p>
    <w:p>
      <w:pPr>
        <w:spacing w:after="0" w:line="166"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$18 million less than the approximately $300 million we initially paid. Pursuant to the terms of the agreement, the counterparty paid us this difference of approximately $18 million at the end of the valuation period, which occurred during the third quarter of 2002, to settle the agreement. We accounted for the cash receipt as an adjustment to the carrying value of treasury stock and have therefore included it in common stock repurchases within financing activities in the consolidated statement of cash flows.</w:t>
      </w:r>
    </w:p>
    <w:p>
      <w:pPr>
        <w:spacing w:after="0" w:line="223"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less than the approximately $42 million we initially paid. Pursuant to the agreement, the counterparty paid us the difference of approximately $3 million at the end of the valuation period to settle the agreement.</w:t>
      </w:r>
    </w:p>
    <w:p>
      <w:pPr>
        <w:spacing w:after="0" w:line="221"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weighted average daily market price of our stock during the valuation period times the number of shares we purchased was approximately $3 million more than the approximately $48 million we initially paid. Pursuant to the agreement, we paid the counterparty the difference of approximately $3 million at the end of the valuation period to settle the agreement.</w:t>
      </w:r>
    </w:p>
    <w:p>
      <w:pPr>
        <w:spacing w:after="0" w:line="221"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2003 we purchased 19.6 million shares of our common stock in open market purchases for approximately $526 million. During 2002 we purchased 25.6 million shares of our common stock in open market purchases for approximately $658 million. We engaged in these purchases when trading was allowed pursuant to law and our insider trading policy.</w:t>
      </w:r>
    </w:p>
    <w:p>
      <w:pPr>
        <w:spacing w:after="0" w:line="215"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an Employee Stock Purchase Plan under which an aggregate of 5.25 million shares has been reserved for issuance since the plan’s adoption in 1997. Under the Stock Purchase Plan, employees may purchase shares of our common stock at a discount. The plan provides for two offering periods for purchases: January through June and July through December. At the end of each offering period, employees are able to purchase shares of common stock at a price equal to 85% of the lesser of the market value of the stock on the first or last day of such offering period. The purchases are made through payroll deductions, and the number of shares that may be purchased is limited by IRS regulations. The total number of shares issued under the plan for the offering periods in each of 2003, 2002 and 2001 was approximately 597,000, 612,000 and 426,000, respectively. At December 31, 2003, there were approximately 1.5 million shares remaining available for issuance.</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three plans under which we granted stock options in 2003: the 1993 Stock Incentive Plan, the 2000 Stock Incentive Plan and the 2000 Broad-Based Employee Plan. All three plans allow for grants of stock options, appreciation rights and stock awards to key employees, except grants under the 2000 Broad-Based Plan may not be made to any executive officers. The Compensation Committee of our Board of Directors administers the plans, and is authorized to make grants at its discretion; provided, that the exercise price of any stock option granted must be at least equal to fair market value as of the date of grant and may not have an expiration date beyond ten years from the date of grant. Additionally, although the Board of Directors has the authority to set other terms, all of our options vest ratably over a four or five-year period.</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maximum number of shares authorized for issuance over the life of the 1993 Stock Incentive Plan, 2000 Stock Incentive Plan and 2000 Broad-Based Plan are 26.5 million, 29 million and 3 million, respectively. At December 31, 2003, a total of 19.7 million, 19.9 million and 1.5 million shares were issuable upon exercise of options outstanding under the 1993 Stock Incentive Plan, 2000 Stock Incentive Plan and 2000 Broad-Based Employee Plan, respectively. The 1993 Stock Incentive Plan expired in May 2003, and no grants could be made under the plan after its expiration, and approximately 8.7 million and approximately 300,000 shares remain available for grant under the 2000 Stock Incentive and Broad-Based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Non-Employee Director Plans</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also have a 1996 Non-Employee Director Plan that allows for an automatic annual grant of options to purchase 10,000 shares of common stock to each of our non-employee directors. The plan authorized a total of 2.4 million shares, and all options granted under the plan had a one-year vesting period and a term of ten years. In accordance with the plan, all options had an exercise price equal to the fair market value on the date of grant. Members of our Board of Directors received their annual grants in 2001 and 2002. However, the annual grant ceased after 2002 when we adopted our 2003 Directors’ Deferred Compensation Plan. Under the Deferred Compensation Plan, a portion of the cash compensation that the directors would otherwise receive is deferred until after their termination from board service and each director may elect to defer the remaining cash compensation to a date that he chooses, which must be after termination of board service. At that time, the compensation is paid in shares of our common stock. The number of shares the directors receive is calculated on the date the cash compensation would have been payable, based on the fair market value of our common stock on that day.</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260" w:firstLine="324"/>
        <w:spacing w:after="0" w:line="318" w:lineRule="auto"/>
        <w:rPr>
          <w:sz w:val="20"/>
          <w:szCs w:val="20"/>
          <w:color w:val="auto"/>
        </w:rPr>
      </w:pPr>
      <w:r>
        <w:rPr>
          <w:rFonts w:ascii="Arial" w:cs="Arial" w:eastAsia="Arial" w:hAnsi="Arial"/>
          <w:sz w:val="15"/>
          <w:szCs w:val="15"/>
          <w:color w:val="auto"/>
        </w:rPr>
        <w:t>We have outstanding warrants that we issued to non-employees for goods and services through 1997 in individual arrangements. These warrants generally vest over a period of time, up to five years, and have terms of up to ten years. All of the warrants have exercise prices equal to the fair market value of our common stock on the date they were granted. Additionally, we have outstanding options and warrants that we acquired in acquisitions. At the time of those acquisitions, the options and warrants were converted into the right to purchase shares of our common stock. These options and warrants generally continue to vest under their original schedules, which range up to five years, although some vested immediately upon the change in control related to the acquisition.</w:t>
      </w:r>
    </w:p>
    <w:p>
      <w:pPr>
        <w:spacing w:after="0" w:line="181"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We generally issue treasury stock upon exercises of stock options and warrants. When issuing shares of treasury stock, the difference between the stock option or warrant exercise price and the average treasury stock cost is recorded as an addition to or deduction from additional paid in capital.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common stock option and warrant activity (shares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jc w:val="right"/>
              <w:ind w:right="932"/>
              <w:spacing w:after="0"/>
              <w:rPr>
                <w:sz w:val="20"/>
                <w:szCs w:val="20"/>
                <w:color w:val="auto"/>
              </w:rPr>
            </w:pPr>
            <w:r>
              <w:rPr>
                <w:rFonts w:ascii="Arial" w:cs="Arial" w:eastAsia="Arial" w:hAnsi="Arial"/>
                <w:sz w:val="14"/>
                <w:szCs w:val="14"/>
                <w:b w:val="1"/>
                <w:bCs w:val="1"/>
                <w:color w:val="auto"/>
                <w:w w:val="83"/>
              </w:rPr>
              <w:t>2002</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952"/>
              <w:spacing w:after="0"/>
              <w:rPr>
                <w:sz w:val="20"/>
                <w:szCs w:val="20"/>
                <w:color w:val="auto"/>
              </w:rPr>
            </w:pPr>
            <w:r>
              <w:rPr>
                <w:rFonts w:ascii="Arial" w:cs="Arial" w:eastAsia="Arial" w:hAnsi="Arial"/>
                <w:sz w:val="14"/>
                <w:szCs w:val="14"/>
                <w:b w:val="1"/>
                <w:bCs w:val="1"/>
                <w:color w:val="auto"/>
                <w:w w:val="89"/>
              </w:rPr>
              <w:t>2001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820" w:type="dxa"/>
            <w:vAlign w:val="bottom"/>
          </w:tcPr>
          <w:p>
            <w:pPr>
              <w:jc w:val="center"/>
              <w:ind w:left="132"/>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0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beginning of year</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44,469</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$27.36</w:t>
            </w:r>
          </w:p>
        </w:tc>
        <w:tc>
          <w:tcPr>
            <w:tcW w:w="12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41,465</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$27.96</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40,257</w:t>
            </w:r>
          </w:p>
        </w:tc>
        <w:tc>
          <w:tcPr>
            <w:tcW w:w="2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$30.10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10,358</w:t>
            </w:r>
          </w:p>
        </w:tc>
        <w:tc>
          <w:tcPr>
            <w:tcW w:w="24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$19.99</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10,376</w:t>
            </w:r>
          </w:p>
        </w:tc>
        <w:tc>
          <w:tcPr>
            <w:tcW w:w="240" w:type="dxa"/>
            <w:vAlign w:val="bottom"/>
          </w:tcPr>
          <w:p>
            <w:pPr>
              <w:spacing w:after="0"/>
              <w:rPr>
                <w:sz w:val="18"/>
                <w:szCs w:val="18"/>
                <w:color w:val="auto"/>
              </w:rPr>
            </w:pP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$27.60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11,469</w:t>
            </w:r>
          </w:p>
        </w:tc>
        <w:tc>
          <w:tcPr>
            <w:tcW w:w="24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$24.59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(2,764)</w:t>
            </w:r>
          </w:p>
        </w:tc>
        <w:tc>
          <w:tcPr>
            <w:tcW w:w="106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$18.68</w:t>
            </w:r>
          </w:p>
        </w:tc>
        <w:tc>
          <w:tcPr>
            <w:tcW w:w="144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(1,758)</w:t>
            </w:r>
          </w:p>
        </w:tc>
        <w:tc>
          <w:tcPr>
            <w:tcW w:w="128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$15.23</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(3,292)</w:t>
            </w:r>
          </w:p>
        </w:tc>
        <w:tc>
          <w:tcPr>
            <w:tcW w:w="13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$15.89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Forfeited or expired</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(2,854)</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w w:val="96"/>
              </w:rPr>
              <w:t>$ 28.66</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(5,614)</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$ 35.96</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(6,969)</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$ 40.46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0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end of year</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49,209</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$26.19</w:t>
            </w:r>
          </w:p>
        </w:tc>
        <w:tc>
          <w:tcPr>
            <w:tcW w:w="12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44,469</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ind w:left="460"/>
              <w:spacing w:after="0"/>
              <w:rPr>
                <w:sz w:val="20"/>
                <w:szCs w:val="20"/>
                <w:color w:val="auto"/>
              </w:rPr>
            </w:pPr>
            <w:r>
              <w:rPr>
                <w:rFonts w:ascii="Arial" w:cs="Arial" w:eastAsia="Arial" w:hAnsi="Arial"/>
                <w:sz w:val="18"/>
                <w:szCs w:val="18"/>
                <w:color w:val="auto"/>
              </w:rPr>
              <w:t>$27.36</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41,465</w:t>
            </w:r>
          </w:p>
        </w:tc>
        <w:tc>
          <w:tcPr>
            <w:tcW w:w="2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$27.96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70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8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700" w:type="dxa"/>
            <w:vAlign w:val="bottom"/>
            <w:gridSpan w:val="3"/>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2"/>
          </w:tcPr>
          <w:p>
            <w:pPr>
              <w:spacing w:after="0"/>
              <w:rPr>
                <w:sz w:val="5"/>
                <w:szCs w:val="5"/>
                <w:color w:val="auto"/>
              </w:rPr>
            </w:pPr>
          </w:p>
        </w:tc>
        <w:tc>
          <w:tcPr>
            <w:tcW w:w="50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580" w:type="dxa"/>
            <w:vAlign w:val="bottom"/>
            <w:gridSpan w:val="2"/>
          </w:tcPr>
          <w:p>
            <w:pPr>
              <w:ind w:left="580"/>
              <w:spacing w:after="0"/>
              <w:rPr>
                <w:sz w:val="20"/>
                <w:szCs w:val="20"/>
                <w:color w:val="auto"/>
              </w:rPr>
            </w:pPr>
            <w:r>
              <w:rPr>
                <w:rFonts w:ascii="Arial" w:cs="Arial" w:eastAsia="Arial" w:hAnsi="Arial"/>
                <w:sz w:val="18"/>
                <w:szCs w:val="18"/>
                <w:color w:val="auto"/>
              </w:rPr>
              <w:t>Exercisable at end of year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25,918</w:t>
            </w:r>
          </w:p>
        </w:tc>
        <w:tc>
          <w:tcPr>
            <w:tcW w:w="240" w:type="dxa"/>
            <w:vAlign w:val="bottom"/>
          </w:tcPr>
          <w:p>
            <w:pPr>
              <w:spacing w:after="0"/>
              <w:rPr>
                <w:sz w:val="24"/>
                <w:szCs w:val="24"/>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$29.10</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21,789</w:t>
            </w:r>
          </w:p>
        </w:tc>
        <w:tc>
          <w:tcPr>
            <w:tcW w:w="240" w:type="dxa"/>
            <w:vAlign w:val="bottom"/>
          </w:tcPr>
          <w:p>
            <w:pPr>
              <w:spacing w:after="0"/>
              <w:rPr>
                <w:sz w:val="24"/>
                <w:szCs w:val="24"/>
                <w:color w:val="auto"/>
              </w:rPr>
            </w:pP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$29.55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21,159</w:t>
            </w:r>
          </w:p>
        </w:tc>
        <w:tc>
          <w:tcPr>
            <w:tcW w:w="240" w:type="dxa"/>
            <w:vAlign w:val="bottom"/>
          </w:tcPr>
          <w:p>
            <w:pPr>
              <w:spacing w:after="0"/>
              <w:rPr>
                <w:sz w:val="24"/>
                <w:szCs w:val="24"/>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$31.60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87</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and exercisable stock options and warrants at December 31, 2003, were as follows (shares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jc w:val="right"/>
              <w:ind w:right="55"/>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w w:val="84"/>
              </w:rPr>
              <w:t>Exercisable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Range of</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20"/>
                <w:szCs w:val="20"/>
                <w:color w:val="auto"/>
              </w:rPr>
            </w:pPr>
          </w:p>
        </w:tc>
        <w:tc>
          <w:tcPr>
            <w:tcW w:w="1860" w:type="dxa"/>
            <w:vAlign w:val="bottom"/>
          </w:tcPr>
          <w:p>
            <w:pPr>
              <w:jc w:val="right"/>
              <w:ind w:right="332"/>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Exercise Prices</w:t>
            </w: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900" w:type="dxa"/>
            <w:vAlign w:val="bottom"/>
            <w:gridSpan w:val="2"/>
          </w:tcPr>
          <w:p>
            <w:pPr>
              <w:jc w:val="right"/>
              <w:ind w:right="455"/>
              <w:spacing w:after="0"/>
              <w:rPr>
                <w:sz w:val="20"/>
                <w:szCs w:val="20"/>
                <w:color w:val="auto"/>
              </w:rPr>
            </w:pPr>
            <w:r>
              <w:rPr>
                <w:rFonts w:ascii="Arial" w:cs="Arial" w:eastAsia="Arial" w:hAnsi="Arial"/>
                <w:sz w:val="14"/>
                <w:szCs w:val="14"/>
                <w:b w:val="1"/>
                <w:bCs w:val="1"/>
                <w:color w:val="auto"/>
              </w:rPr>
              <w:t>Exercise Price</w:t>
            </w:r>
          </w:p>
        </w:tc>
        <w:tc>
          <w:tcPr>
            <w:tcW w:w="280" w:type="dxa"/>
            <w:vAlign w:val="bottom"/>
          </w:tcPr>
          <w:p>
            <w:pPr>
              <w:spacing w:after="0"/>
              <w:rPr>
                <w:sz w:val="15"/>
                <w:szCs w:val="15"/>
                <w:color w:val="auto"/>
              </w:rPr>
            </w:pPr>
          </w:p>
        </w:tc>
        <w:tc>
          <w:tcPr>
            <w:tcW w:w="1860" w:type="dxa"/>
            <w:vAlign w:val="bottom"/>
          </w:tcPr>
          <w:p>
            <w:pPr>
              <w:jc w:val="right"/>
              <w:ind w:right="372"/>
              <w:spacing w:after="0"/>
              <w:rPr>
                <w:sz w:val="20"/>
                <w:szCs w:val="20"/>
                <w:color w:val="auto"/>
              </w:rPr>
            </w:pPr>
            <w:r>
              <w:rPr>
                <w:rFonts w:ascii="Arial" w:cs="Arial" w:eastAsia="Arial" w:hAnsi="Arial"/>
                <w:sz w:val="14"/>
                <w:szCs w:val="14"/>
                <w:b w:val="1"/>
                <w:bCs w:val="1"/>
                <w:color w:val="auto"/>
              </w:rPr>
              <w:t>Remaining Years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9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$5.00-$10.00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5"/>
              <w:spacing w:after="0"/>
              <w:rPr>
                <w:sz w:val="20"/>
                <w:szCs w:val="20"/>
                <w:color w:val="auto"/>
              </w:rPr>
            </w:pPr>
            <w:r>
              <w:rPr>
                <w:rFonts w:ascii="Arial" w:cs="Arial" w:eastAsia="Arial" w:hAnsi="Arial"/>
                <w:sz w:val="18"/>
                <w:szCs w:val="18"/>
                <w:color w:val="auto"/>
              </w:rPr>
              <w:t>7.10</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1.15</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$10.01-$20.00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16,223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5"/>
              <w:spacing w:after="0"/>
              <w:rPr>
                <w:sz w:val="20"/>
                <w:szCs w:val="20"/>
                <w:color w:val="auto"/>
              </w:rPr>
            </w:pPr>
            <w:r>
              <w:rPr>
                <w:rFonts w:ascii="Arial" w:cs="Arial" w:eastAsia="Arial" w:hAnsi="Arial"/>
                <w:sz w:val="18"/>
                <w:szCs w:val="18"/>
                <w:color w:val="auto"/>
                <w:w w:val="84"/>
              </w:rPr>
              <w:t>17.64</w:t>
            </w:r>
          </w:p>
        </w:tc>
        <w:tc>
          <w:tcPr>
            <w:tcW w:w="2140" w:type="dxa"/>
            <w:vAlign w:val="bottom"/>
            <w:gridSpan w:val="2"/>
          </w:tcPr>
          <w:p>
            <w:pPr>
              <w:jc w:val="right"/>
              <w:ind w:right="652"/>
              <w:spacing w:after="0"/>
              <w:rPr>
                <w:sz w:val="20"/>
                <w:szCs w:val="20"/>
                <w:color w:val="auto"/>
              </w:rPr>
            </w:pPr>
            <w:r>
              <w:rPr>
                <w:rFonts w:ascii="Arial" w:cs="Arial" w:eastAsia="Arial" w:hAnsi="Arial"/>
                <w:sz w:val="18"/>
                <w:szCs w:val="18"/>
                <w:color w:val="auto"/>
              </w:rPr>
              <w:t>7.55</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5,622</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$20.01-$30.00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24,022</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5"/>
              <w:spacing w:after="0"/>
              <w:rPr>
                <w:sz w:val="20"/>
                <w:szCs w:val="20"/>
                <w:color w:val="auto"/>
              </w:rPr>
            </w:pPr>
            <w:r>
              <w:rPr>
                <w:rFonts w:ascii="Arial" w:cs="Arial" w:eastAsia="Arial" w:hAnsi="Arial"/>
                <w:sz w:val="18"/>
                <w:szCs w:val="18"/>
                <w:color w:val="auto"/>
                <w:w w:val="84"/>
              </w:rPr>
              <w:t>25.66</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6.74</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11,590</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w w:val="84"/>
              </w:rPr>
              <w:t>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$30.01-$40.00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3,610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5"/>
              <w:spacing w:after="0"/>
              <w:rPr>
                <w:sz w:val="20"/>
                <w:szCs w:val="20"/>
                <w:color w:val="auto"/>
              </w:rPr>
            </w:pPr>
            <w:r>
              <w:rPr>
                <w:rFonts w:ascii="Arial" w:cs="Arial" w:eastAsia="Arial" w:hAnsi="Arial"/>
                <w:sz w:val="18"/>
                <w:szCs w:val="18"/>
                <w:color w:val="auto"/>
                <w:w w:val="84"/>
              </w:rPr>
              <w:t>35.06</w:t>
            </w:r>
          </w:p>
        </w:tc>
        <w:tc>
          <w:tcPr>
            <w:tcW w:w="2140" w:type="dxa"/>
            <w:vAlign w:val="bottom"/>
            <w:gridSpan w:val="2"/>
          </w:tcPr>
          <w:p>
            <w:pPr>
              <w:jc w:val="right"/>
              <w:ind w:right="652"/>
              <w:spacing w:after="0"/>
              <w:rPr>
                <w:sz w:val="20"/>
                <w:szCs w:val="20"/>
                <w:color w:val="auto"/>
              </w:rPr>
            </w:pPr>
            <w:r>
              <w:rPr>
                <w:rFonts w:ascii="Arial" w:cs="Arial" w:eastAsia="Arial" w:hAnsi="Arial"/>
                <w:sz w:val="18"/>
                <w:szCs w:val="18"/>
                <w:color w:val="auto"/>
              </w:rPr>
              <w:t>4.01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3,513</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$40.01-$50.00</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2,453</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5"/>
              <w:spacing w:after="0"/>
              <w:rPr>
                <w:sz w:val="20"/>
                <w:szCs w:val="20"/>
                <w:color w:val="auto"/>
              </w:rPr>
            </w:pPr>
            <w:r>
              <w:rPr>
                <w:rFonts w:ascii="Arial" w:cs="Arial" w:eastAsia="Arial" w:hAnsi="Arial"/>
                <w:sz w:val="18"/>
                <w:szCs w:val="18"/>
                <w:color w:val="auto"/>
                <w:w w:val="84"/>
              </w:rPr>
              <w:t>43.52</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3.71</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2,450</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w w:val="84"/>
              </w:rPr>
              <w:t>43.51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$50.01-$56.44</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5"/>
              <w:spacing w:after="0"/>
              <w:rPr>
                <w:sz w:val="20"/>
                <w:szCs w:val="20"/>
                <w:color w:val="auto"/>
              </w:rPr>
            </w:pPr>
            <w:r>
              <w:rPr>
                <w:rFonts w:ascii="Arial" w:cs="Arial" w:eastAsia="Arial" w:hAnsi="Arial"/>
                <w:sz w:val="18"/>
                <w:szCs w:val="18"/>
                <w:color w:val="auto"/>
                <w:w w:val="84"/>
              </w:rPr>
              <w:t>53.19</w:t>
            </w:r>
          </w:p>
        </w:tc>
        <w:tc>
          <w:tcPr>
            <w:tcW w:w="2140" w:type="dxa"/>
            <w:vAlign w:val="bottom"/>
            <w:gridSpan w:val="2"/>
          </w:tcPr>
          <w:p>
            <w:pPr>
              <w:jc w:val="right"/>
              <w:ind w:right="652"/>
              <w:spacing w:after="0"/>
              <w:rPr>
                <w:sz w:val="20"/>
                <w:szCs w:val="20"/>
                <w:color w:val="auto"/>
              </w:rPr>
            </w:pPr>
            <w:r>
              <w:rPr>
                <w:rFonts w:ascii="Arial" w:cs="Arial" w:eastAsia="Arial" w:hAnsi="Arial"/>
                <w:sz w:val="18"/>
                <w:szCs w:val="18"/>
                <w:color w:val="auto"/>
              </w:rPr>
              <w:t>4.69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2,707</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53.30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EEEEEE"/>
          </w:tcPr>
          <w:p>
            <w:pPr>
              <w:spacing w:after="0"/>
              <w:rPr>
                <w:sz w:val="20"/>
                <w:szCs w:val="20"/>
                <w:color w:val="auto"/>
              </w:rPr>
            </w:pPr>
            <w:r>
              <w:rPr>
                <w:rFonts w:ascii="Arial" w:cs="Arial" w:eastAsia="Arial" w:hAnsi="Arial"/>
                <w:sz w:val="18"/>
                <w:szCs w:val="18"/>
                <w:color w:val="auto"/>
              </w:rPr>
              <w:t>$5.00-$56.44</w:t>
            </w:r>
          </w:p>
        </w:tc>
        <w:tc>
          <w:tcPr>
            <w:tcW w:w="2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49,209</w:t>
            </w: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5"/>
              <w:spacing w:after="0"/>
              <w:rPr>
                <w:sz w:val="20"/>
                <w:szCs w:val="20"/>
                <w:color w:val="auto"/>
              </w:rPr>
            </w:pPr>
            <w:r>
              <w:rPr>
                <w:rFonts w:ascii="Arial" w:cs="Arial" w:eastAsia="Arial" w:hAnsi="Arial"/>
                <w:sz w:val="18"/>
                <w:szCs w:val="18"/>
                <w:color w:val="auto"/>
                <w:w w:val="84"/>
              </w:rPr>
              <w:t>26.19</w:t>
            </w:r>
          </w:p>
        </w:tc>
        <w:tc>
          <w:tcPr>
            <w:tcW w:w="2140" w:type="dxa"/>
            <w:vAlign w:val="bottom"/>
            <w:gridSpan w:val="2"/>
            <w:shd w:val="clear" w:color="auto" w:fill="EEEEEE"/>
          </w:tcPr>
          <w:p>
            <w:pPr>
              <w:jc w:val="right"/>
              <w:ind w:right="652"/>
              <w:spacing w:after="0"/>
              <w:rPr>
                <w:sz w:val="20"/>
                <w:szCs w:val="20"/>
                <w:color w:val="auto"/>
              </w:rPr>
            </w:pPr>
            <w:r>
              <w:rPr>
                <w:rFonts w:ascii="Arial" w:cs="Arial" w:eastAsia="Arial" w:hAnsi="Arial"/>
                <w:sz w:val="18"/>
                <w:szCs w:val="18"/>
                <w:color w:val="auto"/>
              </w:rPr>
              <w:t>6.53</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25,918</w:t>
            </w:r>
          </w:p>
        </w:tc>
        <w:tc>
          <w:tcPr>
            <w:tcW w:w="1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w w:val="84"/>
              </w:rPr>
              <w:t>29.10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Our President, CEO, and Chairman of the Board was granted 650,000 performance based stock options upon joining the Company in November 1999. The options were granted under our 1993 Stock Incentive Plan and are included in the above tables. The options vest according to certain performance goals in lieu of the normal vesting schedules. Notwithstanding these performance goals, all of these options will vest no later than five years from the date of grant.</w:t>
      </w:r>
    </w:p>
    <w:p>
      <w:pPr>
        <w:spacing w:after="0" w:line="398"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reconciles income before cumulative effect of changes in accounting principles as presented in the consolidated statements of operations with diluted net income for the purposes of calculating diluted earnings per common share (in millions):</w:t>
      </w:r>
    </w:p>
    <w:p>
      <w:pPr>
        <w:spacing w:after="0" w:line="398"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60325</wp:posOffset>
            </wp:positionV>
            <wp:extent cx="16897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on convertible securities, net of income taxes</w:t>
            </w:r>
          </w:p>
        </w:tc>
        <w:tc>
          <w:tcPr>
            <w:tcW w:w="2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8"/>
                <w:szCs w:val="18"/>
                <w:color w:val="auto"/>
              </w:rPr>
              <w:t>Diluted income before cumulative effect of changes in accounting principles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9"/>
              </w:rPr>
              <w:t>Cumulative effect of changes in accounting principles, net of income tax expense</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(89)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8"/>
                <w:szCs w:val="18"/>
                <w:color w:val="auto"/>
              </w:rPr>
              <w:t>Diluted net income</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The following reconciles the number of common shares outstanding at December 31 of each year to the weighted average number of common shares outstanding and the weighted average number of common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dilutive potential common shares outstanding for the purposes of calculating basic and diluted earnings per common share (shares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gridSpan w:val="6"/>
          </w:tcPr>
          <w:p>
            <w:pPr>
              <w:ind w:left="160"/>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12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year-end</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576.1</w:t>
            </w:r>
          </w:p>
        </w:tc>
        <w:tc>
          <w:tcPr>
            <w:tcW w:w="12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594.6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628.0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589.0</w:t>
            </w:r>
          </w:p>
        </w:tc>
        <w:tc>
          <w:tcPr>
            <w:tcW w:w="12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613.4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626.2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Dilutive effect of common stock options and warrants and other</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contingently issuable 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Dilutive effect of convertible subordinated notes</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7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80" w:type="dxa"/>
            <w:vAlign w:val="bottom"/>
            <w:gridSpan w:val="2"/>
          </w:tcPr>
          <w:p>
            <w:pPr>
              <w:spacing w:after="0"/>
              <w:rPr>
                <w:sz w:val="20"/>
                <w:szCs w:val="20"/>
                <w:color w:val="auto"/>
              </w:rPr>
            </w:pPr>
            <w:r>
              <w:rPr>
                <w:rFonts w:ascii="Arial" w:cs="Arial" w:eastAsia="Arial" w:hAnsi="Arial"/>
                <w:sz w:val="18"/>
                <w:szCs w:val="18"/>
                <w:color w:val="auto"/>
              </w:rPr>
              <w:t>Weighted average diluted common shares outstanding</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592.5</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630.8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For 2001 and 2003, the effect of our convertible subordinated notes is excluded from the dilutive earnings per share calculation since inclusion of these items would be antidilutive.</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At December 31, 2003, there were approximately 49.9 million shares of common stock potentially issuable with respect to stock options, warrants, and convertible debt, of which approximately 19.6 million shares were not included in the diluted earnings per share computation because their exercise price was greater than the average per share market price of our stock for the year ended 2003. Including the impact of these potentially issuable shares in the current period calculations would not have been dilutive for the periods presented, but may dilute earnings per share in the future.</w:t>
      </w:r>
    </w:p>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have determined the estimated fair value amounts of our financial instruments using available market information and commonly accepted valuation methodologies. However,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may have a material effect on the estimated fair values. The fair value estimates are based on information available to management as of December 31, 2003 and 2002. These amounts have not been revalued since those dates, and current estimates of fair value may differ significantly from the amounts presented.</w:t>
      </w:r>
    </w:p>
    <w:p>
      <w:pPr>
        <w:spacing w:after="0" w:line="225"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carrying values of cash and cash equivalents, short-term investments, trade accounts receivable, trade accounts payable, financial instruments included in notes and other receivables and certain financial instruments included in other assets or other liabilities are reflected in our consolidated financial statements at historical cost, which is materially representative of their fair value principally because of the short-term maturities of these instruments.</w:t>
      </w:r>
    </w:p>
    <w:p>
      <w:pPr>
        <w:spacing w:after="0" w:line="188" w:lineRule="exact"/>
        <w:rPr>
          <w:sz w:val="20"/>
          <w:szCs w:val="20"/>
          <w:color w:val="auto"/>
        </w:rPr>
      </w:pPr>
    </w:p>
    <w:p>
      <w:pPr>
        <w:jc w:val="both"/>
        <w:ind w:right="280" w:firstLine="324"/>
        <w:spacing w:after="0" w:line="306" w:lineRule="auto"/>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 Included as a component of other assets in our balance sheet at December 31, 2003 is $397 million of restricted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U.S. government agency debt securities. These investments are recorded at fair value with the unrealized holding gain, which was approximately $1 million at December 31, 2003, deferred as a component of other comprehensive income in the equity section of the balance sheet.</w:t>
      </w:r>
    </w:p>
    <w:p>
      <w:pPr>
        <w:spacing w:after="0" w:line="18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Debt and interest rate derivatives </w:t>
      </w:r>
      <w:r>
        <w:rPr>
          <w:rFonts w:ascii="Arial" w:cs="Arial" w:eastAsia="Arial" w:hAnsi="Arial"/>
          <w:sz w:val="18"/>
          <w:szCs w:val="18"/>
          <w:color w:val="auto"/>
        </w:rPr>
        <w:t>— At December 31, 2003 and 2002, the carrying value of debt was approximately $8.5 billion and $8.3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includes adjustments to the carrying values of debt instruments for both the unamortized fair value adjustments related to terminated hedge arrangements and fair value adjustments of debt instruments that are currently hedged. See Note 7. For active hedge arrangements, the fair value of the derivative is included in other current assets, other long-term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accrued liabilities or other long-term liabilities, as appropriate. The estimated fair value of debt at December 31, 2003 and 2002 was approximately $8.9 billion and $8.7 billion, respectively. The estimated fair values of our senior notes and convertible subordinated notes are based on quoted market prices. The carrying value of remarketable debt approximates fair value due to the short-term nature of the attached interest rates. The fair value of other debt is estimated using discounted cash flow analysis, based on rates we would currently pay for similar types of instruments.</w:t>
      </w:r>
    </w:p>
    <w:p>
      <w:pPr>
        <w:spacing w:after="0" w:line="200" w:lineRule="exact"/>
        <w:rPr>
          <w:sz w:val="20"/>
          <w:szCs w:val="20"/>
          <w:color w:val="auto"/>
        </w:rPr>
      </w:pPr>
    </w:p>
    <w:p>
      <w:pPr>
        <w:spacing w:after="0" w:line="204"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Divestitures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Purchase Acquisitions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year ended December 31, 2003, we paid $337 million, net of cash acquired, for the acquisitions of approximately 75 businesses, which are included within our NASW operations. This included approximately $85 million in the first quarter of 2003, which was primarily associated with our acquisition of the Peltz Group, the largest privately-held recycler in the United States. Its assets were contributed to Recycle America Alliance. See Note 20 for further discussion. The most significant of the other transactions was the acquisition of certain collections assets from Allied Waste Industries, Inc. in the third and fourth quarters of 2003.</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in 2003 we acquired certain operations from Bio-Energy Partners, a general partnership in which we have a 50% ownership interest,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 million. Bio-Energy Partners owns and operates facilities that produce electrical power from landfill gas that is ultimately sold to public utilities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users. Concurrent with this transaction, we received net cash proceeds from Bio-Energy Partners of $30 million in exchange for assuming a like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of indebtedness of the partnership. We continue to account for our remaining interests in Bio-Energy Partners as an equity investment.</w:t>
      </w:r>
    </w:p>
    <w:p>
      <w:pPr>
        <w:spacing w:after="0" w:line="24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All 2003 acquisitions were accounted for under the purchase method of accounting, as required by SFAS No. 141, with the purchase price being allocated to the net assets acquired based on their respective fair values. As a result of these acquisitions, we recorded approximately $458 million in additional assets, including approximately $154 million of goodwill, of which approximately $143 million is deductible for income tax purposes, and approximately $65 million of other intangible assets. Approximately $117 million of liabilities were assumed as a result of these acquisitions. No single acquisition has been material to our consolidated financial position or our results of operations for the periods presented, and we do not anticipate that these acquisitions, when considered individually or in the aggregate, will have a material impact on our results of operations in future periods.</w:t>
      </w:r>
    </w:p>
    <w:p>
      <w:pPr>
        <w:spacing w:after="0" w:line="201"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In both 2002 and 2001, we completed over 50 acquisitions of North American Solid Waste (“NASW”) operations that were accounted for under the purchase method of accounting. Cash paid for acquisitions, net of cash acquired, was approximately $162 million and $116 million for 2002 and 2001, respectively.</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680" w:firstLine="324"/>
        <w:spacing w:after="0" w:line="306" w:lineRule="auto"/>
        <w:rPr>
          <w:sz w:val="20"/>
          <w:szCs w:val="20"/>
          <w:color w:val="auto"/>
        </w:rPr>
      </w:pPr>
      <w:r>
        <w:rPr>
          <w:rFonts w:ascii="Arial" w:cs="Arial" w:eastAsia="Arial" w:hAnsi="Arial"/>
          <w:sz w:val="16"/>
          <w:szCs w:val="16"/>
          <w:color w:val="auto"/>
        </w:rPr>
        <w:t>The approximate aggregate sales prices for divestitures of the Company’s non-integrated North American operations in 2003, 2002 and 2001 was $18 million, $103 million and $23 million, respectively, which was comprised substantially of cash proceeds. We recognized net gains of approximately $13 million and $8 million on these divestitures during 2003 and 2002, respectively. There was no material impact related to our 2001 divestitures.</w:t>
      </w:r>
    </w:p>
    <w:p>
      <w:pPr>
        <w:spacing w:after="0" w:line="398"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58" w:lineRule="exact"/>
        <w:rPr>
          <w:sz w:val="20"/>
          <w:szCs w:val="20"/>
          <w:color w:val="auto"/>
        </w:rPr>
      </w:pPr>
    </w:p>
    <w:p>
      <w:pPr>
        <w:ind w:right="280" w:firstLine="324"/>
        <w:spacing w:after="0" w:line="370" w:lineRule="auto"/>
        <w:rPr>
          <w:sz w:val="20"/>
          <w:szCs w:val="20"/>
          <w:color w:val="auto"/>
        </w:rPr>
      </w:pPr>
      <w:r>
        <w:rPr>
          <w:rFonts w:ascii="Arial" w:cs="Arial" w:eastAsia="Arial" w:hAnsi="Arial"/>
          <w:sz w:val="15"/>
          <w:szCs w:val="15"/>
          <w:color w:val="auto"/>
        </w:rPr>
        <w:t xml:space="preserve">In January 2003, the FASB issued Interpretation No. 46, </w:t>
      </w:r>
      <w:r>
        <w:rPr>
          <w:rFonts w:ascii="Arial" w:cs="Arial" w:eastAsia="Arial" w:hAnsi="Arial"/>
          <w:sz w:val="15"/>
          <w:szCs w:val="15"/>
          <w:i w:val="1"/>
          <w:iCs w:val="1"/>
          <w:color w:val="auto"/>
        </w:rPr>
        <w:t>Consolidation of Variable Interest Entities</w:t>
      </w:r>
      <w:r>
        <w:rPr>
          <w:rFonts w:ascii="Arial" w:cs="Arial" w:eastAsia="Arial" w:hAnsi="Arial"/>
          <w:sz w:val="15"/>
          <w:szCs w:val="15"/>
          <w:color w:val="auto"/>
        </w:rPr>
        <w:t>. FIN 46 requires the primary beneficiary of a variable interest entity to consolidate the assets, liabilities, and results of operations of that entity in its financial statements. Based on the guidance in FIN 46, we have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concluded that we hold financial interests in certain entities that make us the primary beneficiary of those entities.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it applies to our implementation, the effective dates for FIN 46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180" w:type="dxa"/>
            <w:vAlign w:val="bottom"/>
            <w:gridSpan w:val="3"/>
          </w:tcPr>
          <w:p>
            <w:pPr>
              <w:ind w:left="400"/>
              <w:spacing w:after="0"/>
              <w:rPr>
                <w:sz w:val="20"/>
                <w:szCs w:val="20"/>
                <w:color w:val="auto"/>
              </w:rPr>
            </w:pPr>
            <w:r>
              <w:rPr>
                <w:rFonts w:ascii="Arial" w:cs="Arial" w:eastAsia="Arial" w:hAnsi="Arial"/>
                <w:sz w:val="14"/>
                <w:szCs w:val="14"/>
                <w:b w:val="1"/>
                <w:bCs w:val="1"/>
                <w:color w:val="auto"/>
              </w:rPr>
              <w:t>Entity Characteristics</w:t>
            </w:r>
          </w:p>
        </w:tc>
        <w:tc>
          <w:tcPr>
            <w:tcW w:w="30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0" w:type="dxa"/>
            <w:vAlign w:val="bottom"/>
          </w:tcPr>
          <w:p>
            <w:pPr>
              <w:spacing w:after="0"/>
              <w:rPr>
                <w:sz w:val="8"/>
                <w:szCs w:val="8"/>
                <w:color w:val="auto"/>
              </w:rPr>
            </w:pPr>
          </w:p>
        </w:tc>
      </w:tr>
      <w:tr>
        <w:trPr>
          <w:trHeight w:val="263"/>
        </w:trPr>
        <w:tc>
          <w:tcPr>
            <w:tcW w:w="3140" w:type="dxa"/>
            <w:vAlign w:val="bottom"/>
            <w:gridSpan w:val="2"/>
          </w:tcPr>
          <w:p>
            <w:pPr>
              <w:ind w:left="1300"/>
              <w:spacing w:after="0"/>
              <w:rPr>
                <w:sz w:val="20"/>
                <w:szCs w:val="20"/>
                <w:color w:val="auto"/>
              </w:rPr>
            </w:pPr>
            <w:r>
              <w:rPr>
                <w:rFonts w:ascii="Arial" w:cs="Arial" w:eastAsia="Arial" w:hAnsi="Arial"/>
                <w:sz w:val="14"/>
                <w:szCs w:val="14"/>
                <w:b w:val="1"/>
                <w:bCs w:val="1"/>
                <w:color w:val="auto"/>
              </w:rPr>
              <w:t>Creation or Modification</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0" w:type="dxa"/>
            <w:vAlign w:val="bottom"/>
          </w:tcPr>
          <w:p>
            <w:pPr>
              <w:ind w:left="1660"/>
              <w:spacing w:after="0"/>
              <w:rPr>
                <w:sz w:val="20"/>
                <w:szCs w:val="20"/>
                <w:color w:val="auto"/>
              </w:rPr>
            </w:pPr>
            <w:r>
              <w:rPr>
                <w:rFonts w:ascii="Arial" w:cs="Arial" w:eastAsia="Arial" w:hAnsi="Arial"/>
                <w:sz w:val="14"/>
                <w:szCs w:val="14"/>
                <w:b w:val="1"/>
                <w:bCs w:val="1"/>
                <w:color w:val="auto"/>
              </w:rPr>
              <w:t>Entity Type</w:t>
            </w:r>
          </w:p>
        </w:tc>
        <w:tc>
          <w:tcPr>
            <w:tcW w:w="300" w:type="dxa"/>
            <w:vAlign w:val="bottom"/>
          </w:tcPr>
          <w:p>
            <w:pPr>
              <w:spacing w:after="0"/>
              <w:rPr>
                <w:sz w:val="22"/>
                <w:szCs w:val="22"/>
                <w:color w:val="auto"/>
              </w:rPr>
            </w:pPr>
          </w:p>
        </w:tc>
        <w:tc>
          <w:tcPr>
            <w:tcW w:w="2800" w:type="dxa"/>
            <w:vAlign w:val="bottom"/>
          </w:tcPr>
          <w:p>
            <w:pPr>
              <w:ind w:left="960"/>
              <w:spacing w:after="0"/>
              <w:rPr>
                <w:sz w:val="20"/>
                <w:szCs w:val="20"/>
                <w:color w:val="auto"/>
              </w:rPr>
            </w:pPr>
            <w:r>
              <w:rPr>
                <w:rFonts w:ascii="Arial" w:cs="Arial" w:eastAsia="Arial" w:hAnsi="Arial"/>
                <w:sz w:val="14"/>
                <w:szCs w:val="14"/>
                <w:b w:val="1"/>
                <w:bCs w:val="1"/>
                <w:color w:val="auto"/>
              </w:rPr>
              <w:t>Effective Dates</w:t>
            </w:r>
          </w:p>
        </w:tc>
      </w:tr>
      <w:tr>
        <w:trPr>
          <w:trHeight w:val="95"/>
        </w:trPr>
        <w:tc>
          <w:tcPr>
            <w:tcW w:w="20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r>
      <w:tr>
        <w:trPr>
          <w:trHeight w:val="309"/>
        </w:trPr>
        <w:tc>
          <w:tcPr>
            <w:tcW w:w="3140" w:type="dxa"/>
            <w:vAlign w:val="bottom"/>
            <w:gridSpan w:val="2"/>
          </w:tcPr>
          <w:p>
            <w:pPr>
              <w:spacing w:after="0"/>
              <w:rPr>
                <w:sz w:val="20"/>
                <w:szCs w:val="20"/>
                <w:color w:val="auto"/>
              </w:rPr>
            </w:pPr>
            <w:r>
              <w:rPr>
                <w:rFonts w:ascii="Arial" w:cs="Arial" w:eastAsia="Arial" w:hAnsi="Arial"/>
                <w:sz w:val="18"/>
                <w:szCs w:val="18"/>
                <w:color w:val="auto"/>
              </w:rPr>
              <w:t>After January 31, 2003</w:t>
            </w:r>
          </w:p>
        </w:tc>
        <w:tc>
          <w:tcPr>
            <w:tcW w:w="880" w:type="dxa"/>
            <w:vAlign w:val="bottom"/>
          </w:tcPr>
          <w:p>
            <w:pPr>
              <w:spacing w:after="0"/>
              <w:rPr>
                <w:sz w:val="24"/>
                <w:szCs w:val="24"/>
                <w:color w:val="auto"/>
              </w:rPr>
            </w:pP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All variable interest entities</w:t>
            </w:r>
          </w:p>
        </w:tc>
        <w:tc>
          <w:tcPr>
            <w:tcW w:w="300" w:type="dxa"/>
            <w:vAlign w:val="bottom"/>
          </w:tcPr>
          <w:p>
            <w:pPr>
              <w:spacing w:after="0"/>
              <w:rPr>
                <w:sz w:val="24"/>
                <w:szCs w:val="24"/>
                <w:color w:val="auto"/>
              </w:rPr>
            </w:pPr>
          </w:p>
        </w:tc>
        <w:tc>
          <w:tcPr>
            <w:tcW w:w="2800" w:type="dxa"/>
            <w:vAlign w:val="bottom"/>
          </w:tcPr>
          <w:p>
            <w:pPr>
              <w:ind w:left="700"/>
              <w:spacing w:after="0"/>
              <w:rPr>
                <w:sz w:val="20"/>
                <w:szCs w:val="20"/>
                <w:color w:val="auto"/>
              </w:rPr>
            </w:pPr>
            <w:r>
              <w:rPr>
                <w:rFonts w:ascii="Arial" w:cs="Arial" w:eastAsia="Arial" w:hAnsi="Arial"/>
                <w:sz w:val="18"/>
                <w:szCs w:val="18"/>
                <w:color w:val="auto"/>
              </w:rPr>
              <w:t>February 1, 2003</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On or before January 31, 2003</w:t>
            </w:r>
          </w:p>
        </w:tc>
        <w:tc>
          <w:tcPr>
            <w:tcW w:w="880" w:type="dxa"/>
            <w:vAlign w:val="bottom"/>
          </w:tcPr>
          <w:p>
            <w:pPr>
              <w:spacing w:after="0"/>
              <w:rPr>
                <w:sz w:val="18"/>
                <w:szCs w:val="18"/>
                <w:color w:val="auto"/>
              </w:rPr>
            </w:pP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Special purpose variable interest entities(a)</w:t>
            </w:r>
          </w:p>
        </w:tc>
        <w:tc>
          <w:tcPr>
            <w:tcW w:w="300" w:type="dxa"/>
            <w:vAlign w:val="bottom"/>
          </w:tcPr>
          <w:p>
            <w:pPr>
              <w:spacing w:after="0"/>
              <w:rPr>
                <w:sz w:val="18"/>
                <w:szCs w:val="18"/>
                <w:color w:val="auto"/>
              </w:rPr>
            </w:pPr>
          </w:p>
        </w:tc>
        <w:tc>
          <w:tcPr>
            <w:tcW w:w="2800" w:type="dxa"/>
            <w:vAlign w:val="bottom"/>
          </w:tcPr>
          <w:p>
            <w:pPr>
              <w:ind w:left="700"/>
              <w:spacing w:after="0"/>
              <w:rPr>
                <w:sz w:val="20"/>
                <w:szCs w:val="20"/>
                <w:color w:val="auto"/>
              </w:rPr>
            </w:pPr>
            <w:r>
              <w:rPr>
                <w:rFonts w:ascii="Arial" w:cs="Arial" w:eastAsia="Arial" w:hAnsi="Arial"/>
                <w:sz w:val="18"/>
                <w:szCs w:val="18"/>
                <w:color w:val="auto"/>
              </w:rPr>
              <w:t>December 31, 2003</w:t>
            </w: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On or before January 31, 2003</w:t>
            </w:r>
          </w:p>
        </w:tc>
        <w:tc>
          <w:tcPr>
            <w:tcW w:w="880" w:type="dxa"/>
            <w:vAlign w:val="bottom"/>
          </w:tcPr>
          <w:p>
            <w:pPr>
              <w:spacing w:after="0"/>
              <w:rPr>
                <w:sz w:val="19"/>
                <w:szCs w:val="19"/>
                <w:color w:val="auto"/>
              </w:rPr>
            </w:pPr>
          </w:p>
        </w:tc>
        <w:tc>
          <w:tcPr>
            <w:tcW w:w="4300" w:type="dxa"/>
            <w:vAlign w:val="bottom"/>
            <w:gridSpan w:val="2"/>
          </w:tcPr>
          <w:p>
            <w:pPr>
              <w:ind w:left="300"/>
              <w:spacing w:after="0"/>
              <w:rPr>
                <w:sz w:val="20"/>
                <w:szCs w:val="20"/>
                <w:color w:val="auto"/>
              </w:rPr>
            </w:pPr>
            <w:r>
              <w:rPr>
                <w:rFonts w:ascii="Arial" w:cs="Arial" w:eastAsia="Arial" w:hAnsi="Arial"/>
                <w:sz w:val="18"/>
                <w:szCs w:val="18"/>
                <w:color w:val="auto"/>
              </w:rPr>
              <w:t>All other variable interest entities(b)</w:t>
            </w:r>
          </w:p>
        </w:tc>
        <w:tc>
          <w:tcPr>
            <w:tcW w:w="300" w:type="dxa"/>
            <w:vAlign w:val="bottom"/>
          </w:tcPr>
          <w:p>
            <w:pPr>
              <w:spacing w:after="0"/>
              <w:rPr>
                <w:sz w:val="19"/>
                <w:szCs w:val="19"/>
                <w:color w:val="auto"/>
              </w:rPr>
            </w:pPr>
          </w:p>
        </w:tc>
        <w:tc>
          <w:tcPr>
            <w:tcW w:w="2800" w:type="dxa"/>
            <w:vAlign w:val="bottom"/>
          </w:tcPr>
          <w:p>
            <w:pPr>
              <w:ind w:left="700"/>
              <w:spacing w:after="0"/>
              <w:rPr>
                <w:sz w:val="20"/>
                <w:szCs w:val="20"/>
                <w:color w:val="auto"/>
              </w:rPr>
            </w:pPr>
            <w:r>
              <w:rPr>
                <w:rFonts w:ascii="Arial" w:cs="Arial" w:eastAsia="Arial" w:hAnsi="Arial"/>
                <w:sz w:val="18"/>
                <w:szCs w:val="18"/>
                <w:color w:val="auto"/>
              </w:rPr>
              <w:t>March 31, 2004</w:t>
            </w:r>
          </w:p>
        </w:tc>
      </w:tr>
      <w:tr>
        <w:trPr>
          <w:trHeight w:val="218"/>
        </w:trPr>
        <w:tc>
          <w:tcPr>
            <w:tcW w:w="2080" w:type="dxa"/>
            <w:vAlign w:val="bottom"/>
            <w:tcBorders>
              <w:bottom w:val="single" w:sz="8" w:color="808080"/>
            </w:tcBorders>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spacing w:after="0"/>
              <w:rPr>
                <w:sz w:val="18"/>
                <w:szCs w:val="18"/>
                <w:color w:val="auto"/>
              </w:rPr>
            </w:pPr>
          </w:p>
        </w:tc>
      </w:tr>
    </w:tbl>
    <w:p>
      <w:pPr>
        <w:spacing w:after="0" w:line="343" w:lineRule="exact"/>
        <w:rPr>
          <w:sz w:val="20"/>
          <w:szCs w:val="20"/>
          <w:color w:val="auto"/>
        </w:rPr>
      </w:pPr>
    </w:p>
    <w:p>
      <w:pPr>
        <w:ind w:left="460" w:hanging="452"/>
        <w:spacing w:after="0" w:line="255"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entity is a special purpose type variable interest entity if it has the following characteristics: (i) the entity was established for a specific transaction or business activity, usually for the benefit of a single company; (ii) substantially all of the activities of the entity involve assets transferred from a single company; (iii) the expected substantive residual risks and substantially all the residual rewards of the entity reside directly or indirectly with a single company and (iv) the owner of record of the entity has not made an initial substantive residual equity capital investment that is at risk during the entire term of the entity.</w:t>
      </w:r>
    </w:p>
    <w:p>
      <w:pPr>
        <w:spacing w:after="0" w:line="223"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continue to assess our other financial interests through the first quarter of 2004. See Note 23 for disclosures associated with financial interests identified through our implementation processes.</w:t>
      </w:r>
    </w:p>
    <w:p>
      <w:pPr>
        <w:spacing w:after="0" w:line="213"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 accordance with our implementation of FIN 46 to date, we began consolidating the financial results of a surety bonding company at the beginning of the third quarter of 2003 and consolidated the assets and liabilities of two leasing entities established for the leveraged lease financing of three of our waste-to-energy facilities on December 31, 2003 as described below:</w:t>
      </w:r>
    </w:p>
    <w:p>
      <w:pPr>
        <w:spacing w:after="0" w:line="221" w:lineRule="exact"/>
        <w:rPr>
          <w:sz w:val="20"/>
          <w:szCs w:val="20"/>
          <w:color w:val="auto"/>
        </w:rPr>
      </w:pPr>
    </w:p>
    <w:p>
      <w:pPr>
        <w:jc w:val="both"/>
        <w:ind w:right="180" w:firstLine="324"/>
        <w:spacing w:after="0" w:line="335" w:lineRule="auto"/>
        <w:rPr>
          <w:sz w:val="20"/>
          <w:szCs w:val="20"/>
          <w:color w:val="auto"/>
        </w:rPr>
      </w:pPr>
      <w:r>
        <w:rPr>
          <w:rFonts w:ascii="Arial" w:cs="Arial" w:eastAsia="Arial" w:hAnsi="Arial"/>
          <w:sz w:val="15"/>
          <w:szCs w:val="15"/>
          <w:i w:val="1"/>
          <w:iCs w:val="1"/>
          <w:color w:val="auto"/>
        </w:rPr>
        <w:t xml:space="preserve">Financial Interest in Surety Bonding Company </w:t>
      </w:r>
      <w:r>
        <w:rPr>
          <w:rFonts w:ascii="Arial" w:cs="Arial" w:eastAsia="Arial" w:hAnsi="Arial"/>
          <w:sz w:val="15"/>
          <w:szCs w:val="15"/>
          <w:color w:val="auto"/>
        </w:rPr>
        <w:t>— During the third quarter of 2003, we issued a $25.6 million letter of credit to support the debt of a surety</w:t>
      </w:r>
      <w:r>
        <w:rPr>
          <w:rFonts w:ascii="Arial" w:cs="Arial" w:eastAsia="Arial" w:hAnsi="Arial"/>
          <w:sz w:val="15"/>
          <w:szCs w:val="15"/>
          <w:i w:val="1"/>
          <w:iCs w:val="1"/>
          <w:color w:val="auto"/>
        </w:rPr>
        <w:t xml:space="preserve"> </w:t>
      </w:r>
      <w:r>
        <w:rPr>
          <w:rFonts w:ascii="Arial" w:cs="Arial" w:eastAsia="Arial" w:hAnsi="Arial"/>
          <w:sz w:val="15"/>
          <w:szCs w:val="15"/>
          <w:color w:val="auto"/>
        </w:rPr>
        <w:t>bonding company established by an unrelated third party to issue surety bonds to the waste industry and other industries. The letter of credit serves to guarantee the surety bonding company’s obligations associated with its debt and represents our exposure to loss associated with our financial interest in the entity.</w:t>
      </w:r>
    </w:p>
    <w:p>
      <w:pPr>
        <w:spacing w:after="0" w:line="169" w:lineRule="exact"/>
        <w:rPr>
          <w:sz w:val="20"/>
          <w:szCs w:val="20"/>
          <w:color w:val="auto"/>
        </w:rPr>
      </w:pPr>
    </w:p>
    <w:p>
      <w:pPr>
        <w:jc w:val="both"/>
        <w:ind w:right="320" w:firstLine="324"/>
        <w:spacing w:after="0" w:line="284" w:lineRule="auto"/>
        <w:rPr>
          <w:sz w:val="20"/>
          <w:szCs w:val="20"/>
          <w:color w:val="auto"/>
        </w:rPr>
      </w:pPr>
      <w:r>
        <w:rPr>
          <w:rFonts w:ascii="Arial" w:cs="Arial" w:eastAsia="Arial" w:hAnsi="Arial"/>
          <w:sz w:val="16"/>
          <w:szCs w:val="16"/>
          <w:color w:val="auto"/>
        </w:rPr>
        <w:t>Approximately $22 million of current assets, $5 million of other intangible assets and $27 million of debt have been included in our consolidated balance sheet as of December 31, 2003 as a result of the application of FIN 46 to this variable interest entity. Although we are the primary beneficiary of this variable interest entity, the creditors of the entity do not have recourse against our general credit and our losses are limited to our exposure under the guarantee.</w:t>
      </w:r>
    </w:p>
    <w:p>
      <w:pPr>
        <w:spacing w:after="0" w:line="1"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Consolidation of this entity did not materially impact our results of operations during the year ended December 31, 2003 nor do we anticipate that it will materially impact our results of operations in the foreseeable future. See Note 2 for additional discussion related to our financial assurance activities.</w:t>
      </w:r>
    </w:p>
    <w:p>
      <w:pPr>
        <w:spacing w:after="0" w:line="174" w:lineRule="exact"/>
        <w:rPr>
          <w:sz w:val="20"/>
          <w:szCs w:val="20"/>
          <w:color w:val="auto"/>
        </w:rPr>
      </w:pPr>
    </w:p>
    <w:p>
      <w:pPr>
        <w:ind w:right="420" w:firstLine="324"/>
        <w:spacing w:after="0" w:line="305" w:lineRule="auto"/>
        <w:rPr>
          <w:sz w:val="20"/>
          <w:szCs w:val="20"/>
          <w:color w:val="auto"/>
        </w:rPr>
      </w:pPr>
      <w:r>
        <w:rPr>
          <w:rFonts w:ascii="Arial" w:cs="Arial" w:eastAsia="Arial" w:hAnsi="Arial"/>
          <w:sz w:val="15"/>
          <w:szCs w:val="15"/>
          <w:i w:val="1"/>
          <w:iCs w:val="1"/>
          <w:color w:val="auto"/>
        </w:rPr>
        <w:t xml:space="preserve">Waste-to-Energy LLCs </w:t>
      </w:r>
      <w:r>
        <w:rPr>
          <w:rFonts w:ascii="Arial" w:cs="Arial" w:eastAsia="Arial" w:hAnsi="Arial"/>
          <w:sz w:val="15"/>
          <w:szCs w:val="15"/>
          <w:color w:val="auto"/>
        </w:rPr>
        <w:t>— On June 30, 2000, two limited liability companies (“LLCs”) were established to purchase interests in existing leveraged lease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financings at three waste-to-energy facilities that we operate under an agreement with the owner. John Hancock Life Insurance Company (“Hancock”) has a</w:t>
      </w:r>
    </w:p>
    <w:p>
      <w:pPr>
        <w:ind w:right="80"/>
        <w:spacing w:after="0" w:line="281" w:lineRule="auto"/>
        <w:rPr>
          <w:sz w:val="20"/>
          <w:szCs w:val="20"/>
          <w:color w:val="auto"/>
        </w:rPr>
      </w:pPr>
      <w:r>
        <w:rPr>
          <w:rFonts w:ascii="Arial" w:cs="Arial" w:eastAsia="Arial" w:hAnsi="Arial"/>
          <w:sz w:val="16"/>
          <w:szCs w:val="16"/>
          <w:color w:val="auto"/>
        </w:rPr>
        <w:t>99.5% ownership interest in one of the LLCs (“LLC I”), and the second LLC (“LLC II”) is 99.75% collectively owned by LLC I and the CIT Group (“CIT”). We own the remaining equity interest in each LLC.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w:t>
      </w:r>
    </w:p>
    <w:p>
      <w:pPr>
        <w:spacing w:after="0" w:line="3" w:lineRule="exact"/>
        <w:rPr>
          <w:sz w:val="20"/>
          <w:szCs w:val="20"/>
          <w:color w:val="auto"/>
        </w:rPr>
      </w:pPr>
    </w:p>
    <w:p>
      <w:pPr>
        <w:ind w:right="60" w:firstLine="8"/>
        <w:spacing w:after="0" w:line="261" w:lineRule="auto"/>
        <w:tabs>
          <w:tab w:leader="none" w:pos="2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December 31, 2063, (iii) the entry of a decree of judicial dissolution under the Delaware Limited Liability Company Act, or (iv) the LLCs ceasing to own any interest in these waste-to-energy facilities.</w:t>
      </w:r>
    </w:p>
    <w:p>
      <w:pPr>
        <w:spacing w:after="0" w:line="21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Income, losses and cash flows are allocated to the members based on their initial capital account balances until Hancock and CIT achieve targeted returns; thereafter, the earnings of LLC I will be allocated 20%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Hancock and 80% to us and the earnings of LLC II will be allocated 20% to Hancock and CIT and 80% to us. We do not expect Hancock and CIT to achieve the targeted returns at any time during the initial base term of the lease. We are required under certain circumstances to make capital contributions to the LLCs in the amount of the difference between the stipulated loss amounts and terminated values under the LLC agreements to the extent they are different from the underlying lease agreements. We believe that the likelihood of the occurrence of these circumstances is remote. Additionally, if we exercise certain renewal options under the leases, we will be required to make capital contributions to the LLCs for the difference between fair market rents and the scheduled renewal rents, if any.</w:t>
      </w:r>
    </w:p>
    <w:p>
      <w:pPr>
        <w:spacing w:after="0" w:line="181" w:lineRule="exact"/>
        <w:rPr>
          <w:sz w:val="20"/>
          <w:szCs w:val="20"/>
          <w:color w:val="auto"/>
        </w:rPr>
      </w:pPr>
    </w:p>
    <w:p>
      <w:pPr>
        <w:ind w:right="280" w:firstLine="324"/>
        <w:spacing w:after="0" w:line="303" w:lineRule="auto"/>
        <w:rPr>
          <w:sz w:val="20"/>
          <w:szCs w:val="20"/>
          <w:color w:val="auto"/>
        </w:rPr>
      </w:pPr>
      <w:r>
        <w:rPr>
          <w:rFonts w:ascii="Arial" w:cs="Arial" w:eastAsia="Arial" w:hAnsi="Arial"/>
          <w:sz w:val="15"/>
          <w:szCs w:val="15"/>
          <w:color w:val="auto"/>
        </w:rPr>
        <w:t>Prior to the consolidation of the entities, we accounted for the underlying leases of the waste-to-energy facilities as operating leases and accounted for our investment in the LLCs under the equity method of accounting. For the year ended December 31, 2003, we made aggregate lease payments of approximately $63 million. As of December 31, 2003, the remaining aggregate lease commitments related to these waste facilities was $467 million, which includes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$158 million in required capital contributions to the LLC for the amount of the difference between the bargain rents associated with the renewal options and fair value rental payments. The three facilities serve as collateral for the LLCs’ debt obligations.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impact of the consolidation of these entities as of December 31, 2003 (in millions):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6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10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1320" w:type="dxa"/>
            <w:vAlign w:val="bottom"/>
            <w:gridSpan w:val="3"/>
          </w:tcPr>
          <w:p>
            <w:pPr>
              <w:jc w:val="right"/>
              <w:ind w:right="9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106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 in variable interest entities</w:t>
            </w:r>
          </w:p>
        </w:tc>
        <w:tc>
          <w:tcPr>
            <w:tcW w:w="106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1060" w:type="dxa"/>
            <w:vAlign w:val="bottom"/>
          </w:tcPr>
          <w:p>
            <w:pPr>
              <w:spacing w:after="0"/>
              <w:rPr>
                <w:sz w:val="19"/>
                <w:szCs w:val="19"/>
                <w:color w:val="auto"/>
              </w:rPr>
            </w:pPr>
          </w:p>
        </w:tc>
        <w:tc>
          <w:tcPr>
            <w:tcW w:w="1320" w:type="dxa"/>
            <w:vAlign w:val="bottom"/>
            <w:gridSpan w:val="3"/>
          </w:tcPr>
          <w:p>
            <w:pPr>
              <w:jc w:val="right"/>
              <w:ind w:right="9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276</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On December 31, 2003, we recorded a charge to cumulative effect of change in accounting principle of approximately $43 million, net of tax benefit, or $0.07 per diluted share as a result of the consolidation of the LLCs. Additionally, we expect this change in accounting to impact the presentation of certain activity within our statement of operations beginning in the first quarter of 2004. However, we do not expect the change in accounting for the LLCs to materially impact our net income or cash flows.</w:t>
      </w:r>
    </w:p>
    <w:p>
      <w:pPr>
        <w:spacing w:after="0" w:line="200" w:lineRule="exact"/>
        <w:rPr>
          <w:sz w:val="20"/>
          <w:szCs w:val="20"/>
          <w:color w:val="auto"/>
        </w:rPr>
      </w:pPr>
    </w:p>
    <w:p>
      <w:pPr>
        <w:spacing w:after="0" w:line="234" w:lineRule="exact"/>
        <w:rPr>
          <w:sz w:val="20"/>
          <w:szCs w:val="20"/>
          <w:color w:val="auto"/>
        </w:rPr>
      </w:pPr>
    </w:p>
    <w:p>
      <w:pPr>
        <w:ind w:left="580" w:hanging="572"/>
        <w:spacing w:after="0"/>
        <w:tabs>
          <w:tab w:leader="none" w:pos="5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manage and evaluate our operations primarily through our Eastern, Midwest, Southern, Western, Canadian, Wheelabrator and Recycling Groups. These seven operating Groups are presented below as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 by Wheelabrator, recycling and other miscellaneous services to commercial, industrial, municipal and residential customers throughout the United States, Puerto Rico and Canada. The operations not managed through our seven operating Groups are presented herein as “Other NASW.” We also had international waste management services and non-solid waste services, all of which were divested by March 31, 2002. However, we continue to incur minimal administrative expenses in connection with these divestitures. These operations are included in the table below as “Other.”</w:t>
      </w:r>
    </w:p>
    <w:p>
      <w:pPr>
        <w:spacing w:after="0" w:line="199" w:lineRule="exact"/>
        <w:rPr>
          <w:sz w:val="20"/>
          <w:szCs w:val="20"/>
          <w:color w:val="auto"/>
        </w:rPr>
      </w:pPr>
    </w:p>
    <w:p>
      <w:pPr>
        <w:ind w:right="540" w:firstLine="324"/>
        <w:spacing w:after="0" w:line="306" w:lineRule="auto"/>
        <w:rPr>
          <w:sz w:val="20"/>
          <w:szCs w:val="20"/>
          <w:color w:val="auto"/>
        </w:rPr>
      </w:pPr>
      <w:r>
        <w:rPr>
          <w:rFonts w:ascii="Arial" w:cs="Arial" w:eastAsia="Arial" w:hAnsi="Arial"/>
          <w:sz w:val="16"/>
          <w:szCs w:val="16"/>
          <w:color w:val="auto"/>
        </w:rPr>
        <w:t>Summarized financial information concerning our reportable segments for the respective years ended December 31 is shown in the following table (in millions). In our prior year footnotes to the consolidated financial statements, Recycling was included within the geographic Groups. For the current year presentation, prior period information has been restated to conform to the current year presentation.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Intercompany</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Depreciation</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Operating</w:t>
            </w:r>
          </w:p>
        </w:tc>
        <w:tc>
          <w:tcPr>
            <w:tcW w:w="24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4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Income from</w:t>
            </w:r>
          </w:p>
        </w:tc>
        <w:tc>
          <w:tcPr>
            <w:tcW w:w="2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2"/>
                <w:szCs w:val="12"/>
                <w:color w:val="auto"/>
              </w:rPr>
            </w:pPr>
          </w:p>
        </w:tc>
        <w:tc>
          <w:tcPr>
            <w:tcW w:w="16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Total Assets(f),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260" w:type="dxa"/>
            <w:vAlign w:val="bottom"/>
          </w:tcPr>
          <w:p>
            <w:pPr>
              <w:spacing w:after="0"/>
              <w:rPr>
                <w:sz w:val="15"/>
                <w:szCs w:val="15"/>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Revenues(d)</w:t>
            </w:r>
          </w:p>
        </w:tc>
        <w:tc>
          <w:tcPr>
            <w:tcW w:w="240" w:type="dxa"/>
            <w:vAlign w:val="bottom"/>
          </w:tcPr>
          <w:p>
            <w:pPr>
              <w:spacing w:after="0"/>
              <w:rPr>
                <w:sz w:val="15"/>
                <w:szCs w:val="15"/>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Revenues</w:t>
            </w:r>
          </w:p>
        </w:tc>
        <w:tc>
          <w:tcPr>
            <w:tcW w:w="24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Operations(e)</w:t>
            </w:r>
          </w:p>
        </w:tc>
        <w:tc>
          <w:tcPr>
            <w:tcW w:w="24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Amortization(e)</w:t>
            </w:r>
          </w:p>
        </w:tc>
        <w:tc>
          <w:tcPr>
            <w:tcW w:w="24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Expenditures</w:t>
            </w:r>
          </w:p>
        </w:tc>
        <w:tc>
          <w:tcPr>
            <w:tcW w:w="260" w:type="dxa"/>
            <w:vAlign w:val="bottom"/>
          </w:tcPr>
          <w:p>
            <w:pPr>
              <w:spacing w:after="0"/>
              <w:rPr>
                <w:sz w:val="15"/>
                <w:szCs w:val="15"/>
                <w:color w:val="auto"/>
              </w:rPr>
            </w:pPr>
          </w:p>
        </w:tc>
        <w:tc>
          <w:tcPr>
            <w:tcW w:w="1640" w:type="dxa"/>
            <w:vAlign w:val="bottom"/>
            <w:gridSpan w:val="3"/>
          </w:tcPr>
          <w:p>
            <w:pPr>
              <w:ind w:left="620"/>
              <w:spacing w:after="0"/>
              <w:rPr>
                <w:sz w:val="20"/>
                <w:szCs w:val="20"/>
                <w:color w:val="auto"/>
              </w:rPr>
            </w:pPr>
            <w:r>
              <w:rPr>
                <w:rFonts w:ascii="Arial" w:cs="Arial" w:eastAsia="Arial" w:hAnsi="Arial"/>
                <w:sz w:val="14"/>
                <w:szCs w:val="14"/>
                <w:b w:val="1"/>
                <w:bCs w:val="1"/>
                <w:color w:val="auto"/>
              </w:rPr>
              <w:t>(g), (h)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2003</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Canadian</w:t>
            </w:r>
          </w:p>
        </w:tc>
        <w:tc>
          <w:tcPr>
            <w:tcW w:w="340" w:type="dxa"/>
            <w:vAlign w:val="bottom"/>
          </w:tcPr>
          <w:p>
            <w:pPr>
              <w:ind w:left="26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573</w:t>
            </w:r>
          </w:p>
        </w:tc>
        <w:tc>
          <w:tcPr>
            <w:tcW w:w="2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4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4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320" w:type="dxa"/>
            <w:vAlign w:val="bottom"/>
          </w:tcPr>
          <w:p>
            <w:pPr>
              <w:spacing w:after="0"/>
              <w:rPr>
                <w:sz w:val="12"/>
                <w:szCs w:val="12"/>
                <w:color w:val="auto"/>
              </w:rPr>
            </w:pPr>
          </w:p>
        </w:tc>
        <w:tc>
          <w:tcPr>
            <w:tcW w:w="960" w:type="dxa"/>
            <w:vAlign w:val="bottom"/>
            <w:gridSpan w:val="2"/>
          </w:tcPr>
          <w:p>
            <w:pPr>
              <w:ind w:left="8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1,329</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Eastern</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3,825</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(770)</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3,055</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360</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372</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326</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5,322</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Midwest</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2,213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(389)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1,824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323</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3,025</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Southern</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3,027</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(455)</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2,572</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589</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274</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245</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2,896</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Western</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2,507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2,173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2,820</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Wheelabrator</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819</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(60)</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759</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229</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42</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2,680</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Recycling(a)</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567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552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429</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NASW(b)</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200</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(77)</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123</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7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(26)</w:t>
            </w: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10</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1,035</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800" w:type="dxa"/>
            <w:vAlign w:val="bottom"/>
            <w:gridSpan w:val="2"/>
          </w:tcPr>
          <w:p>
            <w:pPr>
              <w:spacing w:after="0"/>
              <w:rPr>
                <w:sz w:val="20"/>
                <w:szCs w:val="20"/>
                <w:color w:val="auto"/>
              </w:rPr>
            </w:pPr>
            <w:r>
              <w:rPr>
                <w:rFonts w:ascii="Arial" w:cs="Arial" w:eastAsia="Arial" w:hAnsi="Arial"/>
                <w:sz w:val="14"/>
                <w:szCs w:val="14"/>
                <w:color w:val="auto"/>
              </w:rPr>
              <w:t>Total NASW</w:t>
            </w:r>
          </w:p>
        </w:tc>
        <w:tc>
          <w:tcPr>
            <w:tcW w:w="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13,731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w w:val="81"/>
              </w:rPr>
              <w:t>(2,157)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11,574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4"/>
              </w:rPr>
              <w:t>1,912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1,209</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1,092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19,536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tcBorders>
              <w:right w:val="single" w:sz="8" w:color="EEEEEE"/>
            </w:tcBorders>
            <w:shd w:val="clear" w:color="auto" w:fill="EEEEEE"/>
          </w:tcPr>
          <w:p>
            <w:pPr>
              <w:spacing w:after="0"/>
              <w:rPr>
                <w:sz w:val="12"/>
                <w:szCs w:val="12"/>
                <w:color w:val="auto"/>
              </w:rPr>
            </w:pPr>
          </w:p>
        </w:tc>
        <w:tc>
          <w:tcPr>
            <w:tcW w:w="56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7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6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40</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Corporate(c)</w:t>
            </w:r>
          </w:p>
        </w:tc>
        <w:tc>
          <w:tcPr>
            <w:tcW w:w="3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(371)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56</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1,938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w:t>
            </w:r>
          </w:p>
        </w:tc>
        <w:tc>
          <w:tcPr>
            <w:tcW w:w="34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13,731</w:t>
            </w:r>
          </w:p>
        </w:tc>
        <w:tc>
          <w:tcPr>
            <w:tcW w:w="20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w w:val="81"/>
              </w:rPr>
              <w:t>(2,157)</w:t>
            </w:r>
          </w:p>
        </w:tc>
        <w:tc>
          <w:tcPr>
            <w:tcW w:w="5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11,574</w:t>
            </w:r>
          </w:p>
        </w:tc>
        <w:tc>
          <w:tcPr>
            <w:tcW w:w="2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4"/>
              </w:rPr>
              <w:t>1,540</w:t>
            </w:r>
          </w:p>
        </w:tc>
        <w:tc>
          <w:tcPr>
            <w:tcW w:w="400" w:type="dxa"/>
            <w:vAlign w:val="bottom"/>
            <w:shd w:val="clear" w:color="auto" w:fill="EEEEEE"/>
          </w:tcPr>
          <w:p>
            <w:pPr>
              <w:spacing w:after="0"/>
              <w:rPr>
                <w:sz w:val="12"/>
                <w:szCs w:val="12"/>
                <w:color w:val="auto"/>
              </w:rPr>
            </w:pPr>
          </w:p>
        </w:tc>
        <w:tc>
          <w:tcPr>
            <w:tcW w:w="8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1,265</w:t>
            </w:r>
          </w:p>
        </w:tc>
        <w:tc>
          <w:tcPr>
            <w:tcW w:w="440" w:type="dxa"/>
            <w:vAlign w:val="bottom"/>
            <w:shd w:val="clear" w:color="auto" w:fill="EEEEEE"/>
          </w:tcPr>
          <w:p>
            <w:pPr>
              <w:spacing w:after="0"/>
              <w:rPr>
                <w:sz w:val="12"/>
                <w:szCs w:val="12"/>
                <w:color w:val="auto"/>
              </w:rPr>
            </w:pPr>
          </w:p>
        </w:tc>
        <w:tc>
          <w:tcPr>
            <w:tcW w:w="7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1,200</w:t>
            </w:r>
          </w:p>
        </w:tc>
        <w:tc>
          <w:tcPr>
            <w:tcW w:w="320" w:type="dxa"/>
            <w:vAlign w:val="bottom"/>
            <w:shd w:val="clear" w:color="auto" w:fill="EEEEEE"/>
          </w:tcPr>
          <w:p>
            <w:pPr>
              <w:spacing w:after="0"/>
              <w:rPr>
                <w:sz w:val="12"/>
                <w:szCs w:val="12"/>
                <w:color w:val="auto"/>
              </w:rPr>
            </w:pPr>
          </w:p>
        </w:tc>
        <w:tc>
          <w:tcPr>
            <w:tcW w:w="960" w:type="dxa"/>
            <w:vAlign w:val="bottom"/>
            <w:tcBorders>
              <w:right w:val="single" w:sz="8" w:color="EEEEEE"/>
            </w:tcBorders>
            <w:gridSpan w:val="2"/>
            <w:shd w:val="clear" w:color="auto" w:fill="EEEEEE"/>
          </w:tcPr>
          <w:p>
            <w:pPr>
              <w:ind w:left="88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21,514</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0" w:type="dxa"/>
            <w:vAlign w:val="bottom"/>
            <w:gridSpan w:val="2"/>
            <w:vMerge w:val="continue"/>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180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Canadian</w:t>
            </w:r>
          </w:p>
        </w:tc>
        <w:tc>
          <w:tcPr>
            <w:tcW w:w="34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524</w:t>
            </w:r>
          </w:p>
        </w:tc>
        <w:tc>
          <w:tcPr>
            <w:tcW w:w="20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(51)</w:t>
            </w:r>
          </w:p>
        </w:tc>
        <w:tc>
          <w:tcPr>
            <w:tcW w:w="5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473</w:t>
            </w:r>
          </w:p>
        </w:tc>
        <w:tc>
          <w:tcPr>
            <w:tcW w:w="22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37</w:t>
            </w:r>
          </w:p>
        </w:tc>
        <w:tc>
          <w:tcPr>
            <w:tcW w:w="400" w:type="dxa"/>
            <w:vAlign w:val="bottom"/>
            <w:shd w:val="clear" w:color="auto" w:fill="EEEEEE"/>
          </w:tcPr>
          <w:p>
            <w:pPr>
              <w:spacing w:after="0"/>
              <w:rPr>
                <w:sz w:val="12"/>
                <w:szCs w:val="12"/>
                <w:color w:val="auto"/>
              </w:rPr>
            </w:pPr>
          </w:p>
        </w:tc>
        <w:tc>
          <w:tcPr>
            <w:tcW w:w="8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49</w:t>
            </w:r>
          </w:p>
        </w:tc>
        <w:tc>
          <w:tcPr>
            <w:tcW w:w="440" w:type="dxa"/>
            <w:vAlign w:val="bottom"/>
            <w:shd w:val="clear" w:color="auto" w:fill="EEEEEE"/>
          </w:tcPr>
          <w:p>
            <w:pPr>
              <w:spacing w:after="0"/>
              <w:rPr>
                <w:sz w:val="12"/>
                <w:szCs w:val="12"/>
                <w:color w:val="auto"/>
              </w:rPr>
            </w:pPr>
          </w:p>
        </w:tc>
        <w:tc>
          <w:tcPr>
            <w:tcW w:w="70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49</w:t>
            </w:r>
          </w:p>
        </w:tc>
        <w:tc>
          <w:tcPr>
            <w:tcW w:w="320" w:type="dxa"/>
            <w:vAlign w:val="bottom"/>
            <w:shd w:val="clear" w:color="auto" w:fill="EEEEEE"/>
          </w:tcPr>
          <w:p>
            <w:pPr>
              <w:spacing w:after="0"/>
              <w:rPr>
                <w:sz w:val="12"/>
                <w:szCs w:val="12"/>
                <w:color w:val="auto"/>
              </w:rPr>
            </w:pPr>
          </w:p>
        </w:tc>
        <w:tc>
          <w:tcPr>
            <w:tcW w:w="960" w:type="dxa"/>
            <w:vAlign w:val="bottom"/>
            <w:tcBorders>
              <w:right w:val="single" w:sz="8" w:color="EEEEEE"/>
            </w:tcBorders>
            <w:gridSpan w:val="2"/>
            <w:shd w:val="clear" w:color="auto" w:fill="EEEEEE"/>
          </w:tcPr>
          <w:p>
            <w:pPr>
              <w:ind w:left="88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1,114</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Eastern</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3,745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(733)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3,012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5,298</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Midwest</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2,223</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(324)</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1,899</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345</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255</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250</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2,960</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Southern</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2,979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(450)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2,529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2,805</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Western</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2,468</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(341)</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2,127</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375</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184</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188</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2,818</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Wheelabrator</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789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(58)</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2,404</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Recycling(a)</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314</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(11)</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303</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16</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262</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Other NASW(b)</w:t>
            </w: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791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 NASW</w:t>
            </w: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13,133</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w w:val="81"/>
              </w:rPr>
              <w:t>(1,999)</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11,134</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30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74"/>
              </w:rPr>
              <w:t>2,011</w:t>
            </w: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1,180</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1,172</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18,452</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Corporate(c)</w:t>
            </w:r>
          </w:p>
        </w:tc>
        <w:tc>
          <w:tcPr>
            <w:tcW w:w="340" w:type="dxa"/>
            <w:vAlign w:val="bottom"/>
            <w:tcBorders>
              <w:right w:val="single" w:sz="8" w:color="EEEEEE"/>
            </w:tcBorders>
            <w:shd w:val="clear" w:color="auto" w:fill="EEEEEE"/>
          </w:tcPr>
          <w:p>
            <w:pPr>
              <w:spacing w:after="0"/>
              <w:rPr>
                <w:sz w:val="12"/>
                <w:szCs w:val="12"/>
                <w:color w:val="auto"/>
              </w:rPr>
            </w:pPr>
          </w:p>
        </w:tc>
        <w:tc>
          <w:tcPr>
            <w:tcW w:w="56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5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40" w:type="dxa"/>
            <w:vAlign w:val="bottom"/>
            <w:tcBorders>
              <w:right w:val="single" w:sz="8" w:color="EEEEEE"/>
            </w:tcBorders>
            <w:shd w:val="clear" w:color="auto" w:fill="EEEEEE"/>
          </w:tcPr>
          <w:p>
            <w:pPr>
              <w:spacing w:after="0"/>
              <w:rPr>
                <w:sz w:val="12"/>
                <w:szCs w:val="12"/>
                <w:color w:val="auto"/>
              </w:rPr>
            </w:pPr>
          </w:p>
        </w:tc>
        <w:tc>
          <w:tcPr>
            <w:tcW w:w="70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w w:val="97"/>
              </w:rPr>
              <w:t>(363)</w:t>
            </w:r>
          </w:p>
        </w:tc>
        <w:tc>
          <w:tcPr>
            <w:tcW w:w="24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42</w:t>
            </w:r>
          </w:p>
        </w:tc>
        <w:tc>
          <w:tcPr>
            <w:tcW w:w="4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6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115</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00" w:type="dxa"/>
            <w:vAlign w:val="bottom"/>
            <w:tcBorders>
              <w:right w:val="single" w:sz="8" w:color="EEEEEE"/>
            </w:tcBorders>
            <w:shd w:val="clear" w:color="auto" w:fill="EEEEEE"/>
          </w:tcPr>
          <w:p>
            <w:pPr>
              <w:spacing w:after="0"/>
              <w:rPr>
                <w:sz w:val="12"/>
                <w:szCs w:val="12"/>
                <w:color w:val="auto"/>
              </w:rPr>
            </w:pP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6"/>
              </w:rPr>
              <w:t>2,098</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00" w:type="dxa"/>
            <w:vAlign w:val="bottom"/>
            <w:gridSpan w:val="2"/>
          </w:tcPr>
          <w:p>
            <w:pPr>
              <w:spacing w:after="0"/>
              <w:rPr>
                <w:sz w:val="20"/>
                <w:szCs w:val="20"/>
                <w:color w:val="auto"/>
              </w:rPr>
            </w:pPr>
            <w:r>
              <w:rPr>
                <w:rFonts w:ascii="Arial" w:cs="Arial" w:eastAsia="Arial" w:hAnsi="Arial"/>
                <w:sz w:val="14"/>
                <w:szCs w:val="14"/>
                <w:color w:val="auto"/>
              </w:rPr>
              <w:t>Total</w:t>
            </w:r>
          </w:p>
        </w:tc>
        <w:tc>
          <w:tcPr>
            <w:tcW w:w="340" w:type="dxa"/>
            <w:vAlign w:val="bottom"/>
          </w:tcPr>
          <w:p>
            <w:pPr>
              <w:ind w:left="26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13,142</w:t>
            </w:r>
          </w:p>
        </w:tc>
        <w:tc>
          <w:tcPr>
            <w:tcW w:w="2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w w:val="81"/>
              </w:rPr>
              <w:t>(2,000)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9"/>
              </w:rPr>
              <w:t>11,142</w:t>
            </w:r>
          </w:p>
        </w:tc>
        <w:tc>
          <w:tcPr>
            <w:tcW w:w="2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4"/>
              </w:rPr>
              <w:t>1,644</w:t>
            </w:r>
          </w:p>
        </w:tc>
        <w:tc>
          <w:tcPr>
            <w:tcW w:w="4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1,222</w:t>
            </w:r>
          </w:p>
        </w:tc>
        <w:tc>
          <w:tcPr>
            <w:tcW w:w="4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1,287</w:t>
            </w:r>
          </w:p>
        </w:tc>
        <w:tc>
          <w:tcPr>
            <w:tcW w:w="320" w:type="dxa"/>
            <w:vAlign w:val="bottom"/>
          </w:tcPr>
          <w:p>
            <w:pPr>
              <w:spacing w:after="0"/>
              <w:rPr>
                <w:sz w:val="22"/>
                <w:szCs w:val="22"/>
                <w:color w:val="auto"/>
              </w:rPr>
            </w:pPr>
          </w:p>
        </w:tc>
        <w:tc>
          <w:tcPr>
            <w:tcW w:w="960" w:type="dxa"/>
            <w:vAlign w:val="bottom"/>
            <w:gridSpan w:val="2"/>
          </w:tcPr>
          <w:p>
            <w:pPr>
              <w:ind w:left="88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79"/>
              </w:rPr>
              <w:t>20,571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Intercompany</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Depreciation</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Operating</w:t>
            </w:r>
          </w:p>
        </w:tc>
        <w:tc>
          <w:tcPr>
            <w:tcW w:w="24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4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6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Income from</w:t>
            </w:r>
          </w:p>
        </w:tc>
        <w:tc>
          <w:tcPr>
            <w:tcW w:w="2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2"/>
                <w:szCs w:val="12"/>
                <w:color w:val="auto"/>
              </w:rPr>
            </w:pPr>
          </w:p>
        </w:tc>
        <w:tc>
          <w:tcPr>
            <w:tcW w:w="16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Total Assets(f),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Revenues</w:t>
            </w:r>
          </w:p>
        </w:tc>
        <w:tc>
          <w:tcPr>
            <w:tcW w:w="24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Revenues(d)</w:t>
            </w:r>
          </w:p>
        </w:tc>
        <w:tc>
          <w:tcPr>
            <w:tcW w:w="24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Operations(e)</w:t>
            </w:r>
          </w:p>
        </w:tc>
        <w:tc>
          <w:tcPr>
            <w:tcW w:w="24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Amortization(e)</w:t>
            </w:r>
          </w:p>
        </w:tc>
        <w:tc>
          <w:tcPr>
            <w:tcW w:w="24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Expenditures</w:t>
            </w:r>
          </w:p>
        </w:tc>
        <w:tc>
          <w:tcPr>
            <w:tcW w:w="260" w:type="dxa"/>
            <w:vAlign w:val="bottom"/>
          </w:tcPr>
          <w:p>
            <w:pPr>
              <w:spacing w:after="0"/>
              <w:rPr>
                <w:sz w:val="15"/>
                <w:szCs w:val="15"/>
                <w:color w:val="auto"/>
              </w:rPr>
            </w:pPr>
          </w:p>
        </w:tc>
        <w:tc>
          <w:tcPr>
            <w:tcW w:w="1640" w:type="dxa"/>
            <w:vAlign w:val="bottom"/>
            <w:gridSpan w:val="3"/>
          </w:tcPr>
          <w:p>
            <w:pPr>
              <w:ind w:left="620"/>
              <w:spacing w:after="0"/>
              <w:rPr>
                <w:sz w:val="20"/>
                <w:szCs w:val="20"/>
                <w:color w:val="auto"/>
              </w:rPr>
            </w:pPr>
            <w:r>
              <w:rPr>
                <w:rFonts w:ascii="Arial" w:cs="Arial" w:eastAsia="Arial" w:hAnsi="Arial"/>
                <w:sz w:val="14"/>
                <w:szCs w:val="14"/>
                <w:b w:val="1"/>
                <w:bCs w:val="1"/>
                <w:color w:val="auto"/>
              </w:rPr>
              <w:t>(g), (h)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2001</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Canadian</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2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(51)</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4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4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320" w:type="dxa"/>
            <w:vAlign w:val="bottom"/>
          </w:tcPr>
          <w:p>
            <w:pPr>
              <w:spacing w:after="0"/>
              <w:rPr>
                <w:sz w:val="12"/>
                <w:szCs w:val="12"/>
                <w:color w:val="auto"/>
              </w:rPr>
            </w:pPr>
          </w:p>
        </w:tc>
        <w:tc>
          <w:tcPr>
            <w:tcW w:w="940" w:type="dxa"/>
            <w:vAlign w:val="bottom"/>
            <w:gridSpan w:val="2"/>
          </w:tcPr>
          <w:p>
            <w:pPr>
              <w:ind w:left="8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1,111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Eastern</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3,734</w:t>
            </w: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(713)</w:t>
            </w:r>
          </w:p>
        </w:tc>
        <w:tc>
          <w:tcPr>
            <w:tcW w:w="2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3,021</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529</w:t>
            </w: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407</w:t>
            </w: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381</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5,165</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Midwest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2,269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1,934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2,936</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Southern</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2,971</w:t>
            </w: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(442)</w:t>
            </w:r>
          </w:p>
        </w:tc>
        <w:tc>
          <w:tcPr>
            <w:tcW w:w="2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2,529</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584</w:t>
            </w: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281</w:t>
            </w: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228</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2,761</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Western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2,531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(356)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2,175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2,734</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Wheelabrator(i)</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802</w:t>
            </w: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(55)</w:t>
            </w:r>
          </w:p>
        </w:tc>
        <w:tc>
          <w:tcPr>
            <w:tcW w:w="2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747</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229</w:t>
            </w: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72</w:t>
            </w: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19</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2,567</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Recycling(a)</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 NASW(b)</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77</w:t>
            </w: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(30)</w:t>
            </w:r>
          </w:p>
        </w:tc>
        <w:tc>
          <w:tcPr>
            <w:tcW w:w="2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47</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2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w:t>
            </w:r>
          </w:p>
        </w:tc>
        <w:tc>
          <w:tcPr>
            <w:tcW w:w="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373</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840" w:type="dxa"/>
            <w:vAlign w:val="bottom"/>
            <w:gridSpan w:val="2"/>
          </w:tcPr>
          <w:p>
            <w:pPr>
              <w:spacing w:after="0"/>
              <w:rPr>
                <w:sz w:val="20"/>
                <w:szCs w:val="20"/>
                <w:color w:val="auto"/>
              </w:rPr>
            </w:pPr>
            <w:r>
              <w:rPr>
                <w:rFonts w:ascii="Arial" w:cs="Arial" w:eastAsia="Arial" w:hAnsi="Arial"/>
                <w:sz w:val="14"/>
                <w:szCs w:val="14"/>
                <w:color w:val="auto"/>
              </w:rPr>
              <w:t>Total NASW</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13,156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w w:val="85"/>
              </w:rPr>
              <w:t>(1,994)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11,162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2,176</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1,330</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1,175</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17,888</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Other</w:t>
            </w:r>
          </w:p>
        </w:tc>
        <w:tc>
          <w:tcPr>
            <w:tcW w:w="2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204</w:t>
            </w: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(44)</w:t>
            </w:r>
          </w:p>
        </w:tc>
        <w:tc>
          <w:tcPr>
            <w:tcW w:w="2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160</w:t>
            </w:r>
          </w:p>
        </w:tc>
        <w:tc>
          <w:tcPr>
            <w:tcW w:w="20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right w:val="single" w:sz="8" w:color="EEEEEE"/>
            </w:tcBorders>
            <w:shd w:val="clear" w:color="auto" w:fill="EEEEEE"/>
          </w:tcPr>
          <w:p>
            <w:pPr>
              <w:spacing w:after="0"/>
              <w:rPr>
                <w:sz w:val="12"/>
                <w:szCs w:val="12"/>
                <w:color w:val="auto"/>
              </w:rPr>
            </w:pPr>
          </w:p>
        </w:tc>
        <w:tc>
          <w:tcPr>
            <w:tcW w:w="72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(47)</w:t>
            </w:r>
          </w:p>
        </w:tc>
        <w:tc>
          <w:tcPr>
            <w:tcW w:w="24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124</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Corporate(c)</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(846)</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152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1,880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w:t>
            </w:r>
          </w:p>
        </w:tc>
        <w:tc>
          <w:tcPr>
            <w:tcW w:w="3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13,360</w:t>
            </w:r>
          </w:p>
        </w:tc>
        <w:tc>
          <w:tcPr>
            <w:tcW w:w="20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w w:val="85"/>
              </w:rPr>
              <w:t>(2,038)</w:t>
            </w:r>
          </w:p>
        </w:tc>
        <w:tc>
          <w:tcPr>
            <w:tcW w:w="5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11,322</w:t>
            </w:r>
          </w:p>
        </w:tc>
        <w:tc>
          <w:tcPr>
            <w:tcW w:w="200" w:type="dxa"/>
            <w:vAlign w:val="bottom"/>
            <w:shd w:val="clear" w:color="auto" w:fill="EEEEEE"/>
          </w:tcPr>
          <w:p>
            <w:pPr>
              <w:spacing w:after="0"/>
              <w:rPr>
                <w:sz w:val="12"/>
                <w:szCs w:val="12"/>
                <w:color w:val="auto"/>
              </w:rPr>
            </w:pPr>
          </w:p>
        </w:tc>
        <w:tc>
          <w:tcPr>
            <w:tcW w:w="68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1,283</w:t>
            </w:r>
          </w:p>
        </w:tc>
        <w:tc>
          <w:tcPr>
            <w:tcW w:w="42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1,371</w:t>
            </w:r>
          </w:p>
        </w:tc>
        <w:tc>
          <w:tcPr>
            <w:tcW w:w="420" w:type="dxa"/>
            <w:vAlign w:val="bottom"/>
            <w:shd w:val="clear" w:color="auto" w:fill="EEEEEE"/>
          </w:tcPr>
          <w:p>
            <w:pPr>
              <w:spacing w:after="0"/>
              <w:rPr>
                <w:sz w:val="12"/>
                <w:szCs w:val="12"/>
                <w:color w:val="auto"/>
              </w:rPr>
            </w:pPr>
          </w:p>
        </w:tc>
        <w:tc>
          <w:tcPr>
            <w:tcW w:w="68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5"/>
              </w:rPr>
              <w:t>1,328</w:t>
            </w:r>
          </w:p>
        </w:tc>
        <w:tc>
          <w:tcPr>
            <w:tcW w:w="3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ind w:left="8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3"/>
              </w:rPr>
              <w:t>19,892</w:t>
            </w:r>
          </w:p>
        </w:tc>
        <w:tc>
          <w:tcPr>
            <w:tcW w:w="5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left="460" w:right="160" w:hanging="452"/>
        <w:spacing w:after="0" w:line="370"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Recycling Group is comprised of Recycle America Alliance, L.L.C. Recycle America Alliance includes certain recycling assets transferred from our geographic operating Groups as well as assets contributed in January 2003 by the Peltz Group, our minority interest partner in Recycle America Alliance.</w:t>
      </w:r>
    </w:p>
    <w:p>
      <w:pPr>
        <w:spacing w:after="0" w:line="143" w:lineRule="exact"/>
        <w:rPr>
          <w:rFonts w:ascii="Arial" w:cs="Arial" w:eastAsia="Arial" w:hAnsi="Arial"/>
          <w:sz w:val="15"/>
          <w:szCs w:val="15"/>
          <w:color w:val="auto"/>
        </w:rPr>
      </w:pPr>
    </w:p>
    <w:p>
      <w:pPr>
        <w:ind w:left="460" w:right="200" w:hanging="452"/>
        <w:spacing w:after="0" w:line="306"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Other NASW includes operations provided throughout our operating Groups for methane gas recovery and certain third party sub-contract and administration revenues managed by our national accounts department. Also included are certain year-end adjustments related to the reportable segments but not included in the measure of segment profit or loss used to assess their individual Group performance for the periods disclosed.</w:t>
      </w:r>
    </w:p>
    <w:p>
      <w:pPr>
        <w:spacing w:after="0" w:line="187"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Corporate functions include the treasury, legal, information technology, tax, insurance, management of closed landfills and related insurance recoveries, centralized service center and other typical administrative functions. Certain of the associated costs for support services are allocated to the seven operating Groups.</w:t>
      </w:r>
    </w:p>
    <w:p>
      <w:pPr>
        <w:spacing w:after="0" w:line="221" w:lineRule="exact"/>
        <w:rPr>
          <w:rFonts w:ascii="Arial" w:cs="Arial" w:eastAsia="Arial" w:hAnsi="Arial"/>
          <w:sz w:val="18"/>
          <w:szCs w:val="18"/>
          <w:color w:val="auto"/>
        </w:rPr>
      </w:pPr>
    </w:p>
    <w:p>
      <w:pPr>
        <w:ind w:left="460" w:right="240" w:hanging="452"/>
        <w:spacing w:after="0" w:line="33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6" w:lineRule="exact"/>
        <w:rPr>
          <w:rFonts w:ascii="Arial" w:cs="Arial" w:eastAsia="Arial" w:hAnsi="Arial"/>
          <w:sz w:val="16"/>
          <w:szCs w:val="16"/>
          <w:color w:val="auto"/>
        </w:rPr>
      </w:pPr>
    </w:p>
    <w:p>
      <w:pPr>
        <w:ind w:left="460" w:right="40" w:hanging="452"/>
        <w:spacing w:after="0" w:line="25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generally the same as those described in the summary of significant accounting policies (see Note 2). Income from operations included goodwill amortization of $156 million for the year ended December 31, 2001. We ceased amortizing goodwill upon adoption of SFAS No. 142 on January 1, 2002. In 2003 and 2002, our corporate functions charged NASW operations an expense similar in amount to prior goodwill amortization. For the years ended December 31, 2003 and 2002 this charge increased income from operations for the corporate functions by $151 million and $148 million, respectively, and decreased income from operations by the same amount for NASW.</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on the consolidated balance sheets is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Total assets, as reported above</w:t>
            </w:r>
          </w:p>
        </w:tc>
        <w:tc>
          <w:tcPr>
            <w:tcW w:w="22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$21,514</w:t>
            </w:r>
          </w:p>
        </w:tc>
        <w:tc>
          <w:tcPr>
            <w:tcW w:w="24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$20,571</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$19,892</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Elimination of intercompany investments and advances</w:t>
            </w:r>
          </w:p>
        </w:tc>
        <w:tc>
          <w:tcPr>
            <w:tcW w:w="2440" w:type="dxa"/>
            <w:vAlign w:val="bottom"/>
            <w:gridSpan w:val="4"/>
          </w:tcPr>
          <w:p>
            <w:pPr>
              <w:jc w:val="right"/>
              <w:ind w:right="200"/>
              <w:spacing w:after="0"/>
              <w:rPr>
                <w:sz w:val="20"/>
                <w:szCs w:val="20"/>
                <w:color w:val="auto"/>
              </w:rPr>
            </w:pPr>
            <w:r>
              <w:rPr>
                <w:rFonts w:ascii="Arial" w:cs="Arial" w:eastAsia="Arial" w:hAnsi="Arial"/>
                <w:sz w:val="18"/>
                <w:szCs w:val="18"/>
                <w:color w:val="auto"/>
              </w:rPr>
              <w:t>(858)</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(715)</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(402)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assets, per consolidated balance sheets</w:t>
            </w:r>
          </w:p>
        </w:tc>
        <w:tc>
          <w:tcPr>
            <w:tcW w:w="22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$20,656</w:t>
            </w:r>
          </w:p>
        </w:tc>
        <w:tc>
          <w:tcPr>
            <w:tcW w:w="24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$19,856</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$19,490</w:t>
            </w:r>
          </w:p>
        </w:tc>
        <w:tc>
          <w:tcPr>
            <w:tcW w:w="2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380" w:type="dxa"/>
            <w:vAlign w:val="bottom"/>
            <w:vMerge w:val="restart"/>
          </w:tcPr>
          <w:p>
            <w:pPr>
              <w:jc w:val="right"/>
              <w:ind w:right="836"/>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1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Goodwill is included in total assets. The reconciliation of changes in goodwill during 2003 by reportable segment is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rPr>
              <w:t>Canadian</w:t>
            </w:r>
          </w:p>
        </w:tc>
        <w:tc>
          <w:tcPr>
            <w:tcW w:w="28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5"/>
                <w:szCs w:val="15"/>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Midwest</w:t>
            </w:r>
          </w:p>
        </w:tc>
        <w:tc>
          <w:tcPr>
            <w:tcW w:w="28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Southern</w:t>
            </w:r>
          </w:p>
        </w:tc>
        <w:tc>
          <w:tcPr>
            <w:tcW w:w="280" w:type="dxa"/>
            <w:vAlign w:val="bottom"/>
          </w:tcPr>
          <w:p>
            <w:pPr>
              <w:spacing w:after="0"/>
              <w:rPr>
                <w:sz w:val="15"/>
                <w:szCs w:val="15"/>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Western</w:t>
            </w:r>
          </w:p>
        </w:tc>
        <w:tc>
          <w:tcPr>
            <w:tcW w:w="280" w:type="dxa"/>
            <w:vAlign w:val="bottom"/>
          </w:tcPr>
          <w:p>
            <w:pPr>
              <w:spacing w:after="0"/>
              <w:rPr>
                <w:sz w:val="15"/>
                <w:szCs w:val="15"/>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Wheelabrator</w:t>
            </w:r>
          </w:p>
        </w:tc>
        <w:tc>
          <w:tcPr>
            <w:tcW w:w="28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Recycling</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$1,790</w:t>
            </w:r>
          </w:p>
        </w:tc>
        <w:tc>
          <w:tcPr>
            <w:tcW w:w="18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$895</w:t>
            </w:r>
          </w:p>
        </w:tc>
        <w:tc>
          <w:tcPr>
            <w:tcW w:w="2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$790</w:t>
            </w:r>
          </w:p>
        </w:tc>
        <w:tc>
          <w:tcPr>
            <w:tcW w:w="4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260"/>
              <w:spacing w:after="0"/>
              <w:rPr>
                <w:sz w:val="20"/>
                <w:szCs w:val="20"/>
                <w:color w:val="auto"/>
              </w:rPr>
            </w:pPr>
            <w:r>
              <w:rPr>
                <w:rFonts w:ascii="Arial" w:cs="Arial" w:eastAsia="Arial" w:hAnsi="Arial"/>
                <w:sz w:val="18"/>
                <w:szCs w:val="18"/>
                <w:color w:val="auto"/>
              </w:rPr>
              <w:t>Contribution of assets to RAA</w:t>
            </w:r>
          </w:p>
        </w:tc>
        <w:tc>
          <w:tcPr>
            <w:tcW w:w="32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(24)</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(12)</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(2)</w:t>
            </w: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Balance, January 1, 2003</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EEEEEE"/>
          </w:tcPr>
          <w:p>
            <w:pPr>
              <w:spacing w:after="0"/>
              <w:rPr>
                <w:sz w:val="18"/>
                <w:szCs w:val="18"/>
                <w:color w:val="auto"/>
              </w:rPr>
            </w:pPr>
          </w:p>
        </w:tc>
        <w:tc>
          <w:tcPr>
            <w:tcW w:w="8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1,766</w:t>
            </w:r>
          </w:p>
        </w:tc>
        <w:tc>
          <w:tcPr>
            <w:tcW w:w="18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790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60"/>
              <w:spacing w:after="0"/>
              <w:rPr>
                <w:sz w:val="20"/>
                <w:szCs w:val="20"/>
                <w:color w:val="auto"/>
              </w:rPr>
            </w:pPr>
            <w:r>
              <w:rPr>
                <w:rFonts w:ascii="Arial" w:cs="Arial" w:eastAsia="Arial" w:hAnsi="Arial"/>
                <w:sz w:val="18"/>
                <w:szCs w:val="18"/>
                <w:color w:val="auto"/>
              </w:rPr>
              <w:t>Acquired goodwill</w:t>
            </w:r>
          </w:p>
        </w:tc>
        <w:tc>
          <w:tcPr>
            <w:tcW w:w="3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Divested goodwill, net of assets</w:t>
            </w:r>
          </w:p>
        </w:tc>
        <w:tc>
          <w:tcPr>
            <w:tcW w:w="3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held for sale</w:t>
            </w:r>
          </w:p>
        </w:tc>
        <w:tc>
          <w:tcPr>
            <w:tcW w:w="320" w:type="dxa"/>
            <w:vAlign w:val="bottom"/>
            <w:shd w:val="clear" w:color="auto" w:fill="EEEEEE"/>
          </w:tcPr>
          <w:p>
            <w:pPr>
              <w:spacing w:after="0"/>
              <w:rPr>
                <w:sz w:val="19"/>
                <w:szCs w:val="19"/>
                <w:color w:val="auto"/>
              </w:rPr>
            </w:pPr>
          </w:p>
        </w:tc>
        <w:tc>
          <w:tcPr>
            <w:tcW w:w="4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(3)</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w:t>
            </w:r>
          </w:p>
        </w:tc>
        <w:tc>
          <w:tcPr>
            <w:tcW w:w="11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9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w:t>
            </w: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w:t>
            </w:r>
          </w:p>
        </w:tc>
        <w:tc>
          <w:tcPr>
            <w:tcW w:w="10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60"/>
              <w:spacing w:after="0"/>
              <w:rPr>
                <w:sz w:val="20"/>
                <w:szCs w:val="20"/>
                <w:color w:val="auto"/>
              </w:rPr>
            </w:pPr>
            <w:r>
              <w:rPr>
                <w:rFonts w:ascii="Arial" w:cs="Arial" w:eastAsia="Arial" w:hAnsi="Arial"/>
                <w:sz w:val="18"/>
                <w:szCs w:val="18"/>
                <w:color w:val="auto"/>
              </w:rPr>
              <w:t>Translation adjustments</w:t>
            </w:r>
          </w:p>
        </w:tc>
        <w:tc>
          <w:tcPr>
            <w:tcW w:w="600" w:type="dxa"/>
            <w:vAlign w:val="bottom"/>
            <w:gridSpan w:val="2"/>
          </w:tcPr>
          <w:p>
            <w:pPr>
              <w:ind w:left="420"/>
              <w:spacing w:after="0"/>
              <w:rPr>
                <w:sz w:val="20"/>
                <w:szCs w:val="20"/>
                <w:color w:val="auto"/>
              </w:rPr>
            </w:pPr>
            <w:r>
              <w:rPr>
                <w:rFonts w:ascii="Arial" w:cs="Arial" w:eastAsia="Arial" w:hAnsi="Arial"/>
                <w:sz w:val="16"/>
                <w:szCs w:val="16"/>
                <w:color w:val="auto"/>
                <w:w w:val="78"/>
              </w:rPr>
              <w:t>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adjustments</w:t>
            </w: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40" w:type="dxa"/>
            <w:vAlign w:val="bottom"/>
            <w:gridSpan w:val="2"/>
          </w:tcPr>
          <w:p>
            <w:pPr>
              <w:spacing w:after="0"/>
              <w:rPr>
                <w:sz w:val="20"/>
                <w:szCs w:val="20"/>
                <w:color w:val="auto"/>
              </w:rPr>
            </w:pPr>
            <w:r>
              <w:rPr>
                <w:rFonts w:ascii="Arial" w:cs="Arial" w:eastAsia="Arial" w:hAnsi="Arial"/>
                <w:sz w:val="18"/>
                <w:szCs w:val="18"/>
                <w:color w:val="auto"/>
              </w:rPr>
              <w:t>Balance, December 31, 2003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$1,786</w:t>
            </w:r>
          </w:p>
        </w:tc>
        <w:tc>
          <w:tcPr>
            <w:tcW w:w="18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$796</w:t>
            </w:r>
          </w:p>
        </w:tc>
        <w:tc>
          <w:tcPr>
            <w:tcW w:w="4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460" w:right="40" w:hanging="452"/>
        <w:spacing w:after="0" w:line="298"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discussed in Note 2 we changed our classification of estimated insurance recoveries beginning December 31, 2003. In our December 31, 2002 balance sheet, we have reclassified approximately $225 million of estimated insurance recoveries in order to conform the prior year’s presentation of our assets and liabilities with the current year’s presentation. We did not make similar reclassifications in the balance sheets of any period before 2002 because we determined that the reclassification did not materially impact the financial information presented.</w:t>
      </w:r>
    </w:p>
    <w:p>
      <w:pPr>
        <w:spacing w:after="0" w:line="193"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Income from operations for the year ended December 31, 2001 included certain significant items for our Wheelabrator segment that were unusual in nature. At the beginning of 2001, we classified our independent power production plants as held-for-sale. We re-evaluated our business alternatives during 2001, and based on these assessments, we decided to hold and operate the plants with the exception of one facility. Accordingly, we reclassified all but one of the plants from held-for-sale to held-for-use in 2001. As a result of this reclassification, we reversed our previously recorded held-for-sale impairment loss of $109 million through asset impairments and unusual items and recorded depreciation of $6 million that had been suspended through the held-for-sale period. We also subjected the plants to impairment testing on a held-for-use basis, which resulted in an impairment charge of $85 million, and is a component of asset impairments and unusual items in 2001.</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shows the total revenues contributed by the Company’s principal lines of business within NASW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NASW:</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Collection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7,584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Landfill</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2,660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Transfer</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Wheelabrator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Recycling and other(a)</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Intercompany(b)</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(2,157)</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1"/>
              </w:rPr>
              <w:t>(1,999)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(1,994)</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5560" w:type="dxa"/>
            <w:vAlign w:val="bottom"/>
            <w:gridSpan w:val="2"/>
          </w:tcPr>
          <w:p>
            <w:pPr>
              <w:ind w:left="440"/>
              <w:spacing w:after="0"/>
              <w:rPr>
                <w:sz w:val="20"/>
                <w:szCs w:val="20"/>
                <w:color w:val="auto"/>
              </w:rPr>
            </w:pPr>
            <w:r>
              <w:rPr>
                <w:rFonts w:ascii="Arial" w:cs="Arial" w:eastAsia="Arial" w:hAnsi="Arial"/>
                <w:sz w:val="18"/>
                <w:szCs w:val="18"/>
                <w:color w:val="auto"/>
              </w:rPr>
              <w:t>Operating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11,574</w:t>
            </w:r>
          </w:p>
        </w:tc>
        <w:tc>
          <w:tcPr>
            <w:tcW w:w="1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11,134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11,162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1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22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addition to the revenue generated by our Recycling Group, we have included revenues generated within our five geographic operating Groups derived from recycling, methane gas operations, sweeping services and Port-O-Let® services in the “recycling and other” line of business.</w:t>
      </w:r>
    </w:p>
    <w:p>
      <w:pPr>
        <w:spacing w:after="0" w:line="166" w:lineRule="exact"/>
        <w:rPr>
          <w:rFonts w:ascii="Arial" w:cs="Arial" w:eastAsia="Arial" w:hAnsi="Arial"/>
          <w:sz w:val="16"/>
          <w:szCs w:val="16"/>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on the consolidated financial statements included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Operating revenues and property and equipment (net) relating to operations in the United States and Puerto Rico, Europe, Canada and all other geographic areas (“other foreign”) are as follows (in millions).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gridSpan w:val="6"/>
          </w:tcPr>
          <w:p>
            <w:pPr>
              <w:ind w:left="18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130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United States and Puerto Rico</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$11,058</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$10,669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Canada</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516</w:t>
            </w:r>
          </w:p>
        </w:tc>
        <w:tc>
          <w:tcPr>
            <w:tcW w:w="1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foreign</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$11,574</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$11,142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$11,322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At December 31, 2001, we had divested all of our international waste management operations other than our Canadian operations. Therefore, property and equipment relating to Europe and other foreign areas are appropriately not reflected in the table below.</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gridSpan w:val="6"/>
          </w:tcPr>
          <w:p>
            <w:pPr>
              <w:ind w:left="180"/>
              <w:spacing w:after="0"/>
              <w:rPr>
                <w:sz w:val="20"/>
                <w:szCs w:val="20"/>
                <w:color w:val="auto"/>
              </w:rPr>
            </w:pPr>
            <w:r>
              <w:rPr>
                <w:rFonts w:ascii="Arial" w:cs="Arial" w:eastAsia="Arial" w:hAnsi="Arial"/>
                <w:sz w:val="14"/>
                <w:szCs w:val="14"/>
                <w:b w:val="1"/>
                <w:bCs w:val="1"/>
                <w:color w:val="auto"/>
                <w:w w:val="87"/>
              </w:rPr>
              <w:t>Years Ended December 31,</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United States and Puerto Rico</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$10,482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Canada</w:t>
            </w:r>
          </w:p>
        </w:tc>
        <w:tc>
          <w:tcPr>
            <w:tcW w:w="8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gridSpan w:val="3"/>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$11,411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10,357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80" w:hanging="572"/>
        <w:spacing w:after="0"/>
        <w:tabs>
          <w:tab w:leader="none" w:pos="5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Historically, our quarterly operating results have fluctuated. The fluctuations may be caused by many factors, including period-to-period changes in the relative contribution of revenue by each line of business and operating segment and general economic conditions. Our revenues and income from operations typically reflect seasonal patterns. Our operating revenues tend to be somewhat lower in the winter months, primarily due to the lower volume of construction and demolition waste. Volumes of industrial and residential waste in certain regions also tend to decrease during the winter months. We also use the slower winter months for scheduled maintenance at our waste-to-energy facilities, so repair and maintenance expense is generally higher in our first quarter than in other quarters during the year. In addition, particularly harsh weather conditions may result in the temporary suspension of certain of our operations. Our first and fourth quarter results of operations typically reflect these seasonal changes.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1" w:name="page102"/>
    <w:bookmarkEnd w:id="101"/>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unaudited quarterly results of operations for 2003 and 2002 (in millions, except per share amounts):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First</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9"/>
              </w:rPr>
              <w:t>Second</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2003</w:t>
            </w:r>
          </w:p>
        </w:tc>
        <w:tc>
          <w:tcPr>
            <w:tcW w:w="4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$2,716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$2,915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$2,975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operations(a)</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279</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385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435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107</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176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210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income(b)</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61</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176</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210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0.18</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0.10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0.36</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0.18</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680" w:type="dxa"/>
            <w:vAlign w:val="bottom"/>
            <w:gridSpan w:val="2"/>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0.10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0.30</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346"/>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First</w:t>
            </w:r>
          </w:p>
        </w:tc>
        <w:tc>
          <w:tcPr>
            <w:tcW w:w="2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9"/>
              </w:rPr>
              <w:t>Second</w:t>
            </w:r>
          </w:p>
        </w:tc>
        <w:tc>
          <w:tcPr>
            <w:tcW w:w="2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4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$2,609</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$2,825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$2,896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from operations(c)</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332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464</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465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136</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217</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231</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138</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217</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231</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0.22</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0.38</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0.22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0.38</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8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w w:val="95"/>
              </w:rPr>
              <w:t>Income before cumulative effect of changes in accounting principles</w:t>
            </w:r>
          </w:p>
        </w:tc>
        <w:tc>
          <w:tcPr>
            <w:tcW w:w="9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0.22</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0.38</w:t>
            </w:r>
          </w:p>
        </w:tc>
        <w:tc>
          <w:tcPr>
            <w:tcW w:w="122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680" w:type="dxa"/>
            <w:vAlign w:val="bottom"/>
            <w:gridSpan w:val="2"/>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196"/>
              <w:spacing w:after="0"/>
              <w:rPr>
                <w:sz w:val="20"/>
                <w:szCs w:val="20"/>
                <w:color w:val="auto"/>
              </w:rPr>
            </w:pPr>
            <w:r>
              <w:rPr>
                <w:rFonts w:ascii="Arial" w:cs="Arial" w:eastAsia="Arial" w:hAnsi="Arial"/>
                <w:sz w:val="18"/>
                <w:szCs w:val="18"/>
                <w:color w:val="auto"/>
              </w:rPr>
              <w:t>0.22</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0.35</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0.38</w:t>
            </w:r>
          </w:p>
        </w:tc>
        <w:tc>
          <w:tcPr>
            <w:tcW w:w="1220" w:type="dxa"/>
            <w:vAlign w:val="bottom"/>
            <w:gridSpan w:val="2"/>
          </w:tcPr>
          <w:p>
            <w:pPr>
              <w:jc w:val="right"/>
              <w:ind w:right="2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0"/>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4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18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first quarter of 2003, we recorded a $20 million pre-tax charge for costs associated with our February 2003 restructuring. In the second quarter of 2003 we recorded an additional $24 million of pre-tax costs for a June 2003 workforce reduction.</w:t>
      </w:r>
    </w:p>
    <w:p>
      <w:pPr>
        <w:spacing w:after="0" w:line="212"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first and fourth quarters of 2003, we recorded net of tax charges of $46 million and $43 million, respectively, to cumulative effect of changes in accounting principles for the initial adoption of the accounting changes discussed in Notes 2 and 19.</w:t>
      </w:r>
    </w:p>
    <w:p>
      <w:pPr>
        <w:spacing w:after="0" w:line="212"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first quarter of 2002, we recorded a $37 million pre-tax charge for costs associated with the implementation of our restructuring. In the third quarter of 2002, we recorded an additional $1 million pre-tax charge for our subsequent restructuring of our Canadian Group. See Note 11 for further discussion.</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 For certain quarters presented, the effect of our convertible subordinated notes and debentures are excluded from the diluted earnings per share calculations since inclusion of these items would be antidilutive for those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Condensed Consolidating Financial Statements</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WM Holdings, which is 100% owned by WMI, has fully and unconditionally guaranteed all of WMI’s senior indebtedness, as well as WMI’s 4% convertible subordinated notes that matured and were repaid in February 2002. WMI has fully and unconditionally guaranteed the 5.75% convertible subordinated debentures due 2005 issued by WM Holdings. However, none of WMI’s other subsidiaries guaranteed any of WMI’s or WM Holdings’ debt. As a result of these guarantee arrangements, we are required to present the following condensed consolidating financial information (in millions).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2003</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WM</w:t>
            </w:r>
          </w:p>
        </w:tc>
        <w:tc>
          <w:tcPr>
            <w:tcW w:w="15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Holdings</w:t>
            </w:r>
          </w:p>
        </w:tc>
        <w:tc>
          <w:tcPr>
            <w:tcW w:w="15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580" w:type="dxa"/>
            <w:vAlign w:val="bottom"/>
            <w:gridSpan w:val="3"/>
          </w:tcPr>
          <w:p>
            <w:pPr>
              <w:ind w:left="42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5"/>
                <w:szCs w:val="15"/>
                <w:color w:val="auto"/>
              </w:rPr>
            </w:pPr>
          </w:p>
        </w:tc>
        <w:tc>
          <w:tcPr>
            <w:tcW w:w="1520" w:type="dxa"/>
            <w:vAlign w:val="bottom"/>
            <w:gridSpan w:val="3"/>
          </w:tcPr>
          <w:p>
            <w:pPr>
              <w:ind w:left="3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b w:val="1"/>
                <w:bCs w:val="1"/>
                <w:color w:val="auto"/>
                <w:w w:val="91"/>
              </w:rPr>
              <w:t>ASSETS</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(89)</w:t>
            </w: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2,453</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2,364</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2,588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11,411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Due from affiliates</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9,942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6,065</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6"/>
              </w:rPr>
              <w:t>(16,007)</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6,528</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6,657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9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$10,189</w:t>
            </w:r>
          </w:p>
        </w:tc>
        <w:tc>
          <w:tcPr>
            <w:tcW w:w="1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6,171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20,303</w:t>
            </w:r>
          </w:p>
        </w:tc>
        <w:tc>
          <w:tcPr>
            <w:tcW w:w="4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6"/>
              </w:rPr>
              <w:t>(16,007)</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20,656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40" w:type="dxa"/>
            <w:vAlign w:val="bottom"/>
            <w:gridSpan w:val="2"/>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12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48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2"/>
              </w:rPr>
              <w:t>Accounts payable and other accrued liabilities</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2,687</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2,818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4,325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1,531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2,141</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to affiliates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6,333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(6,333)</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3,413</w:t>
            </w: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3,514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14,970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(6,333)</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14,843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 in subsidiaries and variable</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entities</w:t>
            </w: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20" w:type="dxa"/>
            <w:vAlign w:val="bottom"/>
            <w:tcBorders>
              <w:right w:val="single" w:sz="8" w:color="EEEEEE"/>
            </w:tcBorders>
            <w:shd w:val="clear" w:color="auto" w:fill="EEEEEE"/>
          </w:tcPr>
          <w:p>
            <w:pPr>
              <w:spacing w:after="0"/>
              <w:rPr>
                <w:sz w:val="19"/>
                <w:szCs w:val="19"/>
                <w:color w:val="auto"/>
              </w:rPr>
            </w:pPr>
          </w:p>
        </w:tc>
        <w:tc>
          <w:tcPr>
            <w:tcW w:w="10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250</w:t>
            </w: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4,591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5,083</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(9,674)</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$10,189</w:t>
            </w:r>
          </w:p>
        </w:tc>
        <w:tc>
          <w:tcPr>
            <w:tcW w:w="1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6,171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20,303</w:t>
            </w:r>
          </w:p>
        </w:tc>
        <w:tc>
          <w:tcPr>
            <w:tcW w:w="4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ind w:left="70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6"/>
              </w:rPr>
              <w:t>(16,007)</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20,656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center"/>
              <w:ind w:left="33"/>
              <w:spacing w:after="0"/>
              <w:rPr>
                <w:sz w:val="20"/>
                <w:szCs w:val="20"/>
                <w:color w:val="auto"/>
              </w:rPr>
            </w:pPr>
            <w:r>
              <w:rPr>
                <w:rFonts w:ascii="Arial" w:cs="Arial" w:eastAsia="Arial" w:hAnsi="Arial"/>
                <w:sz w:val="18"/>
                <w:szCs w:val="18"/>
                <w:color w:val="auto"/>
                <w:w w:val="89"/>
              </w:rPr>
              <w:t>98</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2002</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WM</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Holdings</w:t>
            </w:r>
          </w:p>
        </w:tc>
        <w:tc>
          <w:tcPr>
            <w:tcW w:w="16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1580" w:type="dxa"/>
            <w:vAlign w:val="bottom"/>
            <w:gridSpan w:val="3"/>
          </w:tcPr>
          <w:p>
            <w:pPr>
              <w:ind w:left="42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520" w:type="dxa"/>
            <w:vAlign w:val="bottom"/>
            <w:gridSpan w:val="3"/>
          </w:tcPr>
          <w:p>
            <w:pPr>
              <w:ind w:left="3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center"/>
              <w:ind w:right="40"/>
              <w:spacing w:after="0"/>
              <w:rPr>
                <w:sz w:val="20"/>
                <w:szCs w:val="20"/>
                <w:color w:val="auto"/>
              </w:rPr>
            </w:pPr>
            <w:r>
              <w:rPr>
                <w:rFonts w:ascii="Arial" w:cs="Arial" w:eastAsia="Arial" w:hAnsi="Arial"/>
                <w:sz w:val="18"/>
                <w:szCs w:val="18"/>
                <w:b w:val="1"/>
                <w:bCs w:val="1"/>
                <w:color w:val="auto"/>
                <w:w w:val="91"/>
              </w:rPr>
              <w:t>ASSETS</w:t>
            </w: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(52)</w:t>
            </w:r>
          </w:p>
        </w:tc>
        <w:tc>
          <w:tcPr>
            <w:tcW w:w="78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2,536</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2,484</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2,804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10,612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Due from affiliates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9,484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5,694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6"/>
              </w:rPr>
              <w:t>(15,178)</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6,260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$9,857</w:t>
            </w:r>
          </w:p>
        </w:tc>
        <w:tc>
          <w:tcPr>
            <w:tcW w:w="1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5,821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19,356</w:t>
            </w:r>
          </w:p>
        </w:tc>
        <w:tc>
          <w:tcPr>
            <w:tcW w:w="5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6"/>
              </w:rPr>
              <w:t>(15,178)</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19,856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12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520" w:type="dxa"/>
            <w:vAlign w:val="bottom"/>
          </w:tcPr>
          <w:p>
            <w:pPr>
              <w:spacing w:after="0"/>
              <w:rPr>
                <w:sz w:val="18"/>
                <w:szCs w:val="18"/>
                <w:color w:val="auto"/>
              </w:rPr>
            </w:pP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2"/>
              </w:rPr>
              <w:t>Accounts payable and other accrued liabilities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2,941</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3,046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3,060</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3,277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4,476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1,863</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1,723</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8,062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Due to affiliates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7,277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(7,277)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3,190</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3,190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4,549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2,007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15,250</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(7,277)</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14,529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 in subsidiaries</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5,308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3,814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4,087</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(7,901)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$9,857</w:t>
            </w:r>
          </w:p>
        </w:tc>
        <w:tc>
          <w:tcPr>
            <w:tcW w:w="1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5,821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19,356</w:t>
            </w:r>
          </w:p>
        </w:tc>
        <w:tc>
          <w:tcPr>
            <w:tcW w:w="5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6"/>
              </w:rPr>
              <w:t>(15,178)</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19,856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89"/>
              </w:rPr>
              <w:t>99</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WMI</w:t>
            </w:r>
          </w:p>
        </w:tc>
        <w:tc>
          <w:tcPr>
            <w:tcW w:w="280" w:type="dxa"/>
            <w:vAlign w:val="bottom"/>
          </w:tcPr>
          <w:p>
            <w:pPr>
              <w:spacing w:after="0"/>
              <w:rPr>
                <w:sz w:val="15"/>
                <w:szCs w:val="15"/>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5"/>
                <w:szCs w:val="15"/>
                <w:color w:val="auto"/>
              </w:rPr>
            </w:pPr>
          </w:p>
        </w:tc>
        <w:tc>
          <w:tcPr>
            <w:tcW w:w="1540" w:type="dxa"/>
            <w:vAlign w:val="bottom"/>
            <w:gridSpan w:val="3"/>
          </w:tcPr>
          <w:p>
            <w:pPr>
              <w:ind w:left="4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2003</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11,574</w:t>
            </w: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11,574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10,034</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10,034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1,540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80"/>
              </w:rPr>
              <w:t>(241)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subsidiaries, net of taxes</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783</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863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net</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542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1,490</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1,123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538</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w w:val="98"/>
              </w:rPr>
              <w:t>Income before cumulative effect of change in accounting</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w:t>
            </w:r>
          </w:p>
        </w:tc>
        <w:tc>
          <w:tcPr>
            <w:tcW w:w="120" w:type="dxa"/>
            <w:vAlign w:val="bottom"/>
            <w:tcBorders>
              <w:right w:val="single" w:sz="8" w:color="EEEEEE"/>
            </w:tcBorders>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630</w:t>
            </w:r>
          </w:p>
        </w:tc>
        <w:tc>
          <w:tcPr>
            <w:tcW w:w="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tcBorders>
              <w:right w:val="single" w:sz="8" w:color="EEEEEE"/>
            </w:tcBorders>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952</w:t>
            </w:r>
          </w:p>
        </w:tc>
        <w:tc>
          <w:tcPr>
            <w:tcW w:w="5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(1,646)</w:t>
            </w:r>
          </w:p>
        </w:tc>
        <w:tc>
          <w:tcPr>
            <w:tcW w:w="28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719</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 net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630</w:t>
            </w:r>
          </w:p>
        </w:tc>
        <w:tc>
          <w:tcPr>
            <w:tcW w:w="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ind w:left="720"/>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863</w:t>
            </w:r>
          </w:p>
        </w:tc>
        <w:tc>
          <w:tcPr>
            <w:tcW w:w="5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(1,646)</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2002</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80" w:type="dxa"/>
            <w:vAlign w:val="bottom"/>
            <w:gridSpan w:val="2"/>
            <w:vMerge w:val="continue"/>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gridSpan w:val="2"/>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gridSpan w:val="2"/>
            <w:shd w:val="clear" w:color="auto" w:fill="EEEEEE"/>
          </w:tcPr>
          <w:p>
            <w:pPr>
              <w:ind w:left="720"/>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11,142</w:t>
            </w:r>
          </w:p>
        </w:tc>
        <w:tc>
          <w:tcPr>
            <w:tcW w:w="5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11,142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9,498</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9,498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1,644</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1,644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income (expense), net</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0"/>
              </w:rPr>
              <w:t>(240)</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9"/>
              </w:rPr>
              <w:t>(153)</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Equity in subsidiaries, net of taxes</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1,071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(2,045)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Minority interest</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734</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(2,045)</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08"/>
        </w:trPr>
        <w:tc>
          <w:tcPr>
            <w:tcW w:w="4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734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(2,045)</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1,242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566</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w w:val="99"/>
              </w:rPr>
              <w:t>Income before cumulative effect of change in accounting</w:t>
            </w: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822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1,069</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(2,045)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822</w:t>
            </w:r>
          </w:p>
        </w:tc>
        <w:tc>
          <w:tcPr>
            <w:tcW w:w="80" w:type="dxa"/>
            <w:vAlign w:val="bottom"/>
          </w:tcPr>
          <w:p>
            <w:pPr>
              <w:spacing w:after="0"/>
              <w:rPr>
                <w:sz w:val="24"/>
                <w:szCs w:val="24"/>
                <w:color w:val="auto"/>
              </w:rPr>
            </w:pPr>
          </w:p>
        </w:tc>
        <w:tc>
          <w:tcPr>
            <w:tcW w:w="58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24"/>
                <w:szCs w:val="24"/>
                <w:color w:val="auto"/>
              </w:rPr>
            </w:pP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1,071</w:t>
            </w:r>
          </w:p>
        </w:tc>
        <w:tc>
          <w:tcPr>
            <w:tcW w:w="5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(2,045)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2001</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11,322</w:t>
            </w: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11,322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10,039</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10,039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4"/>
                <w:szCs w:val="2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1,283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80"/>
              </w:rPr>
              <w:t>(278)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subsidiaries, net of taxes</w:t>
            </w:r>
          </w:p>
        </w:tc>
        <w:tc>
          <w:tcPr>
            <w:tcW w:w="12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677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4"/>
              </w:rPr>
              <w:t>(1,469)</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net</w:t>
            </w:r>
          </w:p>
        </w:tc>
        <w:tc>
          <w:tcPr>
            <w:tcW w:w="120" w:type="dxa"/>
            <w:vAlign w:val="bottom"/>
            <w:tcBorders>
              <w:right w:val="single" w:sz="8" w:color="EEEEEE"/>
            </w:tcBorders>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399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(1,469)</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5" w:right="239" w:bottom="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4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1,246</w:t>
            </w:r>
          </w:p>
        </w:tc>
        <w:tc>
          <w:tcPr>
            <w:tcW w:w="24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(1,469)</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(104)</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34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w w:val="95"/>
              </w:rPr>
              <w:t>Income before cumulative effect of change in accounting</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32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677</w:t>
            </w:r>
          </w:p>
        </w:tc>
        <w:tc>
          <w:tcPr>
            <w:tcW w:w="4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790</w:t>
            </w:r>
          </w:p>
        </w:tc>
        <w:tc>
          <w:tcPr>
            <w:tcW w:w="24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(1,469)</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Cumulative effect of change in accounting principle, net of</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$ 503</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677</w:t>
            </w:r>
          </w:p>
        </w:tc>
        <w:tc>
          <w:tcPr>
            <w:tcW w:w="4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792</w:t>
            </w:r>
          </w:p>
        </w:tc>
        <w:tc>
          <w:tcPr>
            <w:tcW w:w="24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$(1,469)</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WMI</w:t>
            </w:r>
          </w:p>
        </w:tc>
        <w:tc>
          <w:tcPr>
            <w:tcW w:w="28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5"/>
                <w:szCs w:val="15"/>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2003</w:t>
            </w:r>
          </w:p>
        </w:tc>
        <w:tc>
          <w:tcPr>
            <w:tcW w:w="2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$ 630</w:t>
            </w:r>
          </w:p>
        </w:tc>
        <w:tc>
          <w:tcPr>
            <w:tcW w:w="1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863</w:t>
            </w:r>
          </w:p>
        </w:tc>
        <w:tc>
          <w:tcPr>
            <w:tcW w:w="4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7"/>
              </w:rPr>
              <w:t>(1,646)</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1,646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adjustments and changes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1,227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2,090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1,926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(1,200)</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Proceeds from divestitures of businesses, net of cash</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00"/>
              <w:spacing w:after="0"/>
              <w:rPr>
                <w:sz w:val="20"/>
                <w:szCs w:val="20"/>
                <w:color w:val="auto"/>
              </w:rPr>
            </w:pPr>
            <w:r>
              <w:rPr>
                <w:rFonts w:ascii="Arial" w:cs="Arial" w:eastAsia="Arial" w:hAnsi="Arial"/>
                <w:sz w:val="18"/>
                <w:szCs w:val="18"/>
                <w:color w:val="auto"/>
              </w:rPr>
              <w:t>divested, and other asset sales</w:t>
            </w:r>
          </w:p>
        </w:tc>
        <w:tc>
          <w:tcPr>
            <w:tcW w:w="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receipts from restricted funds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(1,084)</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(1,084)</w:t>
            </w: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New borrowings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Debt repayments</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stock repurchases</w:t>
            </w:r>
          </w:p>
        </w:tc>
        <w:tc>
          <w:tcPr>
            <w:tcW w:w="7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Cash dividends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Other</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2"/>
              </w:rPr>
              <w:t>(Increase) decrease in intercompany and investments, net</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(1,045)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Effect of exchange rate changes on cash and cash</w:t>
            </w:r>
          </w:p>
        </w:tc>
        <w:tc>
          <w:tcPr>
            <w:tcW w:w="2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equivalents</w:t>
            </w:r>
          </w:p>
        </w:tc>
        <w:tc>
          <w:tcPr>
            <w:tcW w:w="200" w:type="dxa"/>
            <w:vAlign w:val="bottom"/>
            <w:tcBorders>
              <w:right w:val="single" w:sz="8" w:color="EEEEEE"/>
            </w:tcBorders>
            <w:shd w:val="clear" w:color="auto" w:fill="EEEEEE"/>
          </w:tcPr>
          <w:p>
            <w:pPr>
              <w:spacing w:after="0"/>
              <w:rPr>
                <w:sz w:val="19"/>
                <w:szCs w:val="19"/>
                <w:color w:val="auto"/>
              </w:rPr>
            </w:pP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Decrease in cash and cash equivalents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$ 224</w:t>
            </w:r>
          </w:p>
        </w:tc>
        <w:tc>
          <w:tcPr>
            <w:tcW w:w="1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2002</w:t>
            </w:r>
          </w:p>
        </w:tc>
        <w:tc>
          <w:tcPr>
            <w:tcW w:w="2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$ 822</w:t>
            </w:r>
          </w:p>
        </w:tc>
        <w:tc>
          <w:tcPr>
            <w:tcW w:w="1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1,071</w:t>
            </w:r>
          </w:p>
        </w:tc>
        <w:tc>
          <w:tcPr>
            <w:tcW w:w="4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7"/>
              </w:rPr>
              <w:t>(2,045)</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Equity in earnings of subsidiaries, net of taxes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(974)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(1,071)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2,045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adjustments and changes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1,260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right w:val="single" w:sz="8" w:color="EEEEEE"/>
            </w:tcBorders>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(1,287)</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Proceeds from divestitures of businesses, net of cash</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00"/>
              <w:spacing w:after="0"/>
              <w:rPr>
                <w:sz w:val="20"/>
                <w:szCs w:val="20"/>
                <w:color w:val="auto"/>
              </w:rPr>
            </w:pPr>
            <w:r>
              <w:rPr>
                <w:rFonts w:ascii="Arial" w:cs="Arial" w:eastAsia="Arial" w:hAnsi="Arial"/>
                <w:sz w:val="18"/>
                <w:szCs w:val="18"/>
                <w:color w:val="auto"/>
              </w:rPr>
              <w:t>divested, and other asset sales</w:t>
            </w:r>
          </w:p>
        </w:tc>
        <w:tc>
          <w:tcPr>
            <w:tcW w:w="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receipts from restricted funds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(968)</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New borrowings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Debt repayments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stock repurchases</w:t>
            </w:r>
          </w:p>
        </w:tc>
        <w:tc>
          <w:tcPr>
            <w:tcW w:w="7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(982)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Cash dividends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Exercise of common stock options and warrants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w w:val="92"/>
              </w:rPr>
              <w:t>(Increase) decrease in intercompany and investments, net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(1,308)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0" w:gutter="0" w:footer="0" w:header="0"/>
        </w:sectPr>
      </w:pPr>
    </w:p>
    <w:bookmarkStart w:id="107" w:name="page108"/>
    <w:bookmarkEnd w:id="1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3193415</wp:posOffset>
            </wp:positionH>
            <wp:positionV relativeFrom="page">
              <wp:posOffset>88900</wp:posOffset>
            </wp:positionV>
            <wp:extent cx="2057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page">
              <wp:posOffset>3819525</wp:posOffset>
            </wp:positionH>
            <wp:positionV relativeFrom="page">
              <wp:posOffset>88900</wp:posOffset>
            </wp:positionV>
            <wp:extent cx="2914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page">
              <wp:posOffset>4745355</wp:posOffset>
            </wp:positionH>
            <wp:positionV relativeFrom="page">
              <wp:posOffset>88900</wp:posOffset>
            </wp:positionV>
            <wp:extent cx="2914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page">
              <wp:posOffset>5757545</wp:posOffset>
            </wp:positionH>
            <wp:positionV relativeFrom="page">
              <wp:posOffset>88900</wp:posOffset>
            </wp:positionV>
            <wp:extent cx="2914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page">
              <wp:posOffset>6846570</wp:posOffset>
            </wp:positionH>
            <wp:positionV relativeFrom="page">
              <wp:posOffset>88900</wp:posOffset>
            </wp:positionV>
            <wp:extent cx="2914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112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(351)</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20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(1,389)</w:t>
            </w:r>
          </w:p>
        </w:tc>
        <w:tc>
          <w:tcPr>
            <w:tcW w:w="6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7"/>
              </w:rPr>
              <w:t>—</w:t>
            </w:r>
          </w:p>
        </w:tc>
        <w:tc>
          <w:tcPr>
            <w:tcW w:w="21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108"/>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w w:val="97"/>
              </w:rPr>
              <w:t>Effect of exchange rate changes on cash and cash</w:t>
            </w:r>
          </w:p>
        </w:tc>
        <w:tc>
          <w:tcPr>
            <w:tcW w:w="5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420"/>
              <w:spacing w:after="0"/>
              <w:rPr>
                <w:sz w:val="20"/>
                <w:szCs w:val="20"/>
                <w:color w:val="auto"/>
              </w:rPr>
            </w:pPr>
            <w:r>
              <w:rPr>
                <w:rFonts w:ascii="Arial" w:cs="Arial" w:eastAsia="Arial" w:hAnsi="Arial"/>
                <w:sz w:val="18"/>
                <w:szCs w:val="18"/>
                <w:color w:val="auto"/>
              </w:rPr>
              <w:t>equivalents</w:t>
            </w:r>
          </w:p>
        </w:tc>
        <w:tc>
          <w:tcPr>
            <w:tcW w:w="52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w w:val="77"/>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Decrease in cash and cash equivalents</w:t>
            </w:r>
          </w:p>
        </w:tc>
        <w:tc>
          <w:tcPr>
            <w:tcW w:w="112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(441)</w:t>
            </w: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(25)</w:t>
            </w:r>
          </w:p>
        </w:tc>
        <w:tc>
          <w:tcPr>
            <w:tcW w:w="6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7"/>
              </w:rPr>
              <w:t>—</w:t>
            </w:r>
          </w:p>
        </w:tc>
        <w:tc>
          <w:tcPr>
            <w:tcW w:w="214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2"/>
        </w:trPr>
        <w:tc>
          <w:tcPr>
            <w:tcW w:w="4260" w:type="dxa"/>
            <w:vAlign w:val="bottom"/>
          </w:tcPr>
          <w:p>
            <w:pPr>
              <w:ind w:left="280"/>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48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9"/>
                <w:szCs w:val="19"/>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w w:val="77"/>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$ 316</w:t>
            </w:r>
          </w:p>
        </w:tc>
        <w:tc>
          <w:tcPr>
            <w:tcW w:w="2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   (52)</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ind w:left="280"/>
              <w:spacing w:after="0"/>
              <w:rPr>
                <w:sz w:val="20"/>
                <w:szCs w:val="20"/>
                <w:color w:val="auto"/>
              </w:rPr>
            </w:pPr>
            <w:r>
              <w:rPr>
                <w:rFonts w:ascii="Arial" w:cs="Arial" w:eastAsia="Arial" w:hAnsi="Arial"/>
                <w:sz w:val="18"/>
                <w:szCs w:val="18"/>
                <w:color w:val="auto"/>
                <w:w w:val="77"/>
              </w:rPr>
              <w:t>—</w:t>
            </w:r>
          </w:p>
        </w:tc>
        <w:tc>
          <w:tcPr>
            <w:tcW w:w="1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264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WMI</w:t>
            </w:r>
          </w:p>
        </w:tc>
        <w:tc>
          <w:tcPr>
            <w:tcW w:w="280" w:type="dxa"/>
            <w:vAlign w:val="bottom"/>
          </w:tcPr>
          <w:p>
            <w:pPr>
              <w:spacing w:after="0"/>
              <w:rPr>
                <w:sz w:val="15"/>
                <w:szCs w:val="15"/>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5"/>
                <w:szCs w:val="15"/>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5"/>
                <w:szCs w:val="15"/>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Year Ended December 31, 2001</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677</w:t>
            </w: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792</w:t>
            </w:r>
          </w:p>
        </w:tc>
        <w:tc>
          <w:tcPr>
            <w:tcW w:w="4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7"/>
              </w:rPr>
              <w:t>(1,469)</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Equity in earnings of subsidiaries, net of taxes</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(792)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adjustments and changes</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1,748</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1,852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6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2,540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2,355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Capital expenditures</w:t>
            </w: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(1,328)</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(1,328)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Proceeds from divestitures of businesses, net of cash</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divested, and other asset sales</w:t>
            </w:r>
          </w:p>
        </w:tc>
        <w:tc>
          <w:tcPr>
            <w:tcW w:w="2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receipts from restricted funds</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(1,244)</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(1,232)</w:t>
            </w:r>
          </w:p>
        </w:tc>
        <w:tc>
          <w:tcPr>
            <w:tcW w:w="0" w:type="dxa"/>
            <w:vAlign w:val="bottom"/>
          </w:tcPr>
          <w:p>
            <w:pPr>
              <w:spacing w:after="0"/>
              <w:rPr>
                <w:sz w:val="1"/>
                <w:szCs w:val="1"/>
                <w:color w:val="auto"/>
              </w:rPr>
            </w:pPr>
          </w:p>
        </w:tc>
      </w:tr>
      <w:tr>
        <w:trPr>
          <w:trHeight w:val="108"/>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5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New borrowings</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1,267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1,628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Debt repayments</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(1,307)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w:t>
            </w: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Exercise of common stock options and warrants</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w w:val="98"/>
              </w:rPr>
              <w:t>(Increase) decrease in intercompany and investments,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(1,138)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7"/>
              </w:rPr>
              <w:t>(1,227)</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vMerge w:val="restart"/>
          </w:tcPr>
          <w:p>
            <w:pPr>
              <w:ind w:left="240"/>
              <w:spacing w:after="0"/>
              <w:rPr>
                <w:sz w:val="20"/>
                <w:szCs w:val="20"/>
                <w:color w:val="auto"/>
              </w:rPr>
            </w:pPr>
            <w:r>
              <w:rPr>
                <w:rFonts w:ascii="Arial" w:cs="Arial" w:eastAsia="Arial" w:hAnsi="Arial"/>
                <w:sz w:val="18"/>
                <w:szCs w:val="18"/>
                <w:color w:val="auto"/>
              </w:rPr>
              <w:t>Effect of exchange rate changes on cash and cash</w:t>
            </w: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23.</w:t>
        <w:tab/>
        <w:t>New Accounting Pronouncements (Unaudited)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 46 — Consolidation of Variable Interest Entities</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January 2003, the FASB issued FIN 46, which requires variable interest entities to be consolidated by their primary beneficiaries. A primary beneficiary is the party that absorbs a majority of the entity’s expected losses or receives a majority of the entity’s expected residual returns, or both, as a result of ownership, contractual or other financial interests in the entity. In December 2003, the FASB revised FIN 46 to provide companies with clarification of key terms, additional exemptions for application and an extended initial application period. FIN 46 is currently effective for all variable interest entities created or modified after January 31, 2003 and special purpose entities created on or before January 31, 2003. See Note 19 for disclosures related to variable interest entities that have been consolidated into our financial statements as of December 31, 2003. The FASB’s December 2003 revision to FIN 46 makes the Interpretation effective for all other variable interests beginning March 31, 2004.</w:t>
      </w:r>
    </w:p>
    <w:p>
      <w:pPr>
        <w:spacing w:after="0" w:line="199"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As a result of the FASB’s December 2003 revision of FIN 46, we postponed our implementation of FIN 46 for non-special purpose variable interest entities created on or before January 31, 2003. The following variable interest entities have been identified as a result of our implementation processes and are expected to be consolidated, as appropriate, beginning March 31, 2004.</w:t>
      </w:r>
    </w:p>
    <w:p>
      <w:pPr>
        <w:spacing w:after="0" w:line="221"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i w:val="1"/>
          <w:iCs w:val="1"/>
          <w:color w:val="auto"/>
        </w:rPr>
        <w:t xml:space="preserve">Closure, Post-Closure and Remedial Trust Funds — </w:t>
      </w:r>
      <w:r>
        <w:rPr>
          <w:rFonts w:ascii="Arial" w:cs="Arial" w:eastAsia="Arial" w:hAnsi="Arial"/>
          <w:sz w:val="16"/>
          <w:szCs w:val="16"/>
          <w:color w:val="auto"/>
        </w:rPr>
        <w:t>At several of our landfills and remedial sites we provide financial assurance by depositing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directing others to deposit cash, into trust funds that are legally restricted for purposes of settling closure, post-closure or remedial obligations. These funds are generally invested in cash or cash-equivalent instruments and marketable debt and equity securities. See Note 2 for additional disclosure associated with these financial assurance instruments. Variability in the fair value of trust assets is generally for our benefit or detriment as the accounts have been established to meet our statutory financial assurance requirements and future financial obligations. Our exposure to loss associated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67"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these entities is therefore a function of the ability of the funds to meet our statutory requirements and closure, post-closure and remedial obligations as they come due. As the trust funds are generally invested in high quality, low risk financial instruments and are expected to continue to meet the statutory requirements for which they were established, we do not believe that there is any material exposure to loss associated with the trusts. The fair value of these trust funds was approximately $205 million at December 31, 2003. Of this amount, approximately $186 million is currently recorded in our consolidated balance sheet primarily as a component of other long-term assets. The remaining $19 million will be consolidated as of March 31, 2004 unless the FASB issues further changes to FIN 46 that indicate otherwise.</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Financial Interests in Operating and Capital Leases </w:t>
      </w:r>
      <w:r>
        <w:rPr>
          <w:rFonts w:ascii="Arial" w:cs="Arial" w:eastAsia="Arial" w:hAnsi="Arial"/>
          <w:sz w:val="16"/>
          <w:szCs w:val="16"/>
          <w:color w:val="auto"/>
        </w:rPr>
        <w:t>— We have certain lease agreements that contain fixed price purchase options. The option prices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intended to approximate the fair value of the properties at the termination of the lease term and in no way represent a guarantee of the assets’ residual value. For those interests, we have determined that we are not the primary beneficiary of the leasing entities. The leasing entities are single asset entities owned and managed by financing organizations. The entities were established to own and lease waste-to-energy facilities operated by our Wheelabrator Group. In addition to the fixed price purchase options contained in these lease agreements, the lease terms include termination value requirements that expose us to potential variability in an event of default. We believe that the likelihood of an event of default is remote and that our exposure to loss associated with these lease agreements is limited to our obligation to make future minimum rent payments.</w:t>
      </w:r>
    </w:p>
    <w:p>
      <w:pPr>
        <w:spacing w:after="0" w:line="199"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are unaware of any other financial interests that should be considered for purposes of applying FIN 46, but will continue to assess our existing financial interests through the first quarter of 2004.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8" w:lineRule="exact"/>
        <w:rPr>
          <w:sz w:val="20"/>
          <w:szCs w:val="20"/>
          <w:color w:val="auto"/>
        </w:rPr>
      </w:pPr>
    </w:p>
    <w:p>
      <w:pPr>
        <w:jc w:val="both"/>
        <w:ind w:right="80" w:firstLine="324"/>
        <w:spacing w:after="0" w:line="291" w:lineRule="auto"/>
        <w:rPr>
          <w:sz w:val="20"/>
          <w:szCs w:val="20"/>
          <w:color w:val="auto"/>
        </w:rPr>
      </w:pPr>
      <w:r>
        <w:rPr>
          <w:rFonts w:ascii="Arial" w:cs="Arial" w:eastAsia="Arial" w:hAnsi="Arial"/>
          <w:sz w:val="16"/>
          <w:szCs w:val="16"/>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with respect to directors, executive officers and section 16 reporting is incorporated by reference to “Election of Directors,” “Executive Officers,” and “Section 16(a) Beneficial Ownership Reporting” in the Company’s definitive Proxy Statement for its 2004 Annual Meeting of Stockholders, to be held May 14, 2004.</w:t>
      </w:r>
    </w:p>
    <w:p>
      <w:pPr>
        <w:spacing w:after="0" w:line="221" w:lineRule="exact"/>
        <w:rPr>
          <w:sz w:val="20"/>
          <w:szCs w:val="20"/>
          <w:color w:val="auto"/>
        </w:rPr>
      </w:pPr>
    </w:p>
    <w:p>
      <w:pPr>
        <w:ind w:right="460" w:firstLine="324"/>
        <w:spacing w:after="0" w:line="332" w:lineRule="auto"/>
        <w:rPr>
          <w:sz w:val="20"/>
          <w:szCs w:val="20"/>
          <w:color w:val="auto"/>
        </w:rPr>
      </w:pPr>
      <w:r>
        <w:rPr>
          <w:rFonts w:ascii="Arial" w:cs="Arial" w:eastAsia="Arial" w:hAnsi="Arial"/>
          <w:sz w:val="16"/>
          <w:szCs w:val="16"/>
          <w:color w:val="auto"/>
        </w:rPr>
        <w:t>We have adopted a code of ethics that applies to our CEO, CFO and Chief Accounting Officer, as well as other officers, directors and employees of the Company. The code of ethics, entitled “Code of Conduct,” is posted on our website at http://www.wm.com under the caption “Ethics and Diversity.”</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information required by this Item is set forth under the caption “Executive Compensation” in the 2004 Proxy Statement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information required by this Item is incorporated by reference to “Equity Compensation Plans Information” and “Director and Officer Stock Ownership” in the 2004 Proxy Statement.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information required by this Item is set forth under the caption “Related Party Transactions” in the 2004 Proxy Statement and is incorporated herein by reference.</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58" w:lineRule="exact"/>
        <w:rPr>
          <w:sz w:val="20"/>
          <w:szCs w:val="20"/>
          <w:color w:val="auto"/>
        </w:rPr>
      </w:pPr>
    </w:p>
    <w:p>
      <w:pPr>
        <w:ind w:right="860" w:firstLine="324"/>
        <w:spacing w:after="0" w:line="268" w:lineRule="auto"/>
        <w:rPr>
          <w:sz w:val="20"/>
          <w:szCs w:val="20"/>
          <w:color w:val="auto"/>
        </w:rPr>
      </w:pPr>
      <w:r>
        <w:rPr>
          <w:rFonts w:ascii="Arial" w:cs="Arial" w:eastAsia="Arial" w:hAnsi="Arial"/>
          <w:sz w:val="18"/>
          <w:szCs w:val="18"/>
          <w:color w:val="auto"/>
        </w:rPr>
        <w:t>The information required by this Item is set forth under the caption “Principal Accounting Fees and Services” in the 2004 Proxy Statement and is incorporated herein by reference.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8" w:right="2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 Schedules, Exhibits, and Reports on Form 8-K.</w:t>
      </w:r>
    </w:p>
    <w:p>
      <w:pPr>
        <w:spacing w:after="0" w:line="231"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i w:val="1"/>
          <w:iCs w:val="1"/>
          <w:color w:val="auto"/>
        </w:rPr>
        <w:t>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Public Accountants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2003 and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the years ended December 31, 2003, 2002 and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2003, 2002 and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 for the years ended December 31, 2003, 2002 and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i w:val="1"/>
          <w:iCs w:val="1"/>
          <w:color w:val="auto"/>
        </w:rPr>
        <w:t>Consolidated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II — Valuation and Qualifying Accounts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80" w:type="dxa"/>
            <w:vAlign w:val="bottom"/>
          </w:tcPr>
          <w:p>
            <w:pPr>
              <w:jc w:val="right"/>
              <w:ind w:right="534"/>
              <w:spacing w:after="0"/>
              <w:rPr>
                <w:sz w:val="20"/>
                <w:szCs w:val="20"/>
                <w:color w:val="auto"/>
              </w:rPr>
            </w:pPr>
            <w:r>
              <w:rPr>
                <w:rFonts w:ascii="Arial" w:cs="Arial" w:eastAsia="Arial" w:hAnsi="Arial"/>
                <w:sz w:val="14"/>
                <w:szCs w:val="14"/>
                <w:b w:val="1"/>
                <w:bCs w:val="1"/>
                <w:color w:val="auto"/>
              </w:rPr>
              <w:t>Exhibit No.*</w:t>
            </w:r>
          </w:p>
        </w:tc>
        <w:tc>
          <w:tcPr>
            <w:tcW w:w="1120" w:type="dxa"/>
            <w:vAlign w:val="bottom"/>
          </w:tcPr>
          <w:p>
            <w:pPr>
              <w:spacing w:after="0"/>
              <w:rPr>
                <w:sz w:val="15"/>
                <w:szCs w:val="15"/>
                <w:color w:val="auto"/>
              </w:rPr>
            </w:pPr>
          </w:p>
        </w:tc>
        <w:tc>
          <w:tcPr>
            <w:tcW w:w="8320" w:type="dxa"/>
            <w:vAlign w:val="bottom"/>
          </w:tcPr>
          <w:p>
            <w:pPr>
              <w:ind w:left="38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98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320" w:type="dxa"/>
            <w:vAlign w:val="bottom"/>
            <w:tcBorders>
              <w:bottom w:val="single" w:sz="8" w:color="808080"/>
            </w:tcBorders>
          </w:tcPr>
          <w:p>
            <w:pPr>
              <w:spacing w:after="0"/>
              <w:rPr>
                <w:sz w:val="8"/>
                <w:szCs w:val="8"/>
                <w:color w:val="auto"/>
              </w:rPr>
            </w:pPr>
          </w:p>
        </w:tc>
      </w:tr>
      <w:tr>
        <w:trPr>
          <w:trHeight w:val="309"/>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3.1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1"/>
              </w:rPr>
              <w:t>Second Amended and Restated Certificate of Incorporation [Incorporated by reference to Exhibit 3.1 to Form 10-Q</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for the quarter ended June 30, 2002].</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3.2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2"/>
              </w:rPr>
              <w:t>Bylaws as amended [Incorporated by reference to Exhibit 3.2 to Form 10-Q for the quarter ended June 30, 2002].</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4.1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Specimen Stock Certificate [Incorporated by reference to Exhibit 4.1 to Form 10-K for the year ended December 31,</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1998].</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4.2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7"/>
              </w:rPr>
              <w:t>Indenture for Subordinated Debt Securities dated February 1, 1997, among the Registrant and Texas Commerce Bank</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4"/>
              </w:rPr>
              <w:t>National Association, as trustee [Incorporated by reference to Exhibit 4.1 to Form 8-K dated February 7, 1997].</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4.3</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Indenture for Senior Debt Securities dated September 10, 1997, among the Registrant and Texas Commerce Bank</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1"/>
              </w:rPr>
              <w:t>National Association, as trustee [Incorporated by reference to Exhibit 4.1 to Form 8-K dated September 10, 1997].</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9"/>
              </w:rPr>
              <w:t>1993 Stock Incentive Plan [Incorporated by reference to Exhibit 10.2 to Form 10-K for the year ended December 31,</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1998].</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7"/>
              </w:rPr>
              <w:t>1996 Stock Option Plan for Non-Employee Directors [Incorporated by reference to Appendix A to the Proxy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Statement for the 2000 Annual Meeting of Stockholders].</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10.3</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1997 Employee Stock Purchase Plan [Incorporated by reference to Appendix C to the Proxy Statement for the 2000</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Annual Meeting of Stockholders].</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10.4</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8"/>
              </w:rPr>
              <w:t>Waste Management, Inc. Retirement Savings Restoration Plan [Incorporated by reference to Exhibit 10.1 to Form 10-</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Q for the quarter ended June 30, 2002].</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10.5</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8"/>
              </w:rPr>
              <w:t>First Amendment to Revolving Credit Agreement dated July 29, 2001 by and among the Company, Waste</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5"/>
              </w:rPr>
              <w:t>Management Holding, Inc. the banks signatory thereto, Fleet National Bank, as administrative agent, Bank of</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8"/>
              </w:rPr>
              <w:t>America, N.A. and J.P. Morgan and Banc of America Securities LLC, as joint lead arrangers and joint book managers,</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2"/>
              </w:rPr>
              <w:t>dated January 27, 2003. [Incorporated by reference to Exhibit 10.1 to Form 10-Q for the quarter ended March 31,</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2003].</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10.6</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8"/>
              </w:rPr>
              <w:t>First Amendment to Revolving Credit Agreement dated June 27, 2002 by and among Waste Management, Inc., Waste</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9"/>
              </w:rPr>
              <w:t>Management Holdings, Inc., each of the financial institutions party thereto, and Fleet National Bank as administrative</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5"/>
              </w:rPr>
              <w:t>agent, J.P. Morgan Securities, Inc. and Banc of America Securities LLC as joint lead arrangers and joint book</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9"/>
              </w:rPr>
              <w:t>managers, JP Morgan Chase Bank and Bank of America, N.A. as co-documentation agent, dated January 27, 2003.</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[Incorporated by reference to Exhibit 10.2 to Form 10-Q for the quarter ended March 31, 2003].</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10.7</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Ten-Year Letter of Credit and Term Loan Agreement among the Company, Waste Management Holdings, Inc., and</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9"/>
              </w:rPr>
              <w:t>Bank of America, N.A., as Administrative Agent and Letter of Credit Issuer and the Lenders party thereto, dated as of</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5"/>
              </w:rPr>
              <w:t>June 30, 2003. [Incorporated by reference to Exhibit 10.2 to Form 10-Q for the quarter ended June 30, 2003].</w:t>
            </w:r>
          </w:p>
        </w:tc>
      </w:tr>
      <w:tr>
        <w:trPr>
          <w:trHeight w:val="216"/>
        </w:trPr>
        <w:tc>
          <w:tcPr>
            <w:tcW w:w="1980" w:type="dxa"/>
            <w:vAlign w:val="bottom"/>
          </w:tcPr>
          <w:p>
            <w:pPr>
              <w:jc w:val="right"/>
              <w:ind w:right="694"/>
              <w:spacing w:after="0"/>
              <w:rPr>
                <w:sz w:val="20"/>
                <w:szCs w:val="20"/>
                <w:color w:val="auto"/>
              </w:rPr>
            </w:pPr>
            <w:r>
              <w:rPr>
                <w:rFonts w:ascii="Arial" w:cs="Arial" w:eastAsia="Arial" w:hAnsi="Arial"/>
                <w:sz w:val="18"/>
                <w:szCs w:val="18"/>
                <w:color w:val="auto"/>
              </w:rPr>
              <w:t>10.8</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Five-Year Letter of Credit and Term Loan Agreement among the Company, Waste Management Holdings, Inc., and</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9"/>
              </w:rPr>
              <w:t>Bank of America, N.A., as administrative Agent and Letter of Credit Issuer and the Lenders party thereto, dated as of</w:t>
            </w:r>
          </w:p>
        </w:tc>
      </w:tr>
      <w:tr>
        <w:trPr>
          <w:trHeight w:val="222"/>
        </w:trPr>
        <w:tc>
          <w:tcPr>
            <w:tcW w:w="1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5"/>
              </w:rPr>
              <w:t>June 30, 2003. [Incorporated by reference to Exhibit 10.3 to Form 10-Q for the quarter ended June 30, 2003].</w:t>
            </w:r>
          </w:p>
        </w:tc>
      </w:tr>
      <w:tr>
        <w:trPr>
          <w:trHeight w:val="432"/>
        </w:trPr>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105</w:t>
            </w:r>
          </w:p>
        </w:tc>
      </w:tr>
      <w:tr>
        <w:trPr>
          <w:trHeight w:val="228"/>
        </w:trPr>
        <w:tc>
          <w:tcPr>
            <w:tcW w:w="19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4"/>
        </w:trPr>
        <w:tc>
          <w:tcPr>
            <w:tcW w:w="1980" w:type="dxa"/>
            <w:vAlign w:val="bottom"/>
          </w:tcPr>
          <w:p>
            <w:pPr>
              <w:ind w:left="640"/>
              <w:spacing w:after="0"/>
              <w:rPr>
                <w:sz w:val="20"/>
                <w:szCs w:val="20"/>
                <w:color w:val="auto"/>
              </w:rPr>
            </w:pPr>
            <w:r>
              <w:rPr>
                <w:rFonts w:ascii="Arial" w:cs="Arial" w:eastAsia="Arial" w:hAnsi="Arial"/>
                <w:sz w:val="14"/>
                <w:szCs w:val="14"/>
                <w:b w:val="1"/>
                <w:bCs w:val="1"/>
                <w:color w:val="auto"/>
              </w:rPr>
              <w:t>Exhibit No.*</w:t>
            </w:r>
          </w:p>
        </w:tc>
        <w:tc>
          <w:tcPr>
            <w:tcW w:w="1120" w:type="dxa"/>
            <w:vAlign w:val="bottom"/>
          </w:tcPr>
          <w:p>
            <w:pPr>
              <w:spacing w:after="0"/>
              <w:rPr>
                <w:sz w:val="15"/>
                <w:szCs w:val="15"/>
                <w:color w:val="auto"/>
              </w:rPr>
            </w:pPr>
          </w:p>
        </w:tc>
        <w:tc>
          <w:tcPr>
            <w:tcW w:w="8320" w:type="dxa"/>
            <w:vAlign w:val="bottom"/>
          </w:tcPr>
          <w:p>
            <w:pPr>
              <w:ind w:left="38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98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8320" w:type="dxa"/>
            <w:vAlign w:val="bottom"/>
            <w:tcBorders>
              <w:bottom w:val="single" w:sz="8" w:color="808080"/>
            </w:tcBorders>
          </w:tcPr>
          <w:p>
            <w:pPr>
              <w:spacing w:after="0"/>
              <w:rPr>
                <w:sz w:val="8"/>
                <w:szCs w:val="8"/>
                <w:color w:val="auto"/>
              </w:rPr>
            </w:pPr>
          </w:p>
        </w:tc>
      </w:tr>
      <w:tr>
        <w:trPr>
          <w:trHeight w:val="309"/>
        </w:trPr>
        <w:tc>
          <w:tcPr>
            <w:tcW w:w="1980" w:type="dxa"/>
            <w:vAlign w:val="bottom"/>
          </w:tcPr>
          <w:p>
            <w:pPr>
              <w:ind w:left="900"/>
              <w:spacing w:after="0"/>
              <w:rPr>
                <w:sz w:val="20"/>
                <w:szCs w:val="20"/>
                <w:color w:val="auto"/>
              </w:rPr>
            </w:pPr>
            <w:r>
              <w:rPr>
                <w:rFonts w:ascii="Arial" w:cs="Arial" w:eastAsia="Arial" w:hAnsi="Arial"/>
                <w:sz w:val="18"/>
                <w:szCs w:val="18"/>
                <w:color w:val="auto"/>
              </w:rPr>
              <w:t>10.9</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8"/>
              </w:rPr>
              <w:t>Seven-Year Letter of Credit and Term Loan Agreement among the Company, Waste Management Holdings, Inc., and</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89"/>
              </w:rPr>
              <w:t>Bank of America, N.A., as Administrative Agent and Letter of Credit Issuer and the Lenders party thereto, dated as of</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5"/>
              </w:rPr>
              <w:t>June 30, 2003. [Incorporated by reference to Exhibit 10.4 to Form 10-Q for the quarter ended June 30, 2003].</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4"/>
              </w:rPr>
              <w:t>Reimbursement Agreement between the Company and Oakmont Asset Trust, dated as of December 22, 2003.</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1998 Waste Management, Inc. Directors’ Deferred Compensation Plan [Incorporated by reference to Exhibit 10.1 to</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Form 10-Q for the quarter ended March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1999 Waste Management, Inc. Directors Deferred Compensation Plan [Incorporated by reference to Exhibit 10.2 to</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Form 10-Q for the quarter ended March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10.13</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2003 Waste Management, Inc. Directors Deferred Compensation Plan [Incorporated by reference to Exhibit 10.5 to</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Form 10-Q for the quarter ended June 30, 2003].</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10.14</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2"/>
              </w:rPr>
              <w:t>Employment Agreement between the Company and A. Maurice Myers, dated November 8, 1999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10.35 to Form 10-K for the year ended December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10.15</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1"/>
              </w:rPr>
              <w:t>Employment Agreement between the Company and Lawrence O’Donnell III, dated January 21, 2000 [Incorporated</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by reference to Exhibit 10.1 to Form 10-Q for the quarter ended June 30, 2000].</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10.16</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1"/>
              </w:rPr>
              <w:t>Employment Agreement between the Company and William L. Trubeck, dated February 16, 2000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10.37 to Form 10-K for the year ended December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10.17</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1"/>
              </w:rPr>
              <w:t>Employment Agreement between the Company and Thomas L. Smith, dated November 18, 1999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10.3 to Form 10-Q for the quarter ended June 30, 2000].</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10.18</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Employment Agreement between the Company and Robert A. Damico, dated December 17, 1998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10.39 to Form 10-K for the year ended December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10.19</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3"/>
              </w:rPr>
              <w:t>Employment Agreement between the Company and Charles A. Wilcox, dated February 3, 1998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10.40 to Form 10-K for the year ended December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4"/>
              </w:rPr>
              <w:t>Employment Agreement between the Company and David R. Hopkins, dated March 30, 2000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10.2 to Form 10-Q for the quarter ended March 31, 2000].</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9"/>
              </w:rPr>
              <w:t>Employment Agreement between the Company and Ronald H. Jones, dated as of August 27, 1997 and December 7,</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0"/>
              </w:rPr>
              <w:t>1997 [Incorporated by reference to Exhibits 10.22 and 10.25 to Form 10-K for the year ended December 31, 1997].</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6"/>
              </w:rPr>
              <w:t>Employment Agreement between the Company and David Steiner, dated as of May 6, 2002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Exhibits 10.1 to Form 10-Q for the quarter ended March 31, 2002].</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10.23</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9"/>
              </w:rPr>
              <w:t>Employment Agreement between the Company and James E. Trevathan dated as of June 1, 2000.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10.19 to Form 10-K for the year ended December 31, 2000].</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10.24</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Employment Agreement between the Company and Charles E. Williams dated as of June 1, 2000.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10.20 to Form 10-K for the year ended December 31, 2000].</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10.25</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8"/>
              </w:rPr>
              <w:t>Employment Agreement between the Company and Domenic Pio dated as of April 1, 2001 [Incorporated by reference</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 Exhibit 10.4 to Form 10-Q for the quarter ended June 30, 2001].</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10.26</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1"/>
              </w:rPr>
              <w:t>Employment Agreement between the Company and Richard T. Felago dated as of May 14, 2001 [Incorporated by</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reference to Exhibit 10.5 to Form 10-Q for the quarter ended June 30, 2001].</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10.27</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0"/>
              </w:rPr>
              <w:t>Employment Agreement between the Company and Robert G. Simpson dated as of October 15, 1998 [Incorporated</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by reference to Exhibit 10.44 to Form 10-K for the year ended December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10.28</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9"/>
              </w:rPr>
              <w:t>Employment Agreement between the Company and Barry H. Caldwell dated as of September 23, 2002 [Incorporated</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by reference to Exhibit 10.24 to Form 10-K for the year ended December 31, 2002].</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10.29</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2"/>
              </w:rPr>
              <w:t>Employment Agreement between Recycle America Alliance, L.L.C and Steve Raigel dated as of March 30, 2003</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[Incorporated by reference to Exhibit 10.1 to Form 10-Q for the quarter ended June 30, 2003].</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10.30</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9"/>
              </w:rPr>
              <w:t>Employment Agreement between the Company and Rick L Wittenbraker dated as of November 10, 2003.</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10.31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rPr>
              <w:t>Employment Agreement between the Company and Jimmy D. LaValley dated as of January 21, 2004.</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10.32</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4"/>
              </w:rPr>
              <w:t>2000 Broad-Based Employee Plan [Incorporated by reference to Exhibit 10.49 to Form 10-K for the year ended</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December 31, 1999].</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10.33</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93"/>
              </w:rPr>
              <w:t>2000 Stock Incentive Plan [Incorporated by reference to Appendix B to the Proxy Statement for the 2000 Annual</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Meeting of Stockholders].</w:t>
            </w:r>
          </w:p>
        </w:tc>
      </w:tr>
      <w:tr>
        <w:trPr>
          <w:trHeight w:val="216"/>
        </w:trPr>
        <w:tc>
          <w:tcPr>
            <w:tcW w:w="1980" w:type="dxa"/>
            <w:vAlign w:val="bottom"/>
          </w:tcPr>
          <w:p>
            <w:pPr>
              <w:ind w:left="900"/>
              <w:spacing w:after="0"/>
              <w:rPr>
                <w:sz w:val="20"/>
                <w:szCs w:val="20"/>
                <w:color w:val="auto"/>
              </w:rPr>
            </w:pPr>
            <w:r>
              <w:rPr>
                <w:rFonts w:ascii="Arial" w:cs="Arial" w:eastAsia="Arial" w:hAnsi="Arial"/>
                <w:sz w:val="18"/>
                <w:szCs w:val="18"/>
                <w:color w:val="auto"/>
              </w:rPr>
              <w:t>10.34</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w w:val="89"/>
              </w:rPr>
              <w:t>2001 Performance Based Compensation Plan [Incorporated by reference to Exhibit 10.3 to Form 10-Q for the quarter</w:t>
            </w:r>
          </w:p>
        </w:tc>
      </w:tr>
      <w:tr>
        <w:trPr>
          <w:trHeight w:val="216"/>
        </w:trPr>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ended June 30, 2001].</w:t>
            </w:r>
          </w:p>
        </w:tc>
      </w:tr>
      <w:tr>
        <w:trPr>
          <w:trHeight w:val="222"/>
        </w:trPr>
        <w:tc>
          <w:tcPr>
            <w:tcW w:w="1980" w:type="dxa"/>
            <w:vAlign w:val="bottom"/>
          </w:tcPr>
          <w:p>
            <w:pPr>
              <w:ind w:left="900"/>
              <w:spacing w:after="0"/>
              <w:rPr>
                <w:sz w:val="20"/>
                <w:szCs w:val="20"/>
                <w:color w:val="auto"/>
              </w:rPr>
            </w:pPr>
            <w:r>
              <w:rPr>
                <w:rFonts w:ascii="Arial" w:cs="Arial" w:eastAsia="Arial" w:hAnsi="Arial"/>
                <w:sz w:val="18"/>
                <w:szCs w:val="18"/>
                <w:color w:val="auto"/>
              </w:rPr>
              <w:t>12.1</w:t>
            </w:r>
          </w:p>
        </w:tc>
        <w:tc>
          <w:tcPr>
            <w:tcW w:w="1120" w:type="dxa"/>
            <w:vAlign w:val="bottom"/>
          </w:tcPr>
          <w:p>
            <w:pPr>
              <w:ind w:left="340"/>
              <w:spacing w:after="0"/>
              <w:rPr>
                <w:sz w:val="20"/>
                <w:szCs w:val="20"/>
                <w:color w:val="auto"/>
              </w:rPr>
            </w:pPr>
            <w:r>
              <w:rPr>
                <w:rFonts w:ascii="Arial" w:cs="Arial" w:eastAsia="Arial" w:hAnsi="Arial"/>
                <w:sz w:val="18"/>
                <w:szCs w:val="18"/>
                <w:color w:val="auto"/>
              </w:rPr>
              <w:t>—</w:t>
            </w:r>
          </w:p>
        </w:tc>
        <w:tc>
          <w:tcPr>
            <w:tcW w:w="8320" w:type="dxa"/>
            <w:vAlign w:val="bottom"/>
          </w:tcPr>
          <w:p>
            <w:pPr>
              <w:spacing w:after="0"/>
              <w:rPr>
                <w:sz w:val="20"/>
                <w:szCs w:val="20"/>
                <w:color w:val="auto"/>
              </w:rPr>
            </w:pPr>
            <w:r>
              <w:rPr>
                <w:rFonts w:ascii="Arial" w:cs="Arial" w:eastAsia="Arial" w:hAnsi="Arial"/>
                <w:sz w:val="18"/>
                <w:szCs w:val="18"/>
                <w:color w:val="auto"/>
              </w:rPr>
              <w:t>Computation of Ratio of Earnings to Fixed Charges.</w:t>
            </w:r>
          </w:p>
        </w:tc>
      </w:tr>
    </w:tbl>
    <w:p>
      <w:pPr>
        <w:ind w:left="3100" w:right="600" w:hanging="2201"/>
        <w:spacing w:after="0" w:line="261" w:lineRule="auto"/>
        <w:tabs>
          <w:tab w:leader="none" w:pos="23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—Ernst &amp; Young Letter Regarding Changes in Accounting Principle [Incorporated by reference to Exhibit 18 to Form 10-Q for the quarter ended March 31, 2003].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74"/>
        </w:trPr>
        <w:tc>
          <w:tcPr>
            <w:tcW w:w="2100" w:type="dxa"/>
            <w:vAlign w:val="bottom"/>
          </w:tcPr>
          <w:p>
            <w:pPr>
              <w:jc w:val="right"/>
              <w:ind w:right="595"/>
              <w:spacing w:after="0"/>
              <w:rPr>
                <w:sz w:val="20"/>
                <w:szCs w:val="20"/>
                <w:color w:val="auto"/>
              </w:rPr>
            </w:pPr>
            <w:r>
              <w:rPr>
                <w:rFonts w:ascii="Arial" w:cs="Arial" w:eastAsia="Arial" w:hAnsi="Arial"/>
                <w:sz w:val="14"/>
                <w:szCs w:val="14"/>
                <w:b w:val="1"/>
                <w:bCs w:val="1"/>
                <w:color w:val="auto"/>
              </w:rPr>
              <w:t>Exhibit No.*</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0" w:type="dxa"/>
            <w:vAlign w:val="bottom"/>
          </w:tcPr>
          <w:p>
            <w:pPr>
              <w:ind w:left="37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10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0" w:type="dxa"/>
            <w:vAlign w:val="bottom"/>
            <w:tcBorders>
              <w:bottom w:val="single" w:sz="8" w:color="808080"/>
            </w:tcBorders>
          </w:tcPr>
          <w:p>
            <w:pPr>
              <w:spacing w:after="0"/>
              <w:rPr>
                <w:sz w:val="8"/>
                <w:szCs w:val="8"/>
                <w:color w:val="auto"/>
              </w:rPr>
            </w:pPr>
          </w:p>
        </w:tc>
      </w:tr>
      <w:tr>
        <w:trPr>
          <w:trHeight w:val="309"/>
        </w:trPr>
        <w:tc>
          <w:tcPr>
            <w:tcW w:w="2100" w:type="dxa"/>
            <w:vAlign w:val="bottom"/>
          </w:tcPr>
          <w:p>
            <w:pPr>
              <w:jc w:val="right"/>
              <w:ind w:right="695"/>
              <w:spacing w:after="0"/>
              <w:rPr>
                <w:sz w:val="20"/>
                <w:szCs w:val="20"/>
                <w:color w:val="auto"/>
              </w:rPr>
            </w:pPr>
            <w:r>
              <w:rPr>
                <w:rFonts w:ascii="Arial" w:cs="Arial" w:eastAsia="Arial" w:hAnsi="Arial"/>
                <w:sz w:val="18"/>
                <w:szCs w:val="18"/>
                <w:color w:val="auto"/>
              </w:rPr>
              <w:t>21.1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2100" w:type="dxa"/>
            <w:vAlign w:val="bottom"/>
          </w:tcPr>
          <w:p>
            <w:pPr>
              <w:jc w:val="right"/>
              <w:ind w:right="695"/>
              <w:spacing w:after="0"/>
              <w:rPr>
                <w:sz w:val="20"/>
                <w:szCs w:val="20"/>
                <w:color w:val="auto"/>
              </w:rPr>
            </w:pPr>
            <w:r>
              <w:rPr>
                <w:rFonts w:ascii="Arial" w:cs="Arial" w:eastAsia="Arial" w:hAnsi="Arial"/>
                <w:sz w:val="18"/>
                <w:szCs w:val="18"/>
                <w:color w:val="auto"/>
              </w:rPr>
              <w:t>23.1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Consent of Independent Auditors.</w:t>
            </w:r>
          </w:p>
        </w:tc>
      </w:tr>
      <w:tr>
        <w:trPr>
          <w:trHeight w:val="216"/>
        </w:trPr>
        <w:tc>
          <w:tcPr>
            <w:tcW w:w="2100" w:type="dxa"/>
            <w:vAlign w:val="bottom"/>
          </w:tcPr>
          <w:p>
            <w:pPr>
              <w:jc w:val="right"/>
              <w:ind w:right="695"/>
              <w:spacing w:after="0"/>
              <w:rPr>
                <w:sz w:val="20"/>
                <w:szCs w:val="20"/>
                <w:color w:val="auto"/>
              </w:rPr>
            </w:pPr>
            <w:r>
              <w:rPr>
                <w:rFonts w:ascii="Arial" w:cs="Arial" w:eastAsia="Arial" w:hAnsi="Arial"/>
                <w:sz w:val="18"/>
                <w:szCs w:val="18"/>
                <w:color w:val="auto"/>
              </w:rPr>
              <w:t>23.2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Information regarding consent of Arthur Andersen LLP.</w:t>
            </w:r>
          </w:p>
        </w:tc>
      </w:tr>
      <w:tr>
        <w:trPr>
          <w:trHeight w:val="216"/>
        </w:trPr>
        <w:tc>
          <w:tcPr>
            <w:tcW w:w="2100" w:type="dxa"/>
            <w:vAlign w:val="bottom"/>
          </w:tcPr>
          <w:p>
            <w:pPr>
              <w:jc w:val="right"/>
              <w:ind w:right="695"/>
              <w:spacing w:after="0"/>
              <w:rPr>
                <w:sz w:val="20"/>
                <w:szCs w:val="20"/>
                <w:color w:val="auto"/>
              </w:rPr>
            </w:pPr>
            <w:r>
              <w:rPr>
                <w:rFonts w:ascii="Arial" w:cs="Arial" w:eastAsia="Arial" w:hAnsi="Arial"/>
                <w:sz w:val="18"/>
                <w:szCs w:val="18"/>
                <w:color w:val="auto"/>
              </w:rPr>
              <w:t>31.1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Rule 15d-14(a) under the Securities Exchange Act of 1934, as amended of A. Maurice</w:t>
            </w:r>
          </w:p>
        </w:tc>
      </w:tr>
      <w:tr>
        <w:trPr>
          <w:trHeight w:val="216"/>
        </w:trPr>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Myers, President and Chief Executive Officer.</w:t>
            </w:r>
          </w:p>
        </w:tc>
      </w:tr>
      <w:tr>
        <w:trPr>
          <w:trHeight w:val="216"/>
        </w:trPr>
        <w:tc>
          <w:tcPr>
            <w:tcW w:w="2100" w:type="dxa"/>
            <w:vAlign w:val="bottom"/>
          </w:tcPr>
          <w:p>
            <w:pPr>
              <w:jc w:val="right"/>
              <w:ind w:right="695"/>
              <w:spacing w:after="0"/>
              <w:rPr>
                <w:sz w:val="20"/>
                <w:szCs w:val="20"/>
                <w:color w:val="auto"/>
              </w:rPr>
            </w:pPr>
            <w:r>
              <w:rPr>
                <w:rFonts w:ascii="Arial" w:cs="Arial" w:eastAsia="Arial" w:hAnsi="Arial"/>
                <w:sz w:val="18"/>
                <w:szCs w:val="18"/>
                <w:color w:val="auto"/>
              </w:rPr>
              <w:t>31.2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w w:val="93"/>
              </w:rPr>
              <w:t>Certification Pursuant to Rule 15d-14(a) under the Securities Exchange Act of 1934, as amended, of David P.</w:t>
            </w:r>
          </w:p>
        </w:tc>
      </w:tr>
      <w:tr>
        <w:trPr>
          <w:trHeight w:val="216"/>
        </w:trPr>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Steiner, Executive Vice President and Chief Financial Officer.</w:t>
            </w:r>
          </w:p>
        </w:tc>
      </w:tr>
      <w:tr>
        <w:trPr>
          <w:trHeight w:val="216"/>
        </w:trPr>
        <w:tc>
          <w:tcPr>
            <w:tcW w:w="2100" w:type="dxa"/>
            <w:vAlign w:val="bottom"/>
          </w:tcPr>
          <w:p>
            <w:pPr>
              <w:jc w:val="right"/>
              <w:ind w:right="695"/>
              <w:spacing w:after="0"/>
              <w:rPr>
                <w:sz w:val="20"/>
                <w:szCs w:val="20"/>
                <w:color w:val="auto"/>
              </w:rPr>
            </w:pPr>
            <w:r>
              <w:rPr>
                <w:rFonts w:ascii="Arial" w:cs="Arial" w:eastAsia="Arial" w:hAnsi="Arial"/>
                <w:sz w:val="18"/>
                <w:szCs w:val="18"/>
                <w:color w:val="auto"/>
              </w:rPr>
              <w:t>32.1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A. Maurice Myers, President and Chief Executive Officer.</w:t>
            </w:r>
          </w:p>
        </w:tc>
      </w:tr>
      <w:tr>
        <w:trPr>
          <w:trHeight w:val="222"/>
        </w:trPr>
        <w:tc>
          <w:tcPr>
            <w:tcW w:w="2100" w:type="dxa"/>
            <w:vAlign w:val="bottom"/>
          </w:tcPr>
          <w:p>
            <w:pPr>
              <w:jc w:val="right"/>
              <w:ind w:right="695"/>
              <w:spacing w:after="0"/>
              <w:rPr>
                <w:sz w:val="20"/>
                <w:szCs w:val="20"/>
                <w:color w:val="auto"/>
              </w:rPr>
            </w:pPr>
            <w:r>
              <w:rPr>
                <w:rFonts w:ascii="Arial" w:cs="Arial" w:eastAsia="Arial" w:hAnsi="Arial"/>
                <w:sz w:val="18"/>
                <w:szCs w:val="18"/>
                <w:color w:val="auto"/>
              </w:rPr>
              <w:t>32.2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w w:val="89"/>
              </w:rPr>
              <w:t>Certification Pursuant to 18 U.S.C. §1350 of David P. Steiner, 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40" w:hanging="232"/>
        <w:spacing w:after="0"/>
        <w:tabs>
          <w:tab w:leader="none" w:pos="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incorporation by reference to documents filed under the Securities Exchange Act of 1934, the Company’s file number under that Act is 1-12154.</w:t>
      </w:r>
    </w:p>
    <w:p>
      <w:pPr>
        <w:spacing w:after="0" w:line="275" w:lineRule="exact"/>
        <w:rPr>
          <w:rFonts w:ascii="Arial" w:cs="Arial" w:eastAsia="Arial" w:hAnsi="Arial"/>
          <w:sz w:val="16"/>
          <w:szCs w:val="16"/>
          <w:color w:val="auto"/>
        </w:rPr>
      </w:pPr>
    </w:p>
    <w:p>
      <w:pPr>
        <w:ind w:left="580" w:hanging="248"/>
        <w:spacing w:after="0"/>
        <w:tabs>
          <w:tab w:leader="none" w:pos="580" w:val="left"/>
        </w:tabs>
        <w:numPr>
          <w:ilvl w:val="1"/>
          <w:numId w:val="80"/>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ind w:left="45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 MAURICE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 Maurice Myers</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Chairman of the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2004</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98" w:lineRule="exact"/>
        <w:rPr>
          <w:sz w:val="20"/>
          <w:szCs w:val="20"/>
          <w:color w:val="auto"/>
        </w:rPr>
      </w:pPr>
    </w:p>
    <w:p>
      <w:pPr>
        <w:ind w:left="2420"/>
        <w:spacing w:after="0"/>
        <w:tabs>
          <w:tab w:leader="none" w:pos="6920" w:val="left"/>
          <w:tab w:leader="none" w:pos="99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68580</wp:posOffset>
            </wp:positionV>
            <wp:extent cx="65176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4"/>
              </w:rPr>
              <w:t>/s/ A. MAURICE MYERS</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89"/>
              </w:rPr>
              <w:t>President, Chief Executive Officer,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vMerge w:val="restart"/>
          </w:tcPr>
          <w:p>
            <w:pPr>
              <w:jc w:val="center"/>
              <w:ind w:left="292"/>
              <w:spacing w:after="0"/>
              <w:rPr>
                <w:sz w:val="20"/>
                <w:szCs w:val="20"/>
                <w:color w:val="auto"/>
              </w:rPr>
            </w:pPr>
            <w:r>
              <w:rPr>
                <w:rFonts w:ascii="Arial" w:cs="Arial" w:eastAsia="Arial" w:hAnsi="Arial"/>
                <w:sz w:val="18"/>
                <w:szCs w:val="18"/>
                <w:color w:val="auto"/>
                <w:w w:val="88"/>
              </w:rPr>
              <w:t>Chairman of the Board, and</w:t>
            </w: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92"/>
              </w:rPr>
              <w:t>A. Maurice Myers</w:t>
            </w:r>
          </w:p>
        </w:tc>
        <w:tc>
          <w:tcPr>
            <w:tcW w:w="4100" w:type="dxa"/>
            <w:vAlign w:val="bottom"/>
            <w:vMerge w:val="continue"/>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4100" w:type="dxa"/>
            <w:vAlign w:val="bottom"/>
          </w:tcPr>
          <w:p>
            <w:pPr>
              <w:jc w:val="center"/>
              <w:ind w:left="292"/>
              <w:spacing w:after="0"/>
              <w:rPr>
                <w:sz w:val="20"/>
                <w:szCs w:val="20"/>
                <w:color w:val="auto"/>
              </w:rPr>
            </w:pPr>
            <w:r>
              <w:rPr>
                <w:rFonts w:ascii="Arial" w:cs="Arial" w:eastAsia="Arial" w:hAnsi="Arial"/>
                <w:sz w:val="18"/>
                <w:szCs w:val="18"/>
                <w:color w:val="auto"/>
                <w:w w:val="92"/>
              </w:rPr>
              <w:t>Director (Principal Executive Officer)</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/s/ DAVID P. STEINER</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87"/>
              </w:rPr>
              <w:t>Executive Vice President and</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vMerge w:val="restart"/>
          </w:tcPr>
          <w:p>
            <w:pPr>
              <w:jc w:val="center"/>
              <w:ind w:left="292"/>
              <w:spacing w:after="0"/>
              <w:rPr>
                <w:sz w:val="20"/>
                <w:szCs w:val="20"/>
                <w:color w:val="auto"/>
              </w:rPr>
            </w:pPr>
            <w:r>
              <w:rPr>
                <w:rFonts w:ascii="Arial" w:cs="Arial" w:eastAsia="Arial" w:hAnsi="Arial"/>
                <w:sz w:val="18"/>
                <w:szCs w:val="18"/>
                <w:color w:val="auto"/>
                <w:w w:val="92"/>
              </w:rPr>
              <w:t>Chief Financial Officer</w:t>
            </w: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7"/>
              </w:rPr>
              <w:t>David. P. Steiner</w:t>
            </w:r>
          </w:p>
        </w:tc>
        <w:tc>
          <w:tcPr>
            <w:tcW w:w="4100" w:type="dxa"/>
            <w:vAlign w:val="bottom"/>
            <w:vMerge w:val="continue"/>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4100" w:type="dxa"/>
            <w:vAlign w:val="bottom"/>
          </w:tcPr>
          <w:p>
            <w:pPr>
              <w:jc w:val="center"/>
              <w:ind w:left="292"/>
              <w:spacing w:after="0"/>
              <w:rPr>
                <w:sz w:val="20"/>
                <w:szCs w:val="20"/>
                <w:color w:val="auto"/>
              </w:rPr>
            </w:pPr>
            <w:r>
              <w:rPr>
                <w:rFonts w:ascii="Arial" w:cs="Arial" w:eastAsia="Arial" w:hAnsi="Arial"/>
                <w:sz w:val="18"/>
                <w:szCs w:val="18"/>
                <w:color w:val="auto"/>
                <w:w w:val="92"/>
              </w:rPr>
              <w:t>(Principal Financial Officer)</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/s/ ROBERT G. SIMPSON</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87"/>
              </w:rPr>
              <w:t>Senior Vice President and</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vMerge w:val="restart"/>
          </w:tcPr>
          <w:p>
            <w:pPr>
              <w:jc w:val="center"/>
              <w:ind w:left="292"/>
              <w:spacing w:after="0"/>
              <w:rPr>
                <w:sz w:val="20"/>
                <w:szCs w:val="20"/>
                <w:color w:val="auto"/>
              </w:rPr>
            </w:pPr>
            <w:r>
              <w:rPr>
                <w:rFonts w:ascii="Arial" w:cs="Arial" w:eastAsia="Arial" w:hAnsi="Arial"/>
                <w:sz w:val="18"/>
                <w:szCs w:val="18"/>
                <w:color w:val="auto"/>
                <w:w w:val="92"/>
              </w:rPr>
              <w:t>Chief Accounting Officer</w:t>
            </w: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240" w:type="dxa"/>
            <w:vAlign w:val="bottom"/>
            <w:vMerge w:val="restart"/>
          </w:tcPr>
          <w:p>
            <w:pPr>
              <w:jc w:val="center"/>
              <w:spacing w:after="0"/>
              <w:rPr>
                <w:sz w:val="20"/>
                <w:szCs w:val="20"/>
                <w:color w:val="auto"/>
              </w:rPr>
            </w:pPr>
            <w:r>
              <w:rPr>
                <w:rFonts w:ascii="Arial" w:cs="Arial" w:eastAsia="Arial" w:hAnsi="Arial"/>
                <w:sz w:val="18"/>
                <w:szCs w:val="18"/>
                <w:color w:val="auto"/>
                <w:w w:val="88"/>
              </w:rPr>
              <w:t>Robert G. Simpson</w:t>
            </w:r>
          </w:p>
        </w:tc>
        <w:tc>
          <w:tcPr>
            <w:tcW w:w="4100" w:type="dxa"/>
            <w:vAlign w:val="bottom"/>
            <w:vMerge w:val="continue"/>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4100" w:type="dxa"/>
            <w:vAlign w:val="bottom"/>
          </w:tcPr>
          <w:p>
            <w:pPr>
              <w:jc w:val="center"/>
              <w:ind w:left="292"/>
              <w:spacing w:after="0"/>
              <w:rPr>
                <w:sz w:val="20"/>
                <w:szCs w:val="20"/>
                <w:color w:val="auto"/>
              </w:rPr>
            </w:pPr>
            <w:r>
              <w:rPr>
                <w:rFonts w:ascii="Arial" w:cs="Arial" w:eastAsia="Arial" w:hAnsi="Arial"/>
                <w:sz w:val="18"/>
                <w:szCs w:val="18"/>
                <w:color w:val="auto"/>
                <w:w w:val="92"/>
              </w:rPr>
              <w:t>(Principal Accounting Officer)</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/s/ PASTORA SAN JUAN CAFFERTY</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6"/>
              </w:rPr>
              <w:t>Pastora San Juan Cafferty</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4"/>
              </w:rPr>
              <w:t>/s/ FRANK M. CLARK, JR.</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Frank M. Clark, Jr.</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3"/>
              </w:rPr>
              <w:t>/s/ ROBERT S. MILLER</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Robert S. Miller</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/s/ JOHN C. POPE</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6"/>
              </w:rPr>
              <w:t>John C. Pope</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/s/ W. ROBERT REUM</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W. Robert Reum</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/s/ STEVEN G. ROTHMEIER</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8"/>
              </w:rPr>
              <w:t>Steven G. Rothmeier</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/s/ CARL W. VOGT</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Carl W. Vogt</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4"/>
              </w:rPr>
              <w:t>/s/ RALPH V. WHITWORTH</w:t>
            </w:r>
          </w:p>
        </w:tc>
        <w:tc>
          <w:tcPr>
            <w:tcW w:w="4100" w:type="dxa"/>
            <w:vAlign w:val="bottom"/>
          </w:tcPr>
          <w:p>
            <w:pPr>
              <w:jc w:val="center"/>
              <w:ind w:left="312"/>
              <w:spacing w:after="0"/>
              <w:rPr>
                <w:sz w:val="20"/>
                <w:szCs w:val="20"/>
                <w:color w:val="auto"/>
              </w:rPr>
            </w:pPr>
            <w:r>
              <w:rPr>
                <w:rFonts w:ascii="Arial" w:cs="Arial" w:eastAsia="Arial" w:hAnsi="Arial"/>
                <w:sz w:val="18"/>
                <w:szCs w:val="18"/>
                <w:color w:val="auto"/>
                <w:w w:val="91"/>
              </w:rPr>
              <w:t>Director</w:t>
            </w:r>
          </w:p>
        </w:tc>
        <w:tc>
          <w:tcPr>
            <w:tcW w:w="2500" w:type="dxa"/>
            <w:vAlign w:val="bottom"/>
          </w:tcPr>
          <w:p>
            <w:pPr>
              <w:ind w:left="520"/>
              <w:spacing w:after="0"/>
              <w:rPr>
                <w:sz w:val="20"/>
                <w:szCs w:val="20"/>
                <w:color w:val="auto"/>
              </w:rPr>
            </w:pPr>
            <w:r>
              <w:rPr>
                <w:rFonts w:ascii="Arial" w:cs="Arial" w:eastAsia="Arial" w:hAnsi="Arial"/>
                <w:sz w:val="18"/>
                <w:szCs w:val="18"/>
                <w:color w:val="auto"/>
              </w:rPr>
              <w:t>February 19, 2004</w:t>
            </w: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4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8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2"/>
              </w:rPr>
              <w:t>Ralph V. Whitworth</w:t>
            </w:r>
          </w:p>
        </w:tc>
        <w:tc>
          <w:tcPr>
            <w:tcW w:w="4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100" w:type="dxa"/>
            <w:vAlign w:val="bottom"/>
          </w:tcPr>
          <w:p>
            <w:pPr>
              <w:jc w:val="right"/>
              <w:ind w:right="2992"/>
              <w:spacing w:after="0"/>
              <w:rPr>
                <w:sz w:val="20"/>
                <w:szCs w:val="20"/>
                <w:color w:val="auto"/>
              </w:rPr>
            </w:pPr>
            <w:r>
              <w:rPr>
                <w:rFonts w:ascii="Arial" w:cs="Arial" w:eastAsia="Arial" w:hAnsi="Arial"/>
                <w:sz w:val="18"/>
                <w:szCs w:val="18"/>
                <w:color w:val="auto"/>
              </w:rPr>
              <w:t>108</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654"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audited, in accordance with auditing standards generally accepted in the United States, the consolidated financial statements of Waste Management, Inc. (the “Company”) as of December 31, 2003 and 2002, and for the years then ended, and have issued our report thereon dated February 10, 2004 (included elsewhere in this Form 10-K). Our audits also included the financial statement schedule as of December 31, 2003 and 2002, and for each of the years then ended, listed in Item 15(a) of this Form 10-K. This schedule is the responsibility of the Company’s management. Our responsibility is to express an opinion based on our audits. The financial statement schedule listed in Item 15(a) of this Form 10-K as of December 31, 2001, and for the year then ended, was audited by other auditors who have ceased operations and whose report dated February 25, 2002 expressed an unqualified opinion.</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our opinion, the 2003 and 2002 financial statement schedule referred to above, when considered in relation to the basic consolidated financial statements taken as a whole, presents fairly, in all material respects, the information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123190</wp:posOffset>
            </wp:positionV>
            <wp:extent cx="1337945" cy="3600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379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6" w:name="page117"/>
    <w:bookmarkEnd w:id="116"/>
    <w:p>
      <w:pPr>
        <w:ind w:left="3500"/>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Waste Management, Inc.:</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audited in accordance with auditing standards generally accepted in the United States, the consolidated financial statements of Waste Management, Inc. and subsidiaries included in this Annual Report on Form 10-K and have issued our report thereon dated February 25, 2002. Our audit was made for the purpose of forming an opinion on those statements taken as a whole. Schedule II is the responsibility of the Company’s management and is presented for purposes of complying with the Securities and Exchange Commission’s rules and is not part of the basic financial statements. Schedule II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7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ARTHUR ANDERSEN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2002</w:t>
      </w:r>
    </w:p>
    <w:p>
      <w:pPr>
        <w:spacing w:after="0" w:line="219"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b w:val="1"/>
          <w:bCs w:val="1"/>
          <w:color w:val="auto"/>
        </w:rPr>
        <w:t>THIS IS A COPY OF THE AUDIT REPORT PREVIOUSLY ISSUED BY ARTHUR ANDERSEN LLP IN CONNECTION WITH WASTE MANAGEMENT, INC.’S FILING ON FORM 10-K FOR THE YEAR ENDED DECEMBER 31, 2001. THIS AUDIT REPORT HAS NOT BEEN REISSUED BY ARTHUR ANDERSEN LLP IN CONNECTION WITH THIS FILING ON FORM 10-K. SEE EXHIBIT 23.2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Accounts</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3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Charged</w:t>
            </w:r>
          </w:p>
        </w:tc>
        <w:tc>
          <w:tcPr>
            <w:tcW w:w="32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Written Off/</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3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(Credited)</w:t>
            </w:r>
          </w:p>
        </w:tc>
        <w:tc>
          <w:tcPr>
            <w:tcW w:w="320" w:type="dxa"/>
            <w:vAlign w:val="bottom"/>
          </w:tcPr>
          <w:p>
            <w:pPr>
              <w:spacing w:after="0"/>
              <w:rPr>
                <w:sz w:val="12"/>
                <w:szCs w:val="12"/>
                <w:color w:val="auto"/>
              </w:rPr>
            </w:pPr>
          </w:p>
        </w:tc>
        <w:tc>
          <w:tcPr>
            <w:tcW w:w="132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Use of</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of Year</w:t>
            </w:r>
          </w:p>
        </w:tc>
        <w:tc>
          <w:tcPr>
            <w:tcW w:w="3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to Income</w:t>
            </w:r>
          </w:p>
        </w:tc>
        <w:tc>
          <w:tcPr>
            <w:tcW w:w="3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Reserve</w:t>
            </w:r>
          </w:p>
        </w:tc>
        <w:tc>
          <w:tcPr>
            <w:tcW w:w="320" w:type="dxa"/>
            <w:vAlign w:val="bottom"/>
          </w:tcPr>
          <w:p>
            <w:pPr>
              <w:spacing w:after="0"/>
              <w:rPr>
                <w:sz w:val="15"/>
                <w:szCs w:val="15"/>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Other(A)</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2001</w:t>
            </w:r>
          </w:p>
        </w:tc>
        <w:tc>
          <w:tcPr>
            <w:tcW w:w="46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Reserves for doubtful accounts(B)</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79"/>
              </w:rPr>
              <w:t>151</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58</w:t>
            </w:r>
          </w:p>
        </w:tc>
        <w:tc>
          <w:tcPr>
            <w:tcW w:w="88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85"/>
              </w:rPr>
              <w:t>(112)</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90"/>
              </w:rPr>
              <w:t>(3)</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2002</w:t>
            </w: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 Reserves for doubtful accounts(B)</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67</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w w:val="77"/>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2003</w:t>
            </w:r>
          </w:p>
        </w:tc>
        <w:tc>
          <w:tcPr>
            <w:tcW w:w="46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Reserves for doubtful accounts(B)</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78</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45</w:t>
            </w:r>
          </w:p>
        </w:tc>
        <w:tc>
          <w:tcPr>
            <w:tcW w:w="88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(49)</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2001</w:t>
            </w: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 Merger and restructuring accruals(C)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w w:val="77"/>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2002</w:t>
            </w:r>
          </w:p>
        </w:tc>
        <w:tc>
          <w:tcPr>
            <w:tcW w:w="46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Merger and restructuring accruals(C)</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38</w:t>
            </w:r>
          </w:p>
        </w:tc>
        <w:tc>
          <w:tcPr>
            <w:tcW w:w="88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(35)</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77"/>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2003</w:t>
            </w: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 Merger and restructuring accruals(C)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44</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w w:val="90"/>
              </w:rPr>
              <w:t>(6)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2001</w:t>
            </w:r>
          </w:p>
        </w:tc>
        <w:tc>
          <w:tcPr>
            <w:tcW w:w="46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48</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77"/>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2002</w:t>
            </w: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w w:val="77"/>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2003</w:t>
            </w:r>
          </w:p>
        </w:tc>
        <w:tc>
          <w:tcPr>
            <w:tcW w:w="46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 Reserve for major maintenance expenditures(D)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48</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87"/>
              </w:rPr>
              <w:t>(48)</w:t>
            </w:r>
          </w:p>
        </w:tc>
        <w:tc>
          <w:tcPr>
            <w:tcW w:w="880" w:type="dxa"/>
            <w:vAlign w:val="bottom"/>
            <w:gridSpan w:val="2"/>
            <w:shd w:val="clear" w:color="auto" w:fill="EEEEEE"/>
          </w:tcPr>
          <w:p>
            <w:pPr>
              <w:ind w:left="7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77"/>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2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460" w:right="44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Reserves for doubtful accounts related to purchase business combinations, reserves associated with dispositions of businesses, reserves reclassified to operations held for sale, and reclasses among reserve accounts.</w:t>
      </w:r>
    </w:p>
    <w:p>
      <w:pPr>
        <w:spacing w:after="0" w:line="212"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long-term notes receivable.</w:t>
      </w:r>
    </w:p>
    <w:p>
      <w:pPr>
        <w:spacing w:after="0" w:line="252"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Accruals are included in accrued liabilities and other liabilities. These accruals represent transaction or deal costs, employee severance, separation, and transitional costs.</w:t>
      </w:r>
    </w:p>
    <w:p>
      <w:pPr>
        <w:spacing w:after="0" w:line="212"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major maintenance expenditures at the Company’s waste-to-energy and independent power production facilities. Policy changed in January 2003 to a method of expensing expenditures as incurred. See Note 2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tcPr>
          <w:p>
            <w:pPr>
              <w:ind w:left="2040"/>
              <w:spacing w:after="0"/>
              <w:rPr>
                <w:sz w:val="20"/>
                <w:szCs w:val="20"/>
                <w:color w:val="auto"/>
              </w:rPr>
            </w:pPr>
            <w:r>
              <w:rPr>
                <w:rFonts w:ascii="Arial" w:cs="Arial" w:eastAsia="Arial" w:hAnsi="Arial"/>
                <w:sz w:val="18"/>
                <w:szCs w:val="18"/>
                <w:b w:val="1"/>
                <w:bCs w:val="1"/>
                <w:color w:val="auto"/>
              </w:rPr>
              <w:t>EXHIBIT INDEX</w:t>
            </w:r>
          </w:p>
        </w:tc>
      </w:tr>
      <w:tr>
        <w:trPr>
          <w:trHeight w:val="596"/>
        </w:trPr>
        <w:tc>
          <w:tcPr>
            <w:tcW w:w="1880" w:type="dxa"/>
            <w:vAlign w:val="bottom"/>
          </w:tcPr>
          <w:p>
            <w:pPr>
              <w:ind w:left="580"/>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ind w:left="980"/>
              <w:spacing w:after="0"/>
              <w:rPr>
                <w:sz w:val="20"/>
                <w:szCs w:val="20"/>
                <w:color w:val="auto"/>
              </w:rPr>
            </w:pPr>
            <w:r>
              <w:rPr>
                <w:rFonts w:ascii="Arial" w:cs="Arial" w:eastAsia="Arial" w:hAnsi="Arial"/>
                <w:sz w:val="18"/>
                <w:szCs w:val="18"/>
                <w:color w:val="auto"/>
              </w:rPr>
              <w:t>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Second Amended and Restated Certificate of Incorporation [Incorporated by reference to Exhibit 3.1 to Form 10-Q for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the quarter ended June 30, 2002].</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3.2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3"/>
              </w:rPr>
              <w:t>Bylaws as amended [Incorporated by reference to Exhibit 3.2 to Form 10-Q for the quarter ended June 30, 2002].</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4.1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Specimen Stock Certificate [Incorporated by reference to Exhibit 4.1 to Form 10-K for the year ended December 31,</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1998].</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4.2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Indenture for Subordinated Debt Securities dated February 1, 1997, among the Registrant and Texas Commerce Bank</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National Association, as trustee [Incorporated by reference to Exhibit 4.1 to Form 8-K dated February 7, 1997].</w:t>
            </w:r>
          </w:p>
        </w:tc>
      </w:tr>
      <w:tr>
        <w:trPr>
          <w:trHeight w:val="216"/>
        </w:trPr>
        <w:tc>
          <w:tcPr>
            <w:tcW w:w="1880" w:type="dxa"/>
            <w:vAlign w:val="bottom"/>
          </w:tcPr>
          <w:p>
            <w:pPr>
              <w:ind w:left="980"/>
              <w:spacing w:after="0"/>
              <w:rPr>
                <w:sz w:val="20"/>
                <w:szCs w:val="20"/>
                <w:color w:val="auto"/>
              </w:rPr>
            </w:pPr>
            <w:r>
              <w:rPr>
                <w:rFonts w:ascii="Arial" w:cs="Arial" w:eastAsia="Arial" w:hAnsi="Arial"/>
                <w:sz w:val="18"/>
                <w:szCs w:val="18"/>
                <w:color w:val="auto"/>
              </w:rPr>
              <w:t>4.3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Indenture for Senior Debt Securities dated September 10, 1997, among the Registrant and Texas Commerce Bank</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National Association, as trustee [Incorporated by reference to Exhibit 4.1 to Form 8-K dated September 10,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1993 Stock Incentive Plan [Incorporated by reference to Exhibit 10.2 to Form 10-K for the year ended December 31,</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1998].</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1996 Stock Option Plan for Non-Employee Directors [Incorporated by reference to Appendix A to the Proxy Statement</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 the 2000 Annual Meeting of Stockholders].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1997 Employee Stock Purchase Plan [Incorporated by reference to Appendix C to the Proxy Statement for the 2000</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Annual Meeting of Stockholders].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Waste Management, Inc. Retirement Savings Restoration Plan [Incorporated by reference to Exhibit 10.1 to Form 10-Q</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 the quarter ended June 30,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First Amendment to Revolving Credit Agreement dated July 29, 2001 by and among the Company, Waste Management</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Holding, Inc. the banks signatory thereto, Fleet National Bank, as administrative agent, Bank of America, N.A.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J.P. Morgan and Banc of America Securities LLC, as joint lead arrangers and joint book managers, dated January 27,</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2003. [Incorporated by reference to Exhibit 10.1 to Form 10-Q for the quarter ended March 31,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First Amendment to Revolving Credit Agreement dated June 27, 2002 by and among Waste Management, Inc., Waste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Management Holdings, Inc., each of the financial institutions party thereto, and Fleet National Bank as administrative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agent, J.P. Morgan Securities, Inc. and Banc of America Securities LLC as joint lead arrangers and joint book</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managers, JP Morgan Chase Bank and Bank of America, N.A. as co-documentation agent, dated January 27, 2003.</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10.2 to Form 10-Q for the quarter ended March 31,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Ten-Year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10.2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Five-Year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10.3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Seven-Year Letter of Credit and Term Loan Agreement among the Company, Waste Management Holdings, Inc.,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Bank of America, N.A., as Administrative Agent and Letter of Credit Issuer and the Lenders party thereto, dated as of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6"/>
              </w:rPr>
              <w:t>June 30, 2003. [Incorporated by reference to Exhibit 10.4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Reimbursement Agreement between the Company and Oakmont Asset Trust, dated as of December 22,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1998 Waste Management, Inc. Directors’ Deferred Compensation Plan [Incorporated by reference to Exhibit 10.1 to</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10-Q for the quarter ended March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1999 Waste Management, Inc. Directors Deferred Compensation Plan [Incorporated by reference to Exhibit 10.2 to</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10-Q for the quarter ended March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2003 Waste Management, Inc. Directors Deferred Compensation Plan [Incorporated by reference to Exhibit 10.5 to</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3"/>
              </w:rPr>
              <w:t>Employment Agreement between the Company and A. Maurice Myers, dated November 8, 1999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10.35 to Form 10-K for the year ended 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Lawrence O’Donnell III, dated January 21,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10.1 to Form 10-Q for the quarter ended June 30,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Employment Agreement between the Company and William L. Trubeck, dated February 16,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10.37 to Form 10-K for the year ended 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Employment Agreement between the Company and Thomas L. Smith, dated November 18, 1999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 to Form 10-Q for the quarter ended June 30,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between the Company and Robert A. Damico, dated December 17, 1998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10.39 to Form 10-K for the year ended 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10.19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4"/>
              </w:rPr>
              <w:t>Employment Agreement between the Company and Charles A. Wilcox, dated February 3, 1998 [Incorporated by</w:t>
            </w:r>
          </w:p>
        </w:tc>
      </w:tr>
      <w:tr>
        <w:trPr>
          <w:trHeight w:val="222"/>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10.40 to Form 10-K for the year ended December 31, 1999].</w:t>
            </w:r>
          </w:p>
        </w:tc>
      </w:tr>
      <w:tr>
        <w:trPr>
          <w:trHeight w:val="228"/>
        </w:trPr>
        <w:tc>
          <w:tcPr>
            <w:tcW w:w="18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4"/>
        </w:trPr>
        <w:tc>
          <w:tcPr>
            <w:tcW w:w="1880" w:type="dxa"/>
            <w:vAlign w:val="bottom"/>
          </w:tcPr>
          <w:p>
            <w:pPr>
              <w:ind w:left="580"/>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8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20" w:type="dxa"/>
            <w:vAlign w:val="bottom"/>
            <w:tcBorders>
              <w:bottom w:val="single" w:sz="8" w:color="808080"/>
            </w:tcBorders>
          </w:tcPr>
          <w:p>
            <w:pPr>
              <w:spacing w:after="0"/>
              <w:rPr>
                <w:sz w:val="8"/>
                <w:szCs w:val="8"/>
                <w:color w:val="auto"/>
              </w:rPr>
            </w:pPr>
          </w:p>
        </w:tc>
      </w:tr>
      <w:tr>
        <w:trPr>
          <w:trHeight w:val="309"/>
        </w:trPr>
        <w:tc>
          <w:tcPr>
            <w:tcW w:w="1880" w:type="dxa"/>
            <w:vAlign w:val="bottom"/>
          </w:tcPr>
          <w:p>
            <w:pPr>
              <w:ind w:left="900"/>
              <w:spacing w:after="0"/>
              <w:rPr>
                <w:sz w:val="20"/>
                <w:szCs w:val="20"/>
                <w:color w:val="auto"/>
              </w:rPr>
            </w:pPr>
            <w:r>
              <w:rPr>
                <w:rFonts w:ascii="Arial" w:cs="Arial" w:eastAsia="Arial" w:hAnsi="Arial"/>
                <w:sz w:val="18"/>
                <w:szCs w:val="18"/>
                <w:color w:val="auto"/>
              </w:rPr>
              <w:t>10.20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Employment Agreement between the Company and David R. Hopkins, dated March 30,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 to Form 10-Q for the quarter ended March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Employment Agreement between the Company and Ronald H. Jones, dated as of August 27, 1997 and December 7,</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1997 [Incorporated by reference to Exhibits 10.22 and 10.25 to Form 10-K for the year ended December 31, 1997].</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David Steiner, dated as of May 6, 2002 [Incorporated by reference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Exhibits 10.1 to Form 10-Q for the quarter ended March 31,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between the Company and James E. Trevathan dated as of June 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10.19 to Form 10-K for the year ended December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1"/>
              </w:rPr>
              <w:t>Employment Agreement between the Company and Charles E. Williams dated as of June 1, 2000.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10.20 to Form 10-K for the year ended December 31, 2000].</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10.25</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9"/>
              </w:rPr>
              <w:t>Employment Agreement between the Company and Domenic Pio dated as of April 1, 2001 [Incorporated by reference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to Exhibit 10.4 to Form 10-Q for the quarter ended June 30,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10.26</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2"/>
              </w:rPr>
              <w:t>Employment Agreement between the Company and Richard T. Felago dated as of May 14, 2001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10.5 to Form 10-Q for the quarter ended June 30, 2001].</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10.27</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88"/>
              </w:rPr>
              <w:t>Employment Agreement between the Company and Robert G. Simpson dated as of October 15, 1998 [Incorporated by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reference to Exhibit 10.44 to Form 10-K for the year ended 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10.28</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Employment Agreement between the Company and Barry H. Caldwell dated as of September 23, 2002 [Incorporated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by reference to Exhibit 10.24 to Form 10-K for the year ended December 31, 2002].</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10.29</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4"/>
              </w:rPr>
              <w:t>Employment Agreement between Recycle America Alliance, L.L.C and Steve Raigel dated as of March 30, 2003</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10.1 to Form 10-Q for the quarter ended June 30,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10.30</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Employment Agreement between the Company and Rick L Wittenbraker dated as of November 10, 2003.</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Employment Agreement between the Company and Jimmy D. LaValley dated as of January 21, 2004.</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10.32</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5"/>
              </w:rPr>
              <w:t>2000 Broad-Based Employee Plan [Incorporated by reference to Exhibit 10.49 to Form 10-K for the year ended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December 31, 1999].</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10.33</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4"/>
              </w:rPr>
              <w:t>2000 Stock Incentive Plan [Incorporated by reference to Appendix B to the Proxy Statement for the 2000 Annual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Meeting of Stockholders].</w:t>
            </w:r>
          </w:p>
        </w:tc>
      </w:tr>
      <w:tr>
        <w:trPr>
          <w:trHeight w:val="216"/>
        </w:trPr>
        <w:tc>
          <w:tcPr>
            <w:tcW w:w="1880" w:type="dxa"/>
            <w:vAlign w:val="bottom"/>
          </w:tcPr>
          <w:p>
            <w:pPr>
              <w:ind w:left="900"/>
              <w:spacing w:after="0"/>
              <w:rPr>
                <w:sz w:val="20"/>
                <w:szCs w:val="20"/>
                <w:color w:val="auto"/>
              </w:rPr>
            </w:pPr>
            <w:r>
              <w:rPr>
                <w:rFonts w:ascii="Arial" w:cs="Arial" w:eastAsia="Arial" w:hAnsi="Arial"/>
                <w:sz w:val="18"/>
                <w:szCs w:val="18"/>
                <w:color w:val="auto"/>
              </w:rPr>
              <w:t>10.34</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w w:val="90"/>
              </w:rPr>
              <w:t>2001 Performance Based Compensation Plan [Incorporated by reference to Exhibit 10.3 to Form 10-Q for the quarter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ended June 30, 2001].</w:t>
            </w:r>
          </w:p>
        </w:tc>
      </w:tr>
      <w:tr>
        <w:trPr>
          <w:trHeight w:val="222"/>
        </w:trPr>
        <w:tc>
          <w:tcPr>
            <w:tcW w:w="1880" w:type="dxa"/>
            <w:vAlign w:val="bottom"/>
          </w:tcPr>
          <w:p>
            <w:pPr>
              <w:ind w:left="900"/>
              <w:spacing w:after="0"/>
              <w:rPr>
                <w:sz w:val="20"/>
                <w:szCs w:val="20"/>
                <w:color w:val="auto"/>
              </w:rPr>
            </w:pPr>
            <w:r>
              <w:rPr>
                <w:rFonts w:ascii="Arial" w:cs="Arial" w:eastAsia="Arial" w:hAnsi="Arial"/>
                <w:sz w:val="18"/>
                <w:szCs w:val="18"/>
                <w:color w:val="auto"/>
              </w:rPr>
              <w:t>12.1</w:t>
            </w:r>
          </w:p>
        </w:tc>
        <w:tc>
          <w:tcPr>
            <w:tcW w:w="800" w:type="dxa"/>
            <w:vAlign w:val="bottom"/>
          </w:tcPr>
          <w:p>
            <w:pPr>
              <w:ind w:left="320"/>
              <w:spacing w:after="0"/>
              <w:rPr>
                <w:sz w:val="20"/>
                <w:szCs w:val="20"/>
                <w:color w:val="auto"/>
              </w:rPr>
            </w:pPr>
            <w:r>
              <w:rPr>
                <w:rFonts w:ascii="Arial" w:cs="Arial" w:eastAsia="Arial" w:hAnsi="Arial"/>
                <w:sz w:val="18"/>
                <w:szCs w:val="18"/>
                <w:color w:val="auto"/>
              </w:rPr>
              <w:t>—</w:t>
            </w: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Computation of Ratio of Earnings to Fixed Charges.</w:t>
            </w:r>
          </w:p>
        </w:tc>
      </w:tr>
    </w:tbl>
    <w:p>
      <w:pPr>
        <w:ind w:left="3000" w:hanging="2101"/>
        <w:spacing w:after="0" w:line="250" w:lineRule="auto"/>
        <w:tabs>
          <w:tab w:leader="none" w:pos="22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—Ernst &amp; Young Letter Regarding Changes in Accounting Principle [Incorporated by reference to Exhibit 18 to Form 10-Q for the quarter ended March 31, 2003].</w:t>
      </w:r>
    </w:p>
    <w:p>
      <w:pPr>
        <w:spacing w:after="0" w:line="1"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21.1</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23.1</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Consent of Independent Auditors.</w:t>
            </w:r>
          </w:p>
        </w:tc>
      </w:tr>
      <w:tr>
        <w:trPr>
          <w:trHeight w:val="216"/>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23.2</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Information regarding consent of Arthur Andersen LLP.</w:t>
            </w:r>
          </w:p>
        </w:tc>
      </w:tr>
      <w:tr>
        <w:trPr>
          <w:trHeight w:val="216"/>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31.1</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w w:val="88"/>
              </w:rPr>
              <w:t>Certification Pursuant to Rule 15d-14(a) under the Securities Exchange Act of 1934, as amended of A. Maurice Myers,</w:t>
            </w:r>
          </w:p>
        </w:tc>
      </w:tr>
      <w:tr>
        <w:trPr>
          <w:trHeight w:val="216"/>
        </w:trPr>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31.2</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w w:val="88"/>
              </w:rPr>
              <w:t>Certification Pursuant to Rule 15d-14(a) under the Securities Exchange Act of 1934, as amended, of David P. Steiner,</w:t>
            </w:r>
          </w:p>
        </w:tc>
      </w:tr>
      <w:tr>
        <w:trPr>
          <w:trHeight w:val="216"/>
        </w:trPr>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32.1</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2280" w:type="dxa"/>
            <w:vAlign w:val="bottom"/>
          </w:tcPr>
          <w:p>
            <w:pPr>
              <w:ind w:left="320"/>
              <w:spacing w:after="0"/>
              <w:rPr>
                <w:sz w:val="20"/>
                <w:szCs w:val="20"/>
                <w:color w:val="auto"/>
              </w:rPr>
            </w:pPr>
            <w:r>
              <w:rPr>
                <w:rFonts w:ascii="Arial" w:cs="Arial" w:eastAsia="Arial" w:hAnsi="Arial"/>
                <w:sz w:val="18"/>
                <w:szCs w:val="18"/>
                <w:color w:val="auto"/>
                <w:w w:val="89"/>
              </w:rPr>
              <w:t>Certification Pursuant to 18</w:t>
            </w:r>
          </w:p>
        </w:tc>
        <w:tc>
          <w:tcPr>
            <w:tcW w:w="6400" w:type="dxa"/>
            <w:vAlign w:val="bottom"/>
          </w:tcPr>
          <w:p>
            <w:pPr>
              <w:ind w:left="20"/>
              <w:spacing w:after="0"/>
              <w:rPr>
                <w:sz w:val="20"/>
                <w:szCs w:val="20"/>
                <w:color w:val="auto"/>
              </w:rPr>
            </w:pPr>
            <w:r>
              <w:rPr>
                <w:rFonts w:ascii="Arial" w:cs="Arial" w:eastAsia="Arial" w:hAnsi="Arial"/>
                <w:sz w:val="18"/>
                <w:szCs w:val="18"/>
                <w:color w:val="auto"/>
              </w:rPr>
              <w:t>U.S.C. §1350 of A. Maurice Myers, President and Chief Executive Officer.</w:t>
            </w:r>
          </w:p>
        </w:tc>
      </w:tr>
      <w:tr>
        <w:trPr>
          <w:trHeight w:val="222"/>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32.2</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2280" w:type="dxa"/>
            <w:vAlign w:val="bottom"/>
          </w:tcPr>
          <w:p>
            <w:pPr>
              <w:ind w:left="320"/>
              <w:spacing w:after="0"/>
              <w:rPr>
                <w:sz w:val="20"/>
                <w:szCs w:val="20"/>
                <w:color w:val="auto"/>
              </w:rPr>
            </w:pPr>
            <w:r>
              <w:rPr>
                <w:rFonts w:ascii="Arial" w:cs="Arial" w:eastAsia="Arial" w:hAnsi="Arial"/>
                <w:sz w:val="18"/>
                <w:szCs w:val="18"/>
                <w:color w:val="auto"/>
                <w:w w:val="89"/>
              </w:rPr>
              <w:t>Certification Pursuant to 18</w:t>
            </w:r>
          </w:p>
        </w:tc>
        <w:tc>
          <w:tcPr>
            <w:tcW w:w="6400" w:type="dxa"/>
            <w:vAlign w:val="bottom"/>
          </w:tcPr>
          <w:p>
            <w:pPr>
              <w:ind w:left="20"/>
              <w:spacing w:after="0"/>
              <w:rPr>
                <w:sz w:val="20"/>
                <w:szCs w:val="20"/>
                <w:color w:val="auto"/>
              </w:rPr>
            </w:pPr>
            <w:r>
              <w:rPr>
                <w:rFonts w:ascii="Arial" w:cs="Arial" w:eastAsia="Arial" w:hAnsi="Arial"/>
                <w:sz w:val="18"/>
                <w:szCs w:val="18"/>
                <w:color w:val="auto"/>
                <w:w w:val="91"/>
              </w:rPr>
              <w:t>U.S.C. §1350 of David P. Steiner, 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 the case of incorporation by reference to documents filed under the Securities Exchange Act of 1934, the Company’s file number under that Act is 1-12154.</w:t>
      </w:r>
    </w:p>
    <w:p>
      <w:pPr>
        <w:sectPr>
          <w:pgSz w:w="11900" w:h="16838" w:orient="portrait"/>
          <w:cols w:equalWidth="0" w:num="1">
            <w:col w:w="11420"/>
          </w:cols>
          <w:pgMar w:left="240" w:top="1153" w:right="239" w:bottom="1440" w:gutter="0" w:footer="0" w:header="0"/>
        </w:sectPr>
      </w:pPr>
    </w:p>
    <w:bookmarkStart w:id="120" w:name="page121"/>
    <w:bookmarkEnd w:id="120"/>
    <w:p>
      <w:pPr>
        <w:jc w:val="right"/>
        <w:ind w:right="1779"/>
        <w:spacing w:after="0"/>
        <w:rPr>
          <w:sz w:val="20"/>
          <w:szCs w:val="20"/>
          <w:color w:val="auto"/>
        </w:rPr>
      </w:pPr>
      <w:r>
        <w:rPr>
          <w:rFonts w:ascii="Courier New" w:cs="Courier New" w:eastAsia="Courier New" w:hAnsi="Courier New"/>
          <w:sz w:val="18"/>
          <w:szCs w:val="18"/>
          <w:color w:val="auto"/>
        </w:rPr>
        <w:t>EXHIBIT 10.10</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REIMBURSEMENT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REIMBURSEMENT AGREEMENT, dated as of December 22, 2003 (as amended, supplemented and otherwise modified from time to time, the "Agreement"), is entered into among WASTE MANAGEMENT, INC., a Delaware corporation ("Waste Management"), WASTE MANAGEMENT HOLDINGS, INC., a Delaware corporation and wholly-owned subsidiary of Waste Management ("Holdings") (executing this Agreement for the limited purposes set forth in Article VIII hereof), OAKMONT ASSET TRUST, a Delaware statutory trust (the "Trust"), and THE BANK OF NEW YORK (DELAWARE), as owner trustee (the "Owner Trustee") of the Trust.</w:t>
      </w: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PRELIMINARY STATEMENTS: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Waste Management has heretofore and may from time to time hereafter request Fleet National Bank (the "Fleet"), to issue from time to time certain letters of credit ("Fleet Letters of Credit") for or on behalf of Waste Management and its subsidiaries and other affiliates.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as a condition to Fleet issuing the Fleet Letters of Credit, Fleet requires that Waste Management deliver an irrevocable master letter of credit identifying Fleet as beneficiary thereunder and covering all unreimbursed amounts drawn under the Fleet Letters of Credit designated as Designated Letters of Credit (as defined below).</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Waste Management has requested the Trust to issue such irrevocable master letter of credit, in substantially the form of Exhibit A attached hereto (such letter of credit being the "Master Letter of Credit"), in the amount of $352,000,000.</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in order to induce the Trust to issue the Master Letter of Credit, the parties hereto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1.01. Certain Defined Terms. The following terms used in this Agreement shall have the following meanings, applicable both to the singular and the plural forms of the terms defined:</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"Administration Agreement" shall mean the Administrative Services Agreement dated as of the date hereof executed and delivered by the Trust and the Administrator, as the same may be amended, supplemented and otherwise modified from time to time.</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"Administrator" shall mean AMACAR Northwest, Inc., a Delaware corporation.</w:t>
      </w:r>
    </w:p>
    <w:p>
      <w:pPr>
        <w:sectPr>
          <w:pgSz w:w="11900" w:h="16838" w:orient="portrait"/>
          <w:cols w:equalWidth="0" w:num="1">
            <w:col w:w="10219"/>
          </w:cols>
          <w:pgMar w:left="240" w:top="541" w:right="1440" w:bottom="1440" w:gutter="0" w:footer="0" w:header="0"/>
        </w:sectPr>
      </w:pPr>
    </w:p>
    <w:bookmarkStart w:id="121" w:name="page122"/>
    <w:bookmarkEnd w:id="121"/>
    <w:p>
      <w:pPr>
        <w:ind w:right="2519" w:firstLine="1053"/>
        <w:spacing w:after="0" w:line="235" w:lineRule="auto"/>
        <w:rPr>
          <w:sz w:val="20"/>
          <w:szCs w:val="20"/>
          <w:color w:val="auto"/>
        </w:rPr>
      </w:pPr>
      <w:r>
        <w:rPr>
          <w:rFonts w:ascii="Courier New" w:cs="Courier New" w:eastAsia="Courier New" w:hAnsi="Courier New"/>
          <w:sz w:val="18"/>
          <w:szCs w:val="18"/>
          <w:color w:val="auto"/>
        </w:rPr>
        <w:t>"Agreement" shall have the meaning ascribed to such term in the preamble hereof.</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"Allocated Amount" shall mean, with respect to a Designated Letter of Credit, the amount indicated as such on the Schedule to the Designation Certificate with respect to such Designated Letter of Credit, as such amount may be reduced from time to time in accordance with the provisions of the Master Letter of Credit. The maximum aggregate amount available to be drawn with respect to a Designated Letter of Credit shall be the Allocated Amount of such Designated Letter of Credit.</w:t>
      </w:r>
    </w:p>
    <w:p>
      <w:pPr>
        <w:spacing w:after="0" w:line="21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"Applicable Interest Rate" shall mean a per annum rate equal to LIBOR minus 0.10%.</w:t>
      </w:r>
    </w:p>
    <w:p>
      <w:pPr>
        <w:spacing w:after="0" w:line="208"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ind w:right="1779" w:firstLine="8"/>
        <w:spacing w:after="0" w:line="270" w:lineRule="auto"/>
        <w:tabs>
          <w:tab w:leader="none" w:pos="52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Waste Management or Holdings, then the interest rate of the securities issued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38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"Bankruptcy Code" shall mean Title 11 of the United States Code (11 U.S.C. Sections 101 et seq.), as amended from time to time, and any successor statute.</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"Board of Directors" shall mean either the board of directors of Waste Management or any duly authorized committee of that board.</w:t>
      </w:r>
    </w:p>
    <w:p>
      <w:pPr>
        <w:spacing w:after="0" w:line="208"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"Business Day" shall mean a day which is not a Saturday or Sunday or a legal holiday and on which banks or trust companies are not required or authorized by law or other governmental action to close in New York, New York.</w:t>
      </w:r>
    </w:p>
    <w:p>
      <w:pPr>
        <w:spacing w:after="0" w:line="17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"Cash Collateral Account" shall have the meaning ascribed to such term in the Master Letter of Credit.</w:t>
      </w:r>
    </w:p>
    <w:p>
      <w:pPr>
        <w:spacing w:after="0" w:line="208" w:lineRule="exact"/>
        <w:rPr>
          <w:sz w:val="20"/>
          <w:szCs w:val="20"/>
          <w:color w:val="auto"/>
        </w:rPr>
      </w:pPr>
    </w:p>
    <w:p>
      <w:pPr>
        <w:ind w:right="2319" w:firstLine="948"/>
        <w:spacing w:after="0" w:line="279" w:lineRule="auto"/>
        <w:rPr>
          <w:sz w:val="20"/>
          <w:szCs w:val="20"/>
          <w:color w:val="auto"/>
        </w:rPr>
      </w:pPr>
      <w:r>
        <w:rPr>
          <w:rFonts w:ascii="Courier New" w:cs="Courier New" w:eastAsia="Courier New" w:hAnsi="Courier New"/>
          <w:sz w:val="16"/>
          <w:szCs w:val="16"/>
          <w:color w:val="auto"/>
        </w:rPr>
        <w:t>"Certificateholder" means the person in whose name the certificate representing the entire beneficial ownership of the Trust is registered; provided that the sole initial Certificateholder shall be AMACAR GP, Inc.</w:t>
      </w:r>
    </w:p>
    <w:p>
      <w:pPr>
        <w:spacing w:after="0" w:line="17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"Closing Date" shall mean the date on which the conditions precedent set forth in Sections 3.01 and 3.02 hereof have been satisfied.</w:t>
      </w:r>
    </w:p>
    <w:p>
      <w:pPr>
        <w:spacing w:after="0" w:line="208"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assets of Waste Management after deducting therefrom: (i) all the current liabilities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22" w:name="page123"/>
    <w:bookmarkEnd w:id="122"/>
    <w:p>
      <w:pPr>
        <w:ind w:right="1779"/>
        <w:spacing w:after="0" w:line="237" w:lineRule="auto"/>
        <w:rPr>
          <w:sz w:val="20"/>
          <w:szCs w:val="20"/>
          <w:color w:val="auto"/>
        </w:rPr>
      </w:pPr>
      <w:r>
        <w:rPr>
          <w:rFonts w:ascii="Courier New" w:cs="Courier New" w:eastAsia="Courier New" w:hAnsi="Courier New"/>
          <w:sz w:val="18"/>
          <w:szCs w:val="18"/>
          <w:color w:val="auto"/>
        </w:rPr>
        <w:t>(excluding (a) any current liabilities that by their terms are extendible or renewable at the option of the obligor thereon to a time more than twelve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Waste Management and its consolidated Subsidiaries for Waste Management's most recently completed fiscal quarter, prepared in accordance with GAAP.</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"Designated Letters of Credit" shall mean those Fleet Letters of Credit identified as a "Designated Letter of Credit" in a properly presented Designation Certificate under the Master Letter of Credit and as otherwise provided for in the Master Letter of Credit.</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"Designation Certificate" shall mean a notice, substantially in the form of Annex C to the Master Letter of Credit, executed and delivered by the Administrator (on behalf of the Trust), Waste Management and Fleet identifying those Fleet Letters of Credit that are Designated Letters of Credit.</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"Disclosure Documents" shall mean filings that have been made prior to the date hereof by Waste Management with the Securities and Exchange Commission pursuant to Section 13(a) or 15(d) of the Securities Exchange Act of 1934, as amended.</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"Drawing Certificate" shall mean a certificate, substantially in the form of Annex A-1 or A-2 to the Master Letter of Credit.</w:t>
      </w:r>
    </w:p>
    <w:p>
      <w:pPr>
        <w:spacing w:after="0" w:line="20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"Drawn Principal Amount" shall mean the aggregate amount of the Reimbursable Payments.</w:t>
      </w:r>
    </w:p>
    <w:p>
      <w:pPr>
        <w:spacing w:after="0" w:line="20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"Event of Default" shall have the meaning ascribed to such term in Section 6.01 hereof.</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"Expense Payment Account" shall have the meaning ascribed to such term in the Indenture.</w:t>
      </w:r>
    </w:p>
    <w:p>
      <w:pPr>
        <w:spacing w:after="0" w:line="20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"Final Drawing Certificate" shall have the meaning ascribed to such term in the Master Letter of Credit.</w:t>
      </w:r>
    </w:p>
    <w:p>
      <w:pPr>
        <w:spacing w:after="0" w:line="208"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"Fixed Rate Notes" shall mean the Fixed Rate Notes due December 22, 2008 in the Principal Amount issued by the Trust pursuant to the Indenture.</w:t>
      </w:r>
    </w:p>
    <w:p>
      <w:pPr>
        <w:spacing w:after="0" w:line="17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"Fixed Rate Payment Date" shall have the meaning ascribed to such term in the Indenture.</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"Fleet" shall have the meaning ascribed to such term in the Preliminary Statements.</w:t>
      </w:r>
    </w:p>
    <w:p>
      <w:pPr>
        <w:spacing w:after="0" w:line="208"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"Fleet Collateral" shall mean the Fleet Note, the Cash Collateral Account (as defined in the Fleet Security Agreement), including all sums credited to the Cash Collateral Account and all proceeds of the Fleet Note (other than the actual cash payments paid by Fleet to the Trust that are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23" w:name="page124"/>
    <w:bookmarkEnd w:id="123"/>
    <w:p>
      <w:pPr>
        <w:ind w:right="1999"/>
        <w:spacing w:after="0" w:line="235" w:lineRule="auto"/>
        <w:rPr>
          <w:sz w:val="20"/>
          <w:szCs w:val="20"/>
          <w:color w:val="auto"/>
        </w:rPr>
      </w:pPr>
      <w:r>
        <w:rPr>
          <w:rFonts w:ascii="Courier New" w:cs="Courier New" w:eastAsia="Courier New" w:hAnsi="Courier New"/>
          <w:sz w:val="18"/>
          <w:szCs w:val="18"/>
          <w:color w:val="auto"/>
        </w:rPr>
        <w:t>deposited into a Segregated Account) or the Cash Collateral Account or any and all sums from time to time credited to the Cash Collateral Account.</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"Fleet Letters of Credit" shall mean letters of credit, denominated in United States dollars and issued directly or indirectly for the account of Waste Management or any of its subsidiaries or affiliates by Fleet.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"Fleet Lien" shall mean the first priority Lien of Fleet in the Fleet Collateral securing the Fleet Obligations.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"Fleet Note" means a five-year term note issued by Fleet to the Trust in an amount initially equal to the amount of the proceeds from the sale of the Fixed Rate Notes, and due on December 21, 2008, or if such day is not a Business Day on the immediately preceding Business Day.</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"Fleet Obligations" shall mean the "obligations" as defined in the Fleet Security Agreement.</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"Fleet Security Agreement" shall mean the Security Agreement dated as of December 22, 2003 between the Trust and Fleet pursuant to which the Trust grants to Fleet a first priority Lien in the Fleet Collateral.</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"GAAP" shall mean generally accepted accounting principles set forth in the opinions and pronouncements of the Accounting Principles Board and the American Institute of Certified Public Accountants Standards Board or in such other statements by such other entity as may be in general use by significant segments of the accounting profession as in effect on the date of the most recent audited financial statements of Waste Management.</w:t>
      </w:r>
    </w:p>
    <w:p>
      <w:pPr>
        <w:spacing w:after="0" w:line="210"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"Governmental Authority" shall mean any nation or government, any federal, state, local or other political subdivision thereof and any entity exercising executive, legislative, judicial, regulatory or administrative functions of or pertaining to government.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"Guaranteed Obligations" shall have the meaning ascribed to such term in Section 8.01 hereof.</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payment or other financial obligation or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payment or other financial obligation or other liability or the amount of such dividends or other distributions guaranteed.</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"Holdings" shall have the meaning ascribed to such term in the preamble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124" w:name="page125"/>
    <w:bookmarkEnd w:id="124"/>
    <w:p>
      <w:pPr>
        <w:ind w:right="2199" w:firstLine="948"/>
        <w:spacing w:after="0" w:line="235" w:lineRule="auto"/>
        <w:rPr>
          <w:sz w:val="20"/>
          <w:szCs w:val="20"/>
          <w:color w:val="auto"/>
        </w:rPr>
      </w:pPr>
      <w:r>
        <w:rPr>
          <w:rFonts w:ascii="Courier New" w:cs="Courier New" w:eastAsia="Courier New" w:hAnsi="Courier New"/>
          <w:sz w:val="18"/>
          <w:szCs w:val="18"/>
          <w:color w:val="auto"/>
        </w:rPr>
        <w:t>"Holdings Guaranty" shall have the meaning ascribed to such term in Section 8.01 hereof.</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"Improperly Extended Letter of Credit" shall mean any letter of credit which either (i) has an expiration date that has been extended by Fleet subsequent to the fifth Business Day after the receipt by Fleet of a Notice of No Further Designation if Fleet had the contractual right not to extend such expiration date or (ii) is a so-called evergreen letter of credit and Fleet did not exercise any right it had to terminate, cancel or otherwise not renew such letter of credit subsequent to the fifth Business Day after the receipt of a Notice of No Further Designation, to the extent that Fleet had the contractual ability to do so.</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"Indebtedness" shall mean, with respect to any Person:</w:t>
      </w:r>
    </w:p>
    <w:p>
      <w:pPr>
        <w:spacing w:after="0" w:line="207" w:lineRule="exact"/>
        <w:rPr>
          <w:sz w:val="20"/>
          <w:szCs w:val="20"/>
          <w:color w:val="auto"/>
        </w:rPr>
      </w:pPr>
    </w:p>
    <w:p>
      <w:pPr>
        <w:ind w:left="960" w:right="1879" w:firstLine="944"/>
        <w:spacing w:after="0" w:line="237" w:lineRule="auto"/>
        <w:tabs>
          <w:tab w:leader="none" w:pos="232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11"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GAAP,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960" w:right="1999" w:firstLine="944"/>
        <w:spacing w:after="0" w:line="271" w:lineRule="auto"/>
        <w:tabs>
          <w:tab w:leader="none" w:pos="232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so included as liabilities in accordance with GAAP, (i) 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 (ii) all Guaranties of such Person.</w:t>
      </w:r>
    </w:p>
    <w:p>
      <w:pPr>
        <w:spacing w:after="0" w:line="188"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"Indenture" shall mean the Trust Indenture dated as of December 22, 2003 among the Trust and the Indenture Trustee.</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"Indenture Trustee" shall mean The Bank of New York, as trustee, under the Indenture.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"Interest Payment Obligation" shall have the meaning ascribed to such term in Section 2.04 hereof.</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"Interest Period" shall mean the period commencing with the immediately preceding Reimbursement Payment Date (or the Closing Date for the first Interest Period) to (but not including) the immediately succeeding Reimbursement Payment Date.</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"Letter of Credit Fee" shall have the meaning ascribed to such term in Section 2.05 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25" w:name="page126"/>
    <w:bookmarkEnd w:id="125"/>
    <w:p>
      <w:pPr>
        <w:ind w:right="1779" w:firstLine="948"/>
        <w:spacing w:after="0" w:line="238" w:lineRule="auto"/>
        <w:rPr>
          <w:sz w:val="20"/>
          <w:szCs w:val="20"/>
          <w:color w:val="auto"/>
        </w:rPr>
      </w:pPr>
      <w:r>
        <w:rPr>
          <w:rFonts w:ascii="Courier New" w:cs="Courier New" w:eastAsia="Courier New" w:hAnsi="Courier New"/>
          <w:sz w:val="18"/>
          <w:szCs w:val="18"/>
          <w:color w:val="auto"/>
        </w:rPr>
        <w:t>"LIBOR" shall mean, as of the relevant LIBOR Determination Date, the annual rate for a three month period for deposits in United States dollars which appears on Telerate Page 3750 as of 11:00 a.m., London time, on such date. If such rate does not appear on Telerate Page 3750, the rate for that LIBOR Determination Date will be an annualized rate determined on the basis of the rates at which deposits in United States dollars are offered by the Reference Banks at approximately 11:00 a.m., London time, on that day to prime banks in the London inter-bank market for a three month period. The LIBOR Calculation Agent will request the principal London office of each of the Reference Banks to provide a quotation of its rate. If at least two such quotations are provided, the rate for the LIBOR Determination Date will be an annualized rate equal to the arithmetic mean of the quotations. If fewer than two quotations are provided as requested, the rate for that LIBOR Determination Date will be the arithmetic mean of the rates quoted by three major banks in New York City, selected by the LIBOR Calculation Agent, at approximately 11:00 a.m., New York City time, on that day for loans in United States dollars to leading European banks for a three month period.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"LIBOR Calculation Agent" shall mean the Indenture Trustee.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"LIBOR Determination Date" shall mean the second London Banking Day immediately preceding the beginning of each Interest Period.</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"Lien" shall mean, with respect to any Person, any interest granted by such Person in any real or personal property, asset or other right owned or being purchased or acquired by such Person which secures payment or performance of any obligation and shall include any mortgage, lien, encumbrance, charge or other security interest of any kind, whether arising by contract, as a matter of law, by judicial process or otherwise.</w:t>
      </w:r>
    </w:p>
    <w:p>
      <w:pPr>
        <w:spacing w:after="0" w:line="21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"LOC Fee Accrual Period" shall mean the period commencing with the immediately preceding LOC Fee Payment Date (or the Closing Date for the first LOC Fee Accrual Period) to (but not including) the immediately succeeding LOC Fee Payment Date.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"LOC Fee Payment Date" shall mean the 21st day of each June and December of each year commencing on June 21, 2004. If any LOC Fee Payment Date is not a Business Day then that date will nevertheless by a LOC Fee Payment Date but the payment of the Letter of Credit Fee will be made on the immediately preceding Business Day.</w:t>
      </w: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"London Banking Day" shall mean any business day on which dealings in deposits in United States dollars are transacted in the London interbank market.</w:t>
      </w:r>
    </w:p>
    <w:p>
      <w:pPr>
        <w:spacing w:after="0" w:line="170"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"Majority" means holders holding the Fixed Rate Notes the aggregate principal amount of which is more than 50% of the principal amount of all Fixed Rate Notes.</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"Master Letter of Credit" shall have the meaning ascribed to such term in the Preliminary Statements.</w:t>
      </w:r>
    </w:p>
    <w:p>
      <w:pPr>
        <w:spacing w:after="0" w:line="208" w:lineRule="exact"/>
        <w:rPr>
          <w:sz w:val="20"/>
          <w:szCs w:val="20"/>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"Material Subsidiary" shall mean a Subsidiary of Waste Management having assets, revenues or liabilities of $50,000,000 or more.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126" w:name="page127"/>
    <w:bookmarkEnd w:id="126"/>
    <w:p>
      <w:pPr>
        <w:ind w:right="1999" w:firstLine="948"/>
        <w:spacing w:after="0" w:line="235" w:lineRule="auto"/>
        <w:rPr>
          <w:sz w:val="20"/>
          <w:szCs w:val="20"/>
          <w:color w:val="auto"/>
        </w:rPr>
      </w:pPr>
      <w:r>
        <w:rPr>
          <w:rFonts w:ascii="Courier New" w:cs="Courier New" w:eastAsia="Courier New" w:hAnsi="Courier New"/>
          <w:sz w:val="18"/>
          <w:szCs w:val="18"/>
          <w:color w:val="auto"/>
        </w:rPr>
        <w:t>"Maturity Date" shall mean December 21, 2008 or, if such day is not a Business Day, the immediately preceding Business Day..</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"Note Interest Payment Account" shall mean the deposit account in the name of the Indenture Trustee at The Bank of New York, ABA #021-000-018, GLA-111-565, For further credit to: TAS #718550, Ref: Oakmont Asset Trust (Note Interest Payment Account), Attention: Jon Farber.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"Note Principal Payment Account" shall mean the deposit account in the name of the Indenture Trustee at The Bank of New York, ABA #021-000-018, GLA-111-565, For further credit to: TAS #718552, Ref: Oakmont Asset Trust (Note Principal Payment Account), Attention: Jon Farber.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"Notice of No Further Designation" shall mean a notice, substantially in the form of Annex E to the Master Letter of Credit, sent by the Administrator (on behalf of the Trust) to Fleet advising Fleet that the Trust has terminated Waste Management's right to designate additional Designated Letters of Credit. No additional Designated Letters of Credit will be covered by the Master Letter of Credit.</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"Obligations" shall mean all obligations, liabilities, debts, Reimbursement Obligations, Interest Payment Obligation owing by Waste Management to the Trust of any kind or nature, present or future, whether or not evidenced by any note, guaranty or other instrument, arising under this Agreement. This term includes, without limitation, all interest, charges, expenses, fees, attorney fees and disbursements, indemnities, obligations to cash collateralize and any other sum chargeable to Waste Management under this Agreement.</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"Officers' Certificate" shall mean a certificate signed by any Executive or Senior Vice President and by the Treasurer, an Assistant Treasurer, the Secretary or an Assistant Secretary, of Waste Management and delivered to the Owner Trustee.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"Owner Trustee" shall have the meaning ascribed to such term in the preamble hereof.</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"Person" shall mean any natural person, corporation, limited partnership, general partnership, joint stock company, joint venture, association, company, trust, bank, trust company, land trust, business trust, limited liability company or other organization, whether or not a legal entity, and any Governmental Authority.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"Principal Amount" shall mean $350,000,000.</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"Principal Property" shall mean any waste processing, waste disposal or resource recovery plant or similar facility located within the United States (other than its territories and possessions and Puerto Rico) or Canada and owned by, or leased to, Waste Management or any Restricted Subsidiary, except (a) any such plant or facility (i) owned or leased jointly or in common with one or more persons other than Waste Management and its Restricted Subsidiaries in which the interest of Waste Management and its Restricted Subsidiaries does not exceed 50%, or (ii) which the Board of Directors determines in good faith is not of material importance to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27" w:name="page128"/>
    <w:bookmarkEnd w:id="127"/>
    <w:p>
      <w:pPr>
        <w:ind w:right="1779"/>
        <w:spacing w:after="0" w:line="237" w:lineRule="auto"/>
        <w:rPr>
          <w:sz w:val="20"/>
          <w:szCs w:val="20"/>
          <w:color w:val="auto"/>
        </w:rPr>
      </w:pPr>
      <w:r>
        <w:rPr>
          <w:rFonts w:ascii="Courier New" w:cs="Courier New" w:eastAsia="Courier New" w:hAnsi="Courier New"/>
          <w:sz w:val="18"/>
          <w:szCs w:val="18"/>
          <w:color w:val="auto"/>
        </w:rPr>
        <w:t>total business conducted, or assets owned, by Waste Management and its Subsidiaries as an entirety, or (b) any portion of such plant or facility which the Board of Directors determines in good faith not to be of material importance to the use or operation thereof.</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"Rating Agency Condition" shall have the meaning ascribed to such term in the Indenture.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"Reference Banks" shall mean four major banks in the London interbank market selected by the LIBOR Calculation Agent.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"Reimbursable Payment" shall mean each setoff and reduction made by Fleet with respect to the principal amount owing under the Fleet Note including the amount of set-off and reduction made by Fleet with respect to the presentation of the Final Drawing Certificate.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"Reimbursement Payment Date" shall mean the 21st day of each March, June, September and December of each year or, if such day is not a Business Day, on the immediately preceding Business Day, commencing on March 21, 2004.</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"Reimbursement Obligations" shall mean the aggregate non-contingent reimbursement or repayment obligations of Waste Management with respect to the Reimbursable Payments.</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"Related Documents" shall have the meaning ascribed to such term in Section 2.07 hereof.</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"Removal Certificate" shall mean a Certificate, substantially in the form of Annex G to the Master Letter of Credit, executed and delivered by the Administrator (on behalf of the Trust), Fleet and Waste Management, identifying those Designated Letters of Credit that should no longer be entitled to the benefits of the Master Letter of Credit.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"Restricted Subsidiary" shall mean any Subsidiary (other than a Subsidiary of which Waste Management owns directly or indirectly less than all of the outstanding Voting Stock) (a) principally engaged in, or whose principal assets consist of property used by Waste Management or any Restricted Subsidiary in, the storage, collection, transfer, interim processing or disposal of waste within the United States of America or Canada, or (b) which Waste Management shall designate as a Restricted Subsidiary in an Officers' Certificate delivered to the Owner Trustee.</w:t>
      </w:r>
    </w:p>
    <w:p>
      <w:pPr>
        <w:spacing w:after="0" w:line="212"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"Sale and Leaseback" shall have the meaning ascribed to such term in Section 5.03 hereof.</w:t>
      </w:r>
    </w:p>
    <w:p>
      <w:pPr>
        <w:spacing w:after="0" w:line="208"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8" w:name="page129"/>
    <w:bookmarkEnd w:id="128"/>
    <w:p>
      <w:pPr>
        <w:ind w:right="2319"/>
        <w:spacing w:after="0" w:line="236" w:lineRule="auto"/>
        <w:rPr>
          <w:sz w:val="20"/>
          <w:szCs w:val="20"/>
          <w:color w:val="auto"/>
        </w:rPr>
      </w:pPr>
      <w:r>
        <w:rPr>
          <w:rFonts w:ascii="Courier New" w:cs="Courier New" w:eastAsia="Courier New" w:hAnsi="Courier New"/>
          <w:sz w:val="18"/>
          <w:szCs w:val="18"/>
          <w:color w:val="auto"/>
        </w:rPr>
        <w:t>encumbrance, charge or other security interest of any kind, whether arising under a Security Instrument or as a matter of law, judicial process or otherwise.</w:t>
      </w:r>
    </w:p>
    <w:p>
      <w:pPr>
        <w:spacing w:after="0" w:line="209"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"Senior Debt Indenture" shall mean the Indenture dated as of September 10, 1997 between Waste Management and JP Morgan Chase Bank, as trustee.</w:t>
      </w:r>
    </w:p>
    <w:p>
      <w:pPr>
        <w:spacing w:after="0" w:line="17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"Stated Termination Date" shall have the meaning ascribed to such term in the Master Letter of Credit.</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"Subsidiary" shall mean a corporation or other business entity, more than 50% of the outstanding equity or voting interests of which is owned, directly or indirectly, by Waste Management or by one or more other Subsidiaries, or by Waste Management and one or more other Subsidiaries.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"Swap Agreement" shall mean the obligation of the Swap Counterparties to provide for the payment of a fixed interest rate against receipt from the Trust, unconditionally guaranteed by the Swap Guarantor, of a floating interest rate on a specified notional principal amount, documented pursuant to an ISDA Master Agreement (1992 Multicurrency-Cross Border version) in the form published by the International Swaps and Derivatives Association, Inc. and the schedule attached thereto and any confirmation relating thereto.</w:t>
      </w:r>
    </w:p>
    <w:p>
      <w:pPr>
        <w:spacing w:after="0" w:line="211"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"Swap Counterparties" shall mean (1) ABN AMRO Bank N.V., (2) The Bank of Nova Scotia, (3) Deutsche Bank AG, New York Branch, (4) Fleet National Bank,</w:t>
      </w:r>
    </w:p>
    <w:p>
      <w:pPr>
        <w:ind w:right="2839" w:firstLine="8"/>
        <w:spacing w:after="0" w:line="235"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Lehman Brothers Special Financing Inc., and (6) PNC Bank, National Association.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"Swap Guarantor" shall mean Waste Management and Holdings.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"Swap Payment Account" shall mean the deposit account in the name of the Indenture Trustee at The Bank of New York, ABA #021-000-018, GLA-111-565, For further credit to: TAS #718553, Ref: Oakmont Asset Trust (Swap Payment Agreement), Attention: Jon Farber.</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"Tax Matters Partner" shall mean AMACAR Northwest, Inc.</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"Telerate Page 3750" shall mean the display page currently so designated on the Dow Jones Market Service or any successor service (or such other page as may replace that page on that service or any successor service for the purpose of displaying comparable rates or prices).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"Termination Certificate" shall mean a Certificate, substantially in the form of Annex F to the Master Letter of Credit, executed and delivered by the Administrator (on behalf of the Trust), Fleet and Waste Management, identifying those Designated Letters of Credit that as of the date which shall be no earlier than the thirtieth day, nor later than the fifth Business Day, immediately preceding the Stated Termination Date (as defined in the Master Letter of Credit) will no longer be designated as a "Designated Letter of Credit" under the Master Letter of Credit.</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"Transaction Documents" shall mean this Agreement, the Swap Agreements, the Indenture, the Master Letter of Credit, the Fleet Note, the Fleet Security Agreement, the Administration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9" w:name="page130"/>
    <w:bookmarkEnd w:id="129"/>
    <w:p>
      <w:pPr>
        <w:ind w:right="2199"/>
        <w:spacing w:after="0" w:line="235" w:lineRule="auto"/>
        <w:rPr>
          <w:sz w:val="20"/>
          <w:szCs w:val="20"/>
          <w:color w:val="auto"/>
        </w:rPr>
      </w:pPr>
      <w:r>
        <w:rPr>
          <w:rFonts w:ascii="Courier New" w:cs="Courier New" w:eastAsia="Courier New" w:hAnsi="Courier New"/>
          <w:sz w:val="18"/>
          <w:szCs w:val="18"/>
          <w:color w:val="auto"/>
        </w:rPr>
        <w:t>Agreement, the Trust Agreement and all documents, instruments and agreements delivered in connection therewith.</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"Trust" shall have the meaning ascribed to such term in the preamble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"Trust Agreement" means the Amended and Restated Trust Agreement of the Trust, dated December 22, 2003, between Waste Management, as Depositor, and the Owner Trustee.</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"Undrawn Principal Amount" shall mean the Principal Amount minus the Drawn Principal Amount.</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"Voting Stock" shall mean stock which ordinarily has voting power for the election of directors, whether at all times or only so long as no senior class of stock has such voting power by reason of any contingency.</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"Waste Management" shall have the meaning ascribed to such term in the preamble hereof.</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1.02. Computation of Time Periods. In this Agreement, in the computation of periods of time from a specified date to a later specified date, the word "from" means "from and including" and the words "to" and "until" each mean "to but excluding". Periods of days referred to in this Agreement shall be counted in calendar days unless Business Days are expressly prescribed. Any period determined hereunder by reference to a month or months or year or years shall end on the day in the relevant calendar month in the relevant year, if applicable, immediately preceding the date numerically corresponding to the first day of such period, provided that if such period commences on the last day of a calendar month (or on a day for which there is no numerically corresponding day in the calendar month during which such period is to end), such period shall, unless otherwise expressly required by the other provisions of this Agreement, end on the last day of the calendar month.</w:t>
      </w:r>
    </w:p>
    <w:p>
      <w:pPr>
        <w:spacing w:after="0" w:line="38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SECTION 1.03. Accounting Terms. For purposes of this Agreement, all accounting terms not otherwise defined herein shall have the meanings assigned to them in conformity with GAAP.</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1.04. Other Definitional Provisions. References to the "preamble", "Articles", "Sections", "subsections", "Schedules" and "Exhibits" shall be to the preamble, Articles, Sections, subsections, Schedules and Exhibits, respectively, of this Agreement unless otherwise specifically provided. The words "hereof", "herein", and "hereunder" and words of similar import when used in this Agreement shall refer to this Agreement as a whole and not to any particular provision of this Agreement.</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AMOUNT AND TERMS OF LETTER OF CREDIT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0" w:name="page131"/>
    <w:bookmarkEnd w:id="130"/>
    <w:p>
      <w:pPr>
        <w:ind w:right="1779" w:firstLine="948"/>
        <w:spacing w:after="0" w:line="237" w:lineRule="auto"/>
        <w:rPr>
          <w:sz w:val="20"/>
          <w:szCs w:val="20"/>
          <w:color w:val="auto"/>
        </w:rPr>
      </w:pPr>
      <w:r>
        <w:rPr>
          <w:rFonts w:ascii="Courier New" w:cs="Courier New" w:eastAsia="Courier New" w:hAnsi="Courier New"/>
          <w:sz w:val="18"/>
          <w:szCs w:val="18"/>
          <w:color w:val="auto"/>
        </w:rPr>
        <w:t>SECTION 2.01. The Master Letter of Credit. The Trust agrees, on the terms and conditions hereinafter set forth, to issue the Master Letter of Credit to Fleet on the Closing Date in the amount of up to $352,000,000. Under the Master Letter of Credit, the Trust will pay to Fleet the amount of each unreimbursed draw under a Designated Letter of Credit in accordance with the Master Letter of Credit.</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2.02. Designating/Removing Fleet Letters of Credit.</w:t>
      </w:r>
    </w:p>
    <w:p>
      <w:pPr>
        <w:spacing w:after="0" w:line="207" w:lineRule="exact"/>
        <w:rPr>
          <w:sz w:val="20"/>
          <w:szCs w:val="20"/>
          <w:color w:val="auto"/>
        </w:rPr>
      </w:pPr>
    </w:p>
    <w:p>
      <w:pPr>
        <w:ind w:right="1779" w:firstLine="956"/>
        <w:spacing w:after="0" w:line="237"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Fleet Letters of Credit may be designated as Designated Letters of Credit by delivery to Fleet of a Designation Certificate executed and delivered by the Administrator on behalf of the Trust, Waste Management and Fleet. Such notice shall specify for each Fleet Letter of Credit to be designated a Designated Letter of Credit the Allocated Amount with respect thereto. No Fleet Letter of Credit shall be designated a Designated Letter of Credit and entitled to the benefits of the Master Letter of Credit until the Designation Certificate has been executed by all parties thereto and delivered to Fleet.</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Letters of Credit may be removed from the coverage of the Master Letter of Credit by delivery to the Trust of a Removal Certificate or Termination Certificate executed by Fleet, Waste Management and the Administrator on behalf of the Trust. After a Removal Certificate or Termination Certificate has been delivered to the Trust, those Designated Letters of Credit identified in such Removal Certificate or the Termination Certificate, as the case may be, shall no longer be entitled to the benefits of the Master Letter of Credit.</w:t>
      </w:r>
    </w:p>
    <w:p>
      <w:pPr>
        <w:spacing w:after="0" w:line="212" w:lineRule="exact"/>
        <w:rPr>
          <w:rFonts w:ascii="Courier New" w:cs="Courier New" w:eastAsia="Courier New" w:hAnsi="Courier New"/>
          <w:sz w:val="18"/>
          <w:szCs w:val="18"/>
          <w:color w:val="auto"/>
        </w:rPr>
      </w:pPr>
    </w:p>
    <w:p>
      <w:pPr>
        <w:ind w:right="1999" w:firstLine="956"/>
        <w:spacing w:after="0" w:line="236" w:lineRule="auto"/>
        <w:tabs>
          <w:tab w:leader="none" w:pos="189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Notice of No Further Designation has been delivered by the Trust to Fleet, no Improperly Extended Letter of Credit shall constitute a Designated Letter of Credit.</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2.03. Reimbursement of the Reimbursable Payments. On the Maturity Date, Waste Management shall pay to the Trust by depositing into the Note Principal Payment Account, for the ratable benefit of the holders of the Fixed Rate Notes, the aggregate principal amount of all Reimbursable Payments outstanding at such time.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2.04. Interest. Interest shall accrue on each Reimbursable Payment during the period commencing on the date Fleet is deemed to have made a setoff or reduction with respect to the principal amount owing under the Fleet Note as set forth in the Master Letter of Credit and the Fleet Security Agreement to the date such Reimbursable Payment is paid in full under Section</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2.03 at the Applicable Interest Rate. On each Reimbursement Payment Date, Waste Management shall pay to the Indenture Trustee, for the ratable benefit of the holders of the Fixed Rate Notes, interest at the Applicable Interest Rate on each Reimbursable Payment outstanding or deemed to be outstanding as set forth in the Master Letter of Credit and the Fleet Security Agreement during the immediately preceding Interest Period (calculated based on the actual number of days occurring in the Interest Period divided by 360). In the event that Fleet draws under the Master Letter of Credit by presenting a Drawing Certificate in the form of Annex A-2 during any Interest Period, Waste Management agrees to pay to the Indenture Trustee, for the ratable benefit of the holders of the Fixed Rate Notes, on the Reimbursement Payment Date the amount of such draw (all amounts payable by Waste Management under this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131" w:name="page132"/>
    <w:bookmarkEnd w:id="131"/>
    <w:p>
      <w:pPr>
        <w:ind w:right="1879"/>
        <w:spacing w:after="0" w:line="236" w:lineRule="auto"/>
        <w:rPr>
          <w:sz w:val="20"/>
          <w:szCs w:val="20"/>
          <w:color w:val="auto"/>
        </w:rPr>
      </w:pPr>
      <w:r>
        <w:rPr>
          <w:rFonts w:ascii="Courier New" w:cs="Courier New" w:eastAsia="Courier New" w:hAnsi="Courier New"/>
          <w:sz w:val="18"/>
          <w:szCs w:val="18"/>
          <w:color w:val="auto"/>
        </w:rPr>
        <w:t>Section 2.04 collectively referred to as the "Interest Payment Obligation"). Waste Management is hereby directed to deposit such Interest Payment Obligation paid by Waste Management into the Swap Payment Account.</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2.05. Letter of Credit Fee. Waste Management shall pay to the Indenture Trustee for the benefit of the holders of the Fixed Rate Notes a letter of credit fee (the "Letter of Credit Fee") on the Principal Amount from the Closing Date until the Maturity Date in an amount equal to the Fixed Rate Principal Amount times the rate of 1.13011428571429% per annum (calculated based on 30 days divided by 360) over the LOC Fee Accrual Period, payable semi-annually in arrears on each LOC Fee Payment Date. If the LOC Fee Payment Date is not a Business Day, the Letter of Credit Fee will be paid on the immediately preceding Business Day; however, the LOC Fee Accrual Period will not be adjusted. In addition, Waste Management shall pay, only on the first LOC Fee Payment Date, an additional fee in an amount equal to $43,886.12. Waste Management is hereby directed to deposit such Letter of Credit Fees and additional fee paid by Waste Management under this Section 2.05 into the Notes Interest Payment Account.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2.06. Payments and Computations. Waste Management and Holdings shall make each payment hereunder not later than by 12:30 p.m. (New York City time) on the day when due in lawful money of the United States of America in immediately available funds to the Indenture Trustee at its office in New York, New York unless otherwise indicated herein..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2.07. Obligations Absolute. The obligations of Waste Management under this Agreement shall be unconditional and irrevocable, and shall be paid strictly in accordance with the terms of this Agreement under all circumstances, including, without limitation, the following circumstances:</w:t>
      </w:r>
    </w:p>
    <w:p>
      <w:pPr>
        <w:spacing w:after="0" w:line="207" w:lineRule="exact"/>
        <w:rPr>
          <w:sz w:val="20"/>
          <w:szCs w:val="20"/>
          <w:color w:val="auto"/>
        </w:rPr>
      </w:pPr>
    </w:p>
    <w:p>
      <w:pPr>
        <w:ind w:left="960" w:right="1879" w:firstLine="944"/>
        <w:spacing w:after="0" w:line="236" w:lineRule="auto"/>
        <w:tabs>
          <w:tab w:leader="none" w:pos="232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this Agreement, the Master Letter of Credit and the Designated Letters of Credit (collectively the "Related Documents");</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time, manner or place of payment of, all or any of the obligations of Waste Management in respect of the Master Letter of Credit or any other amendment or waiver of or any consent to departure from all or any of the Related Documents, provided that any such change, amendment, waiver or consent is made in compliance with the Related Documents;</w:t>
      </w:r>
    </w:p>
    <w:p>
      <w:pPr>
        <w:spacing w:after="0" w:line="209" w:lineRule="exact"/>
        <w:rPr>
          <w:rFonts w:ascii="Courier New" w:cs="Courier New" w:eastAsia="Courier New" w:hAnsi="Courier New"/>
          <w:sz w:val="18"/>
          <w:szCs w:val="18"/>
          <w:color w:val="auto"/>
        </w:rPr>
      </w:pPr>
    </w:p>
    <w:p>
      <w:pPr>
        <w:ind w:left="960" w:right="1879" w:firstLine="944"/>
        <w:spacing w:after="0" w:line="237" w:lineRule="auto"/>
        <w:tabs>
          <w:tab w:leader="none" w:pos="2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set-off, defense or other right that Waste Management may have at any time against Fleet or any other beneficiary or any transferee of the Master Letter of Credit (or any persons or entities for whom Fleet, any such beneficiary or any such transferee may be acting), the Trust, the Swap Counterparties or any other Person, whether in connection with this Agreement, the transactions contemplated hereby or by the Related Documents or any unrelated transaction;</w:t>
      </w:r>
    </w:p>
    <w:p>
      <w:pPr>
        <w:spacing w:after="0" w:line="212" w:lineRule="exact"/>
        <w:rPr>
          <w:rFonts w:ascii="Courier New" w:cs="Courier New" w:eastAsia="Courier New" w:hAnsi="Courier New"/>
          <w:sz w:val="18"/>
          <w:szCs w:val="18"/>
          <w:color w:val="auto"/>
        </w:rPr>
      </w:pPr>
    </w:p>
    <w:p>
      <w:pPr>
        <w:ind w:left="960" w:right="1999" w:firstLine="944"/>
        <w:spacing w:after="0" w:line="236" w:lineRule="auto"/>
        <w:tabs>
          <w:tab w:leader="none" w:pos="243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or any other document presented under the Master Letter of Credit proving to be forged, fraudulent, invalid or insufficient in any respect or 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32" w:name="page133"/>
    <w:bookmarkEnd w:id="132"/>
    <w:p>
      <w:pPr>
        <w:ind w:left="960" w:right="1779"/>
        <w:spacing w:after="0" w:line="290" w:lineRule="auto"/>
        <w:rPr>
          <w:sz w:val="20"/>
          <w:szCs w:val="20"/>
          <w:color w:val="auto"/>
        </w:rPr>
      </w:pPr>
      <w:r>
        <w:rPr>
          <w:rFonts w:ascii="Courier New" w:cs="Courier New" w:eastAsia="Courier New" w:hAnsi="Courier New"/>
          <w:sz w:val="16"/>
          <w:szCs w:val="16"/>
          <w:color w:val="auto"/>
        </w:rPr>
        <w:t>statement therein being untrue or inaccurate in any respect (unless due to the gross negligence or willful misconduct of the Trust or Fleet);</w:t>
      </w:r>
    </w:p>
    <w:p>
      <w:pPr>
        <w:spacing w:after="0" w:line="170" w:lineRule="exact"/>
        <w:rPr>
          <w:sz w:val="20"/>
          <w:szCs w:val="20"/>
          <w:color w:val="auto"/>
        </w:rPr>
      </w:pPr>
    </w:p>
    <w:p>
      <w:pPr>
        <w:ind w:left="960" w:right="2099" w:firstLine="944"/>
        <w:spacing w:after="0" w:line="236" w:lineRule="auto"/>
        <w:tabs>
          <w:tab w:leader="none" w:pos="232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by the Trust under the Master Letter of Credit against presentation of a draft or certificate which does not comply with the terms of the Master Letter of Credit;</w:t>
      </w:r>
    </w:p>
    <w:p>
      <w:pPr>
        <w:spacing w:after="0" w:line="208" w:lineRule="exact"/>
        <w:rPr>
          <w:rFonts w:ascii="Courier New" w:cs="Courier New" w:eastAsia="Courier New" w:hAnsi="Courier New"/>
          <w:sz w:val="18"/>
          <w:szCs w:val="18"/>
          <w:color w:val="auto"/>
        </w:rPr>
      </w:pPr>
    </w:p>
    <w:p>
      <w:pPr>
        <w:ind w:left="960" w:right="2319" w:firstLine="944"/>
        <w:spacing w:after="0" w:line="275" w:lineRule="auto"/>
        <w:tabs>
          <w:tab w:leader="none" w:pos="243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release or non-perfection of any collateral, or any release or amendment or waiver of or consent to departure from any guarantee, for all or any of the obligations of Waste Management in respect of the Master Letter of Credit; or</w:t>
      </w:r>
    </w:p>
    <w:p>
      <w:pPr>
        <w:spacing w:after="0" w:line="182" w:lineRule="exact"/>
        <w:rPr>
          <w:rFonts w:ascii="Courier New" w:cs="Courier New" w:eastAsia="Courier New" w:hAnsi="Courier New"/>
          <w:sz w:val="16"/>
          <w:szCs w:val="16"/>
          <w:color w:val="auto"/>
        </w:rPr>
      </w:pPr>
    </w:p>
    <w:p>
      <w:pPr>
        <w:ind w:left="960" w:right="1779" w:firstLine="944"/>
        <w:spacing w:after="0" w:line="235" w:lineRule="auto"/>
        <w:tabs>
          <w:tab w:leader="none" w:pos="2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 that might otherwise constitute a defense available to, or a discharge of, Waste Management.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CONDITIONS TO ISSUANCE</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3.01. Condition Precedent to Issuance of the Master Letter of Credit. The obligation of the Trust to issue the Master Letter of Credit is subject to the condition precedent that the Owner Trustee shall have received on or before the date of the issuance of the Master Letter of Credit the following, each dated such date, in form and substance satisfactory to the Owner Trustee:</w:t>
      </w:r>
    </w:p>
    <w:p>
      <w:pPr>
        <w:spacing w:after="0" w:line="185" w:lineRule="exact"/>
        <w:rPr>
          <w:sz w:val="20"/>
          <w:szCs w:val="20"/>
          <w:color w:val="auto"/>
        </w:rPr>
      </w:pPr>
    </w:p>
    <w:p>
      <w:pPr>
        <w:ind w:left="960" w:right="2099" w:firstLine="944"/>
        <w:spacing w:after="0" w:line="235" w:lineRule="auto"/>
        <w:tabs>
          <w:tab w:leader="none" w:pos="232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original of this Agreement executed and delivered by the parties hereto.</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32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certified copy of the resolutions of the Board of Directors of Waste Management approving this Agreement, the form and content of the Master Letter of Credit and the other matters contemplated hereby, and of all other documents evidencing any other necessary corporate action.</w:t>
      </w:r>
    </w:p>
    <w:p>
      <w:pPr>
        <w:spacing w:after="0" w:line="208" w:lineRule="exact"/>
        <w:rPr>
          <w:rFonts w:ascii="Courier New" w:cs="Courier New" w:eastAsia="Courier New" w:hAnsi="Courier New"/>
          <w:sz w:val="18"/>
          <w:szCs w:val="18"/>
          <w:color w:val="auto"/>
        </w:rPr>
      </w:pPr>
    </w:p>
    <w:p>
      <w:pPr>
        <w:ind w:left="960" w:right="2199" w:firstLine="944"/>
        <w:spacing w:after="0" w:line="237" w:lineRule="auto"/>
        <w:tabs>
          <w:tab w:leader="none" w:pos="232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Originals (or copies certified to be true copies by an appropriate officer of Waste Management and Holdings) of all governmental and regulatory approvals, if any, necessary for Waste Management and Holdings with respect to this Agreement and the transactions contemplated hereby.</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the Secretary or an Assistant Secretary of Waste Management and Holdings certifying the names and true signatures of the officers of Waste Management and Holdings authorized to sign this Agreement and the other documents to be delivered by it hereunder.</w:t>
      </w:r>
    </w:p>
    <w:p>
      <w:pPr>
        <w:spacing w:after="0" w:line="209" w:lineRule="exact"/>
        <w:rPr>
          <w:sz w:val="20"/>
          <w:szCs w:val="20"/>
          <w:color w:val="auto"/>
        </w:rPr>
      </w:pPr>
    </w:p>
    <w:p>
      <w:pPr>
        <w:ind w:left="960" w:right="2519" w:firstLine="944"/>
        <w:spacing w:after="0" w:line="236" w:lineRule="auto"/>
        <w:tabs>
          <w:tab w:leader="none" w:pos="232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John S. Tsai, Esq., counsel for Waste Management and Holdings, substantially in the form of Exhibit B attached hereto.</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(or a duplicate thereof) of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133" w:name="page134"/>
    <w:bookmarkEnd w:id="133"/>
    <w:p>
      <w:pPr>
        <w:ind w:left="960" w:right="1779" w:firstLine="944"/>
        <w:spacing w:after="0" w:line="237" w:lineRule="auto"/>
        <w:tabs>
          <w:tab w:leader="none" w:pos="232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 Trustee shall have received a certificate signed by a duly authorized officer of Waste Management and by a duly authorized officer of Holdings, dated the date of the issuance of the Master Letter of Credit, stating that:</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269"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contained in Section 4.01 of this Agreement are true and correct on and as of the date of issuance of the Master Letter of Credit, before and after giving effect to such issuance; and</w:t>
      </w:r>
    </w:p>
    <w:p>
      <w:pPr>
        <w:spacing w:after="0" w:line="207" w:lineRule="exact"/>
        <w:rPr>
          <w:rFonts w:ascii="Courier New" w:cs="Courier New" w:eastAsia="Courier New" w:hAnsi="Courier New"/>
          <w:sz w:val="18"/>
          <w:szCs w:val="18"/>
          <w:color w:val="auto"/>
        </w:rPr>
      </w:pPr>
    </w:p>
    <w:p>
      <w:pPr>
        <w:ind w:left="1900" w:right="1779" w:firstLine="952"/>
        <w:spacing w:after="0" w:line="237" w:lineRule="auto"/>
        <w:tabs>
          <w:tab w:leader="none" w:pos="3375"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and is continuing, or would result from such issuance, which constitutes an Event of Default or would constitute an Event of Default but for the requirement that notice be given or time elapse or both.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3.02. Conditions Precedent to the Designation of Fleet Letters of Credit. The obligation of the Trust to designate any Fleet Letter of Credit as a Designated Letter of Credit shall be subject to the conditions precedent that on the date of the designation of a Fleet Letter of Credit the Owner Trustee and the Administrator shall have received a certificate signed by a duly authorized officer of Waste Management and by a duly authorized officer of Holdings, dated the date of such designation, stating that:</w:t>
      </w:r>
    </w:p>
    <w:p>
      <w:pPr>
        <w:spacing w:after="0" w:line="211" w:lineRule="exact"/>
        <w:rPr>
          <w:sz w:val="20"/>
          <w:szCs w:val="20"/>
          <w:color w:val="auto"/>
        </w:rPr>
      </w:pPr>
    </w:p>
    <w:p>
      <w:pPr>
        <w:ind w:left="960" w:right="1879" w:firstLine="944"/>
        <w:spacing w:after="0" w:line="275" w:lineRule="auto"/>
        <w:tabs>
          <w:tab w:leader="none" w:pos="232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Section 4.01 of this Agreement are true and correct on and as of the date of designation of each Fleet Letter of Credit, before and after giving effect to such designation, as though made on and as of such date; and</w:t>
      </w:r>
    </w:p>
    <w:p>
      <w:pPr>
        <w:spacing w:after="0" w:line="182" w:lineRule="exact"/>
        <w:rPr>
          <w:rFonts w:ascii="Courier New" w:cs="Courier New" w:eastAsia="Courier New" w:hAnsi="Courier New"/>
          <w:sz w:val="16"/>
          <w:szCs w:val="16"/>
          <w:color w:val="auto"/>
        </w:rPr>
      </w:pPr>
    </w:p>
    <w:p>
      <w:pPr>
        <w:ind w:left="960" w:right="1879" w:firstLine="944"/>
        <w:spacing w:after="0" w:line="237" w:lineRule="auto"/>
        <w:tabs>
          <w:tab w:leader="none" w:pos="243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and is continuing, or would result from such issuance, which constitutes an Event of Default or would constitute an Event of Default but for the requirement that notice be given or time elapse or both.</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4.01. Representations and Warranties. In order to induce the Trust to enter into this Agreement and to issue the Master Letter of Credit and to designate the Designated Letters of Credit, each of Waste Management and Holdings represents and warrants as follows:</w:t>
      </w:r>
    </w:p>
    <w:p>
      <w:pPr>
        <w:spacing w:after="0" w:line="207" w:lineRule="exact"/>
        <w:rPr>
          <w:sz w:val="20"/>
          <w:szCs w:val="20"/>
          <w:color w:val="auto"/>
        </w:rPr>
      </w:pPr>
    </w:p>
    <w:p>
      <w:pPr>
        <w:ind w:right="1779" w:firstLine="956"/>
        <w:spacing w:after="0" w:line="237" w:lineRule="auto"/>
        <w:tabs>
          <w:tab w:leader="none" w:pos="1896"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is a corporation duly incorporated, validly existing and in good standing under the laws of the State of Delaware and has all requisite power and authority to own, operate and encumber its assets and to conduct its business as presently conducted. Holdings is a corporation duly incorporated, validly existing and in good standing under the laws of the State of Delaware and has all requisite power and authority to own, operate and encumber its assets and to conduct its business as presently conducted.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134" w:name="page135"/>
    <w:bookmarkEnd w:id="134"/>
    <w:p>
      <w:pPr>
        <w:ind w:right="1879" w:firstLine="956"/>
        <w:spacing w:after="0" w:line="236" w:lineRule="auto"/>
        <w:tabs>
          <w:tab w:leader="none" w:pos="1896"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Waste Management and Holdings has the requisite power and authority to execute, deliver and perform this Agreement and each of the Related Documents to which it is a party.</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each of Waste Management and Holding of this Agreement and the Related Documents to which it is a party are within its corporate powers, have been duly authorized by all necessary corporate action, and do not contravene (i) Waste Management's or Holdings' charter or by-laws or (ii) law or any contractual restriction binding on or affecting Waste Management or Holdings, and do not result in or require the creation of any lien, security interest or other charge or encumbrance upon or with respect to any of its properties.</w:t>
      </w:r>
    </w:p>
    <w:p>
      <w:pPr>
        <w:spacing w:after="0" w:line="212" w:lineRule="exact"/>
        <w:rPr>
          <w:rFonts w:ascii="Courier New" w:cs="Courier New" w:eastAsia="Courier New" w:hAnsi="Courier New"/>
          <w:sz w:val="18"/>
          <w:szCs w:val="18"/>
          <w:color w:val="auto"/>
        </w:rPr>
      </w:pPr>
    </w:p>
    <w:p>
      <w:pPr>
        <w:jc w:val="both"/>
        <w:ind w:right="1779" w:firstLine="956"/>
        <w:spacing w:after="0" w:line="237" w:lineRule="auto"/>
        <w:tabs>
          <w:tab w:leader="none" w:pos="1896"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or approval or other action by, and no notice to or filing with, any governmental authority or regulatory body is required for the due execution, delivery and performance by Waste Management or Holdings of this Agreement or any Related Document to which it is a party.</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executed and delivered by Waste Management and Holdings and constitutes the legal, valid and binding obligation of Waste Management and Holdings enforceable against Waste Management and Holdings in accordance with its terms, except as such enforceability may be limited by applicable bankruptcy, insolvency, reorganization, moratorium or other similar laws or equity affecting the enforcement of creditor's rights generally.</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Disclosure Documents, there is no pending or threatened action or proceeding affecting Waste Management or any of its Subsidiaries before any court, governmental agency or arbitrator which may materially adversely affect the financial condition or operations of Waste Management and its Subsidiaries, taken as a whole, or which purports to affect the legality, validity or enforceability of this Agreement or any Related Document.</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5.01. Mergers; Consolidations; Sales of Assets. Waste Management shall not consolidate with or merge into any other Person or convey, transfer or lease its properties and assets substantially as an entirety to any Person, unless:</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Waste Management is merged or the Person which acquires by conveyance or transfer, or which leases, the properties and assets of Waste Management substantially as an entirety shall be a corporation, partnership or trust and shall expressly assume, by satisfactory documentation (it being expressly understood that any documentation with respect to the assumption of the Obligations shall be deemed to be satisfactory if the obligations of Waste Management under the Senior Debt Indenture are expressly assumed pursuant to</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35" w:name="page136"/>
    <w:bookmarkEnd w:id="135"/>
    <w:p>
      <w:pPr>
        <w:ind w:left="960" w:right="1779"/>
        <w:spacing w:after="0" w:line="237" w:lineRule="auto"/>
        <w:rPr>
          <w:sz w:val="20"/>
          <w:szCs w:val="20"/>
          <w:color w:val="auto"/>
        </w:rPr>
      </w:pPr>
      <w:r>
        <w:rPr>
          <w:rFonts w:ascii="Courier New" w:cs="Courier New" w:eastAsia="Courier New" w:hAnsi="Courier New"/>
          <w:sz w:val="18"/>
          <w:szCs w:val="18"/>
          <w:color w:val="auto"/>
        </w:rPr>
        <w:t>documentation satisfactory to JP Morgan Chase Bank as trustee under the Senior Debt Indenture), the due and punctual payment of the Reimbursement Obligations and any premium and interest thereon and all other amounts owing hereunder and the performance or observance of every other covenant of this Agreement on the part of Waste Management to be performed or observed;</w:t>
      </w:r>
    </w:p>
    <w:p>
      <w:pPr>
        <w:spacing w:after="0" w:line="210" w:lineRule="exact"/>
        <w:rPr>
          <w:sz w:val="20"/>
          <w:szCs w:val="20"/>
          <w:color w:val="auto"/>
        </w:rPr>
      </w:pPr>
    </w:p>
    <w:p>
      <w:pPr>
        <w:ind w:left="960" w:right="1779" w:firstLine="944"/>
        <w:spacing w:after="0" w:line="237" w:lineRule="auto"/>
        <w:tabs>
          <w:tab w:leader="none" w:pos="243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an obligation of Waste Management or a Subsidiary as a result of such transaction as having been incurred by Waste Management or such Subsidiary at the time of such transaction, no Event of Default, and no event which, after notice or lapse of time or both, would become an Event of Default, shall have happened and be continuing; and</w:t>
      </w:r>
    </w:p>
    <w:p>
      <w:pPr>
        <w:spacing w:after="0" w:line="211"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has delivered to the Owner Trustee an Officers' Certificate and an opinion of counsel, each stating that such consolidation, merger, conveyance, transfer or lease and such documentation relating thereto comply with this Section 5.01 and that all conditions precedent herein provided for relating to such transaction have been complied with.</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5.02. Limitation on Security Interests. (a) Waste Management will not, and will not permit any of its Restricted Subsidiaries to, create, incur, assume or suffer to exist, directly or indirectly, any Indebtedness secured by a Security Interest upon any Principal Property of Waste Management or of a Restricted Subsidiary, whether owned as of the date of this Agreement or hereafter acquired, without making effective provision (and Waste Management hereby covenants that in any such case it shall make or cause to be made effective provision) whereby the Obligations shall be secured by such Security Interest equally and ratably with any and all other Indebtedness of Waste Management or any Restricted Subsidiary thereby secured for so long as any such other Indebtedness of Waste Management or any Restricted Subsidiary shall be so secured; provided that nothing in this Section 5.02 shall prevent, restrict or apply to Indebtedness secured by:</w:t>
      </w:r>
    </w:p>
    <w:p>
      <w:pPr>
        <w:spacing w:after="0" w:line="207" w:lineRule="exact"/>
        <w:rPr>
          <w:sz w:val="20"/>
          <w:szCs w:val="20"/>
          <w:color w:val="auto"/>
        </w:rPr>
      </w:pPr>
    </w:p>
    <w:p>
      <w:pPr>
        <w:ind w:left="960" w:right="1779" w:firstLine="944"/>
        <w:spacing w:after="0" w:line="268" w:lineRule="auto"/>
        <w:tabs>
          <w:tab w:leader="none" w:pos="232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960" w:right="1779" w:hanging="4"/>
        <w:spacing w:after="0" w:line="238" w:lineRule="auto"/>
        <w:tabs>
          <w:tab w:leader="none" w:pos="138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Waste Management or any Restricted Subsidiary; or (c) any conditional sales agreement or other title retention agreement with respect to any property or assets acquired by Waste Management or any Restricted Subsidiary; or (d) any Security Interest existing on the property or assets or shares of stock of a corporation or firm at the time such corporation or firm is merged into or consolidated with Waste Management or any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36" w:name="page137"/>
    <w:bookmarkEnd w:id="136"/>
    <w:p>
      <w:pPr>
        <w:ind w:right="1779"/>
        <w:spacing w:after="0" w:line="238" w:lineRule="auto"/>
        <w:rPr>
          <w:sz w:val="20"/>
          <w:szCs w:val="20"/>
          <w:color w:val="auto"/>
        </w:rPr>
      </w:pPr>
      <w:r>
        <w:rPr>
          <w:rFonts w:ascii="Courier New" w:cs="Courier New" w:eastAsia="Courier New" w:hAnsi="Courier New"/>
          <w:sz w:val="18"/>
          <w:szCs w:val="18"/>
          <w:color w:val="auto"/>
        </w:rPr>
        <w:t>Restricted Subsidiary or at the time of a sale, lease or other disposition of the property or assets of such corporation or firm as an entirety or substantially as an entirety to Waste Management or any Restricted Subsidiary or at the time such corporation becomes a Restricted Subsidiary; or (e) any Security Interest existing on the property, assets or shares of stock of any successor which shall have become Waste Management in accordance with the provisions of Section 5.01 hereof; provided, in each case, that any such Security Interest described in the foregoing clauses (b), (c), (d) or (e) does not attach to or affect property or assets owned by Waste Management or any Restricted Subsidiary prior to the event referred to in such clauses; or</w:t>
      </w:r>
    </w:p>
    <w:p>
      <w:pPr>
        <w:spacing w:after="0" w:line="207" w:lineRule="exact"/>
        <w:rPr>
          <w:sz w:val="20"/>
          <w:szCs w:val="20"/>
          <w:color w:val="auto"/>
        </w:rPr>
      </w:pPr>
    </w:p>
    <w:p>
      <w:pPr>
        <w:jc w:val="both"/>
        <w:ind w:right="1999" w:firstLine="944"/>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right="1779" w:firstLine="944"/>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Waste Management or any of its Subsidiaries or their respective affiliates); or</w:t>
      </w:r>
    </w:p>
    <w:p>
      <w:pPr>
        <w:spacing w:after="0" w:line="214" w:lineRule="exact"/>
        <w:rPr>
          <w:rFonts w:ascii="Courier New" w:cs="Courier New" w:eastAsia="Courier New" w:hAnsi="Courier New"/>
          <w:sz w:val="18"/>
          <w:szCs w:val="18"/>
          <w:color w:val="auto"/>
        </w:rPr>
      </w:pPr>
    </w:p>
    <w:p>
      <w:pPr>
        <w:ind w:right="1879" w:firstLine="944"/>
        <w:spacing w:after="0" w:line="275" w:lineRule="auto"/>
        <w:tabs>
          <w:tab w:leader="none" w:pos="136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2" w:lineRule="exact"/>
        <w:rPr>
          <w:rFonts w:ascii="Courier New" w:cs="Courier New" w:eastAsia="Courier New" w:hAnsi="Courier New"/>
          <w:sz w:val="16"/>
          <w:szCs w:val="16"/>
          <w:color w:val="auto"/>
        </w:rPr>
      </w:pPr>
    </w:p>
    <w:p>
      <w:pPr>
        <w:ind w:right="1779" w:firstLine="944"/>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jc w:val="both"/>
        <w:ind w:right="1779" w:firstLine="944"/>
        <w:spacing w:after="0" w:line="236"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Waste Management or any Restricted Subsidiary in the ordinary course of business; or</w:t>
      </w:r>
    </w:p>
    <w:p>
      <w:pPr>
        <w:spacing w:after="0" w:line="208" w:lineRule="exact"/>
        <w:rPr>
          <w:rFonts w:ascii="Courier New" w:cs="Courier New" w:eastAsia="Courier New" w:hAnsi="Courier New"/>
          <w:sz w:val="18"/>
          <w:szCs w:val="18"/>
          <w:color w:val="auto"/>
        </w:rPr>
      </w:pPr>
    </w:p>
    <w:p>
      <w:pPr>
        <w:ind w:right="1879" w:firstLine="944"/>
        <w:spacing w:after="0" w:line="236"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right="1999" w:firstLine="944"/>
        <w:spacing w:after="0" w:line="237"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to qualify Waste Management or any Restricted Subsidiary to conduct business, to maintain self-insurance, or to obtain the benefit of, or comply with, laws; or</w:t>
      </w:r>
    </w:p>
    <w:p>
      <w:pPr>
        <w:spacing w:after="0" w:line="207" w:lineRule="exact"/>
        <w:rPr>
          <w:rFonts w:ascii="Courier New" w:cs="Courier New" w:eastAsia="Courier New" w:hAnsi="Courier New"/>
          <w:sz w:val="18"/>
          <w:szCs w:val="18"/>
          <w:color w:val="auto"/>
        </w:rPr>
      </w:pPr>
    </w:p>
    <w:p>
      <w:pPr>
        <w:jc w:val="both"/>
        <w:ind w:right="1999" w:firstLine="944"/>
        <w:spacing w:after="0" w:line="279" w:lineRule="auto"/>
        <w:tabs>
          <w:tab w:leader="none" w:pos="1369"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that secures any Indebtedness of a Restricted Subsidiary owing to Waste Management or another Restricted Subsidiary or by Waste Management to a Restricted Subsidiary; or</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259"/>
          </w:cols>
          <w:pgMar w:left="1200" w:top="723" w:right="1440" w:bottom="1440" w:gutter="0" w:footer="0" w:header="0"/>
        </w:sectPr>
      </w:pPr>
    </w:p>
    <w:bookmarkStart w:id="137" w:name="page138"/>
    <w:bookmarkEnd w:id="137"/>
    <w:p>
      <w:pPr>
        <w:ind w:left="960" w:right="1999" w:firstLine="944"/>
        <w:spacing w:after="0" w:line="236" w:lineRule="auto"/>
        <w:tabs>
          <w:tab w:leader="none" w:pos="243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960" w:right="1779" w:firstLine="944"/>
        <w:spacing w:after="0" w:line="271" w:lineRule="auto"/>
        <w:tabs>
          <w:tab w:leader="none" w:pos="243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created by any program providing for the financing, sale or other disposition of trade or other receivables qualified as current assets in accordance with GAAP entered into by Waste Management or by any Restricted Subsidiary, provided that such program is on terms comparable for similar transactions, or any document executed by Waste Management or any Restricted Subsidiary in connection therewith, and provided that such Security Interest is limited to the trade or other receivables in respect of which such program is created or exists and the proceeds thereof; or</w:t>
      </w:r>
    </w:p>
    <w:p>
      <w:pPr>
        <w:spacing w:after="0" w:line="183" w:lineRule="exact"/>
        <w:rPr>
          <w:rFonts w:ascii="Courier New" w:cs="Courier New" w:eastAsia="Courier New" w:hAnsi="Courier New"/>
          <w:sz w:val="16"/>
          <w:szCs w:val="16"/>
          <w:color w:val="auto"/>
        </w:rPr>
      </w:pPr>
    </w:p>
    <w:p>
      <w:pPr>
        <w:ind w:left="960" w:right="1879" w:firstLine="944"/>
        <w:spacing w:after="0" w:line="237" w:lineRule="auto"/>
        <w:tabs>
          <w:tab w:leader="none" w:pos="243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212"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Notwithstanding the foregoing provisions of this Section 5.02(a), Waste Management or any of its Restricted Subsidiaries may create, incur, assume or suffer to exist any Indebtedness secured by a Security Interest without so securing the Obligations if, at the time such Security Interest becomes a Security Interest upon any Principal Property of Waste Management or such Restricted Subsidiary and after giving effect thereto, the aggregate outstanding principal amount of all Indebtedness of Waste Management and its Restricted Subsidiaries secured by Security Interests permitted by this sentence (excluding Indebtedness secured by a Security Interest existing as of the date of this Agreement,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Section 5.03(b) or Section 5.03(c) and other than Sale and Leaseback Transactions between Waste Management and any Restricted Subsidiary) does not exceed 15% of Consolidated Net Tangible Assets.</w:t>
      </w:r>
    </w:p>
    <w:p>
      <w:pPr>
        <w:spacing w:after="0" w:line="396" w:lineRule="exact"/>
        <w:rPr>
          <w:sz w:val="20"/>
          <w:szCs w:val="20"/>
          <w:color w:val="auto"/>
        </w:rPr>
      </w:pPr>
    </w:p>
    <w:p>
      <w:pPr>
        <w:ind w:right="1779" w:firstLine="956"/>
        <w:spacing w:after="0" w:line="238"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Waste Management or any Restricted Subsidiary or upon any sale or conveyance of the Principal Property of any Restricted Subsidiary as an entirety or substantially as an entirety to any other Person, or upon any acquisition by Waste Management or any Restricted Subsidiary by purchase or otherwise of all or any part of the Principal Property of any other Person, any Principal Property theretofore owned by Waste Management or such Restricted Subsidiary would thereupon become subject to any Security Interest not permitted by the terms of this Section 5.02, Waste Management, prior to such consolidation, merger, sale or conveyance, or acquisition, will, or will cause such Restricted Subsidiary to, secure payment of the principal of and interest, if any, on the Obligations (equally and ratably with or prior to any other Indebtedness of Waste Management or such Restricted Subsidiary then entitled thereto) by 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1440" w:gutter="0" w:footer="0" w:header="0"/>
        </w:sectPr>
      </w:pPr>
    </w:p>
    <w:bookmarkStart w:id="138" w:name="page139"/>
    <w:bookmarkEnd w:id="138"/>
    <w:p>
      <w:pPr>
        <w:ind w:right="2199"/>
        <w:spacing w:after="0" w:line="236" w:lineRule="auto"/>
        <w:rPr>
          <w:sz w:val="20"/>
          <w:szCs w:val="20"/>
          <w:color w:val="auto"/>
        </w:rPr>
      </w:pPr>
      <w:r>
        <w:rPr>
          <w:rFonts w:ascii="Courier New" w:cs="Courier New" w:eastAsia="Courier New" w:hAnsi="Courier New"/>
          <w:sz w:val="18"/>
          <w:szCs w:val="18"/>
          <w:color w:val="auto"/>
        </w:rPr>
        <w:t>direct lien on all such Principal Property prior to all liens other than any liens theretofore existing thereon by supplemental indenture hereto or otherwise.</w:t>
      </w:r>
    </w:p>
    <w:p>
      <w:pPr>
        <w:spacing w:after="0" w:line="209" w:lineRule="exact"/>
        <w:rPr>
          <w:sz w:val="20"/>
          <w:szCs w:val="20"/>
          <w:color w:val="auto"/>
        </w:rPr>
      </w:pPr>
    </w:p>
    <w:p>
      <w:pPr>
        <w:ind w:right="1779" w:firstLine="956"/>
        <w:spacing w:after="0" w:line="237" w:lineRule="auto"/>
        <w:tabs>
          <w:tab w:leader="none" w:pos="1369"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Waste Management or any Restricted Subsidiary shall create, incur, assume or suffer to exist any Indebtedness secured by any Security Interest not permitted by this Section 5.02, to which the covenant in the first paragraph of Section 5.02(a) or Section 5.02(b) is applicable, Waste Management will promptly deliver to the Owner Trustee (1) an Officers' Certificate stating that the covenant of Waste Management contained in the first paragraph of Section 5.02(a) or Section 5.02(b) has been complied with; and (2) an opinion of counsel to the effect that such covenant has been complied with, and that any instruments executed by Waste Management in the performance of such covenant comply with the requirements of such covenant.</w:t>
      </w:r>
    </w:p>
    <w:p>
      <w:pPr>
        <w:spacing w:after="0" w:line="214"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Waste Management or any Restricted Subsidiary shall hereafter secure the Obligations equally and ratably with or prior to any other obligation or indebtedness pursuant to the provisions of this Section 5.02, the Owner Trustee is hereby authorized to enter into an indenture or agreement supplemental hereto in accordance with Section 9.04 of the Indenture and Section 11.01 of the Trust Agreement and to take such action, if any, as it may deem advisable to enable it to enforce effectively the rights of the Trust so secured, equally and ratably with or prior to such other obligations or indebtedness.</w:t>
      </w:r>
    </w:p>
    <w:p>
      <w:pPr>
        <w:spacing w:after="0" w:line="21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5.03. Limitations On Sale And Leaseback Transactions. Waste Management will not, and will not permit any Restricted Subsidiary to, enter into any arrangement with any Person (other than with any Restricted Subsidiary) providing for the leasing to Waste Management or any Restricted Subsidiary of any Principal Property owned or hereafter acquired by Waste Management or such Restricted Subsidiary (except for temporary leases for a term, including any renewal thereof, of not more than three years and except for leases between Waste Management and a Restricted Subsidiary or between Restricted Subsidiaries), which Principal Property has been or is to be sold or transferred by Waste Management or such Restricted Subsidiary to such person (herein referred to as a "Sale and Leaseback Transaction") unless (a) Waste Management or such Restricted Subsidiary would be entitled, pursuant to the provisions of (i) clause (1)(a) of Section 5.02(a) or (ii) the second paragraph of Section</w:t>
      </w:r>
    </w:p>
    <w:p>
      <w:pPr>
        <w:spacing w:after="0" w:line="1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5.02(a), to incur Indebtedness secured by a Security Interest on the property to be leased without equally and ratably securing the Obligations, or (b) Waste Management shall, and in any such case Waste Management covenants that it will, within 180 days after the effective date of any such arrangement, deliver to the Owner Trustee, cash collateral for deposit in a cash collateral account in an amount equal to the fair value (as determined by the Board of Directors) of such property (such deposit to be held by the Indenture Trustee as security for, and to provide for the payment of, the Obligations), or (c) Waste Management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Notwithstanding the foregoing, Waste Management may, and may permit any Restricted Subsidiary to, effect any Sale and Leaseback Transaction that is not acceptable pursuant to clauses (a) through (c), inclusive, of this Section 5.03, provided that the Attributable Debt associated with such Sale and Leaseback Transaction, together with the aggregate principal amount of outstanding debt secured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6"/>
          <w:szCs w:val="16"/>
          <w:color w:val="auto"/>
        </w:rPr>
        <w:t>by Security Interests upon Principal Property not acceptable pursuant to clauses</w:t>
      </w:r>
    </w:p>
    <w:p>
      <w:pPr>
        <w:spacing w:after="0" w:line="21" w:lineRule="exact"/>
        <w:rPr>
          <w:sz w:val="20"/>
          <w:szCs w:val="20"/>
          <w:color w:val="auto"/>
        </w:rPr>
      </w:pPr>
    </w:p>
    <w:p>
      <w:pPr>
        <w:ind w:right="1999" w:firstLine="8"/>
        <w:spacing w:after="0" w:line="235" w:lineRule="auto"/>
        <w:tabs>
          <w:tab w:leader="none" w:pos="42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(12) of Section 5.02, inclusive, do not exceed 15% of Consolidated Net Tangible Assets.</w:t>
      </w:r>
    </w:p>
    <w:p>
      <w:pPr>
        <w:spacing w:after="0" w:line="208"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SECTION 5.04. Reporting Requirements. Waste Management and Holdings shall furnish to the Owner Trustee and the Administrator the following:</w:t>
      </w:r>
    </w:p>
    <w:p>
      <w:pPr>
        <w:spacing w:after="0" w:line="170" w:lineRule="exact"/>
        <w:rPr>
          <w:sz w:val="20"/>
          <w:szCs w:val="20"/>
          <w:color w:val="auto"/>
        </w:rPr>
      </w:pPr>
    </w:p>
    <w:p>
      <w:pPr>
        <w:ind w:left="960" w:right="1779" w:firstLine="944"/>
        <w:spacing w:after="0" w:line="237" w:lineRule="auto"/>
        <w:tabs>
          <w:tab w:leader="none" w:pos="232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possible, and in any event within five days after the occurrence of each Event of Default or each event which, with the giving of notice or lapse of time, or both, would constitute an Event of Default, continuing on the date of such statement, a statement of the chief financial officer, the chief executive or the treasurer of Waste Management setting forth details of such Event of Default or event and the action which Waste Management has taken and proposes to take with respect thereto;</w:t>
      </w:r>
    </w:p>
    <w:p>
      <w:pPr>
        <w:spacing w:after="0" w:line="212"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60 days following the end of each fiscal quarter of Waste Management, a copy of Waste Management's Quarterly Reports on Form 10-Q, together with a certificate of the chief financial officer of Waste Management stating that no Event of Default, or event which, with notice or lapse of time or both, would constitute an Event of Default, has occurred and is continuing or, if an Event of Default or such event has occurred and is continuing, a statement as to the nature thereof and the action which Waste Management has taken and proposes to take with respect thereto;</w:t>
      </w:r>
    </w:p>
    <w:p>
      <w:pPr>
        <w:spacing w:after="0" w:line="183"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and in any event within 120 days following the end of each fiscal year of Waste Management and Holdings, a copy of Waste Management's audited Annual Reports on Form l0-K, together with a certificate of the chief financial officer of Waste Management stating that no Event of Default, or event which, with notice or lapse of time or both, would constitute an Event of Default, has occurred and is continuing or, if an Event of Default or such event has occurred and is continuing, a statement as to the nature thereof and the action which Waste Management has taken and proposes to take with respect thereto; and</w:t>
      </w:r>
    </w:p>
    <w:p>
      <w:pPr>
        <w:spacing w:after="0" w:line="214"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and in any event within five Business Days of the delivery of a Designation Certificate signed by Waste Management, the Administrator on behalf of the Trust and Fleet and delivered by the Administrator to Fleet, an updated list identifying all Designated Letters of Credit (with such information as may have been originally scheduled for such Designated Letters of Credit including, in any event the LOC identifying number and the Allocated Amount).</w:t>
      </w:r>
    </w:p>
    <w:p>
      <w:pPr>
        <w:spacing w:after="0" w:line="21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5.05. Best Efforts. Waste Management agrees to use its best efforts to remove all of the Designated Letters of Credit from the benefits of the Master Letter of Credit during the period from the thirtieth day preceding the Stated Termination Date to the fifth Business Day preceding the Stated Termination Date.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140" w:name="page141"/>
    <w:bookmarkEnd w:id="140"/>
    <w:p>
      <w:pPr>
        <w:ind w:right="1779" w:firstLine="948"/>
        <w:spacing w:after="0" w:line="235" w:lineRule="auto"/>
        <w:rPr>
          <w:sz w:val="20"/>
          <w:szCs w:val="20"/>
          <w:color w:val="auto"/>
        </w:rPr>
      </w:pPr>
      <w:r>
        <w:rPr>
          <w:rFonts w:ascii="Courier New" w:cs="Courier New" w:eastAsia="Courier New" w:hAnsi="Courier New"/>
          <w:sz w:val="18"/>
          <w:szCs w:val="18"/>
          <w:color w:val="auto"/>
        </w:rPr>
        <w:t>SECTION 6.01. Events of Default. The occurrence of any of the following events shall be an "Event of Default" hereunder:</w:t>
      </w:r>
    </w:p>
    <w:p>
      <w:pPr>
        <w:spacing w:after="0" w:line="208" w:lineRule="exact"/>
        <w:rPr>
          <w:sz w:val="20"/>
          <w:szCs w:val="20"/>
          <w:color w:val="auto"/>
        </w:rPr>
      </w:pPr>
    </w:p>
    <w:p>
      <w:pPr>
        <w:ind w:left="960" w:right="1879" w:firstLine="944"/>
        <w:spacing w:after="0" w:line="235" w:lineRule="auto"/>
        <w:tabs>
          <w:tab w:leader="none" w:pos="28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shall fail to pay any Reimbursement Obligations when due and payable; or</w:t>
      </w:r>
    </w:p>
    <w:p>
      <w:pPr>
        <w:spacing w:after="0" w:line="208" w:lineRule="exact"/>
        <w:rPr>
          <w:rFonts w:ascii="Courier New" w:cs="Courier New" w:eastAsia="Courier New" w:hAnsi="Courier New"/>
          <w:sz w:val="18"/>
          <w:szCs w:val="18"/>
          <w:color w:val="auto"/>
        </w:rPr>
      </w:pPr>
    </w:p>
    <w:p>
      <w:pPr>
        <w:ind w:left="960" w:right="1779" w:firstLine="944"/>
        <w:spacing w:after="0" w:line="279" w:lineRule="auto"/>
        <w:tabs>
          <w:tab w:leader="none" w:pos="285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shall fail to pay any interest, fees or other obligations hereunder when the same becomes due and payable and such failure shall continue for a period of thirty days; or</w:t>
      </w:r>
    </w:p>
    <w:p>
      <w:pPr>
        <w:spacing w:after="0" w:line="178" w:lineRule="exact"/>
        <w:rPr>
          <w:rFonts w:ascii="Courier New" w:cs="Courier New" w:eastAsia="Courier New" w:hAnsi="Courier New"/>
          <w:sz w:val="16"/>
          <w:szCs w:val="16"/>
          <w:color w:val="auto"/>
        </w:rPr>
      </w:pPr>
    </w:p>
    <w:p>
      <w:pPr>
        <w:ind w:left="960" w:right="1879" w:firstLine="944"/>
        <w:spacing w:after="0" w:line="236" w:lineRule="auto"/>
        <w:tabs>
          <w:tab w:leader="none" w:pos="28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or warranty made, or deemed made, by Waste Management or Holdings herein shall prove to have been incorrect in any material respect when made or deemed made; or</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shall fail to perform or observe any term, covenant or agreement contained in this Agreement and such failure shall remain unremedied for a period of sixty days after there has been given, by registered or certified mail, to Waste Management, the Trust and the Indenture Trustee by holders of at least 25% of the principal amount of the Fixed Rate Notes a written notice specifying such failure and requiring it to be remedied; or</w:t>
      </w:r>
    </w:p>
    <w:p>
      <w:pPr>
        <w:spacing w:after="0" w:line="211" w:lineRule="exact"/>
        <w:rPr>
          <w:rFonts w:ascii="Courier New" w:cs="Courier New" w:eastAsia="Courier New" w:hAnsi="Courier New"/>
          <w:sz w:val="18"/>
          <w:szCs w:val="18"/>
          <w:color w:val="auto"/>
        </w:rPr>
      </w:pPr>
    </w:p>
    <w:p>
      <w:pPr>
        <w:ind w:left="960" w:right="1779" w:firstLine="944"/>
        <w:spacing w:after="0" w:line="269" w:lineRule="auto"/>
        <w:tabs>
          <w:tab w:leader="none" w:pos="285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or any of its Subsidiaries shall fail to pay when due any Indebtedness in an aggregate principal amount greater than $50,000,000 (excluding Obligations under this Agreement), when the same becomes due and payable (whether by scheduled maturity, required prepayment, acceleration, demand or otherwise), and such failure shall continue after the applicable grace period, if any, specified in the agreement or instrument relating to such Indebtedness; or any other event shall occur or condition shall exist under any agreement or instrument relating to any such Indebtedness and shall continue after the applicable grace period, if any, specified in such agreement or instrument, if the effect of such event or condition is to accelerate, or to permit the acceleration of, the maturity of such Indebtedness; or any such Indebtedness shall be declared 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 or</w:t>
      </w:r>
    </w:p>
    <w:p>
      <w:pPr>
        <w:spacing w:after="0" w:line="395" w:lineRule="exact"/>
        <w:rPr>
          <w:rFonts w:ascii="Courier New" w:cs="Courier New" w:eastAsia="Courier New" w:hAnsi="Courier New"/>
          <w:sz w:val="16"/>
          <w:szCs w:val="16"/>
          <w:color w:val="auto"/>
        </w:rPr>
      </w:pPr>
    </w:p>
    <w:p>
      <w:pPr>
        <w:ind w:left="960" w:right="1779" w:firstLine="944"/>
        <w:spacing w:after="0" w:line="238" w:lineRule="auto"/>
        <w:tabs>
          <w:tab w:leader="none" w:pos="28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or any Material Subsidiary shall generally not pay its debts as such debts become due, or shall admit in writing its inability to pay its debts generally, or shall make a general assignment for the benefit of creditors; or any proceeding shall be instituted by or against Waste Management or any Material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141" w:name="page142"/>
    <w:bookmarkEnd w:id="141"/>
    <w:p>
      <w:pPr>
        <w:ind w:left="960" w:right="1779"/>
        <w:spacing w:after="0" w:line="271" w:lineRule="auto"/>
        <w:rPr>
          <w:sz w:val="20"/>
          <w:szCs w:val="20"/>
          <w:color w:val="auto"/>
        </w:rPr>
      </w:pPr>
      <w:r>
        <w:rPr>
          <w:rFonts w:ascii="Courier New" w:cs="Courier New" w:eastAsia="Courier New" w:hAnsi="Courier New"/>
          <w:sz w:val="16"/>
          <w:szCs w:val="16"/>
          <w:color w:val="auto"/>
        </w:rPr>
        <w:t>and, in the case of any such proceeding instituted against it (but not instituted by it), either such proceeding shall remain undismissed or unstayed for a period of sixty days, or any of the actions sought in such proceeding (including, without limitation, the entry of an order for relief against, or the appointment of a receiver, trustee, custodian or other similar official for, it or for any substantial part of its property) shall occur; or Waste Management or any Material Subsidiary shall take any corporate action to authorize any of the actions set forth above in this subsection (f).</w:t>
      </w:r>
    </w:p>
    <w:p>
      <w:pPr>
        <w:spacing w:after="0" w:line="18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6.02. Acceleration and Termination. If any Event of Default shall have occurred and be continuing, the Owner Trustee shall, at the written direction of the Majority, (i) declare the obligation of the Trust to increase the amounts drawable under the Master Letter of Credit by designating additional Fleet Letters of Credit as Designated Letters of Credit and to renew current Designated Letters of Credit to be terminated, and send to Waste Management and Fleet a Notice of No Further Designation, and (ii) declare all outstanding Reimbursement Obligations, all Interest Payment Obligations and all other amounts payable hereunder to be forthwith due and payable, whereupon such Reimbursement Obligations, all such Interest Payment Obligations and all such amounts shall become and be forthwith due and payable, without presentment, demand, protest, or further notice of any kind, all of which are hereby expressly waived by Waste Management; provided, however, that in the event of an actual or deemed entry of an order for relief with respect to Waste Management or any of its Subsidiaries under the Bankruptcy Code, (A) the obligation of the Trust to increase the amounts drawable under the Master Letter of Credit by designating additional Fleet Letters of Credit as Designated Letters of Credit or to renew Interest Payment Obligations existing Designated Letters of Credit shall automatically be terminated and (B) the outstanding Reimbursement Obligations, all Interest Payment Obligations and all such amounts shall automatically become and be due and payable, without presentment, demand, protest or any notice of any kind, all of which are hereby expressly waived by Waste Management. The Owner Trustee shall not be deemed to have knowledge of an Event of Default unless it receives written notice thereof.</w:t>
      </w:r>
    </w:p>
    <w:p>
      <w:pPr>
        <w:spacing w:after="0" w:line="200" w:lineRule="exact"/>
        <w:rPr>
          <w:sz w:val="20"/>
          <w:szCs w:val="20"/>
          <w:color w:val="auto"/>
        </w:rPr>
      </w:pPr>
    </w:p>
    <w:p>
      <w:pPr>
        <w:spacing w:after="0" w:line="395"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6.03 Deposit for Master Letter of Credit. In addition, after the occurrence and during the continuance of an Event of Default, Waste Management shall, promptly upon demand by the Owner Trustee at the direction of the Majority, deliver to the Owner Trustee, cash collateral for deposit in a cash collateral account in an amount equal to the aggregate Allocated Amounts for all Designated Letters of Credit existing at such time plus any outstanding Reimbursement Obligations and Interest Payment Obligation. Such deposit shall be held by the Indenture Trustee as security for, and to provide for the payment of, the Reimbursement Obligations and the Interest Payment Obligations.</w:t>
      </w:r>
    </w:p>
    <w:p>
      <w:pPr>
        <w:spacing w:after="0" w:line="17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7.01. Amendments. No amendment or waiver of any provision of this Agreement, nor consent to any departure by Waste Management therefrom, shall in any event be effective unless the same shall be in writing and signed by the Owner Trustee and then such waiver or consent shall be effective only in the specific instance and for the specific purpose for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42" w:name="page143"/>
    <w:bookmarkEnd w:id="142"/>
    <w:p>
      <w:pPr>
        <w:ind w:right="1779"/>
        <w:spacing w:after="0" w:line="237" w:lineRule="auto"/>
        <w:rPr>
          <w:sz w:val="20"/>
          <w:szCs w:val="20"/>
          <w:color w:val="auto"/>
        </w:rPr>
      </w:pPr>
      <w:r>
        <w:rPr>
          <w:rFonts w:ascii="Courier New" w:cs="Courier New" w:eastAsia="Courier New" w:hAnsi="Courier New"/>
          <w:sz w:val="18"/>
          <w:szCs w:val="18"/>
          <w:color w:val="auto"/>
        </w:rPr>
        <w:t>which given; provided, however, that (i) if any Fixed Rate Notes are outstanding and have a rating, the Rating Agency Condition with respect to such amendment, waiver or consent must be satisfied in order for such amendment, waiver or consent to be effective and (ii) any amendment or waiver of Section 2.04 or Section 7.04 shall not be effective unless consented to in writing by the Swap Counterparties.</w:t>
      </w:r>
    </w:p>
    <w:p>
      <w:pPr>
        <w:spacing w:after="0" w:line="210"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7.02. Notices. Any notice or other communication herein required or permitted to be given shall be in writing and may be personally served, telecopied, telexed or sent by courier service or United States certified mail and shall be deemed to have been given when delivered in person or by courier service, upon receipt of a telecopy or telex or four (4) Business Days after deposit in the United States mail with postage prepaid and properly addressed. For the purposes hereof, the addresses of the parties hereto (until notice of a change thereof is delivered as provided in this Section 7.02) shall be as set forth on Schedule 1 attached hereto, or, as to each party, at such other address as may be designated by such party in a written notice to all of the other parties to this Agreement. With respect to each notice and communication sent to the Trust or the Owner Trustee on behalf of the Trust, a copy of such notice or communication shall be sent to the Administrator at its address on Schedule 1 attached hereto.</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7.03. No Waiver; Remedies. No failure on the part of the Owner Trustee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7.04. Indemnification. Waste Management hereby indemnifies and holds harmless the Owner Trustee, the Administrator, the Indenture Trustee, the Trust and their respective agents, officers, directors, trustees, agents, attorneys and service providers (including the Certificateholder and the Tax Matters Partner) (collectively, the "Indemnitees") from and against any and all claims, actions, suits, damages, losses, liabilities, costs or expenses of any kind and nature whatsoever which any Indemnitee may incur or which may be claimed against any Indemnitee by any person or entity by reason of or in connection with (i) the Indenture; (ii) the Fleet Note and the Fleet Security Agreement; (iii) the Swap Agreements; (iv) the Trust Agreement, (v) the Administration Agreement, (vi) the Master Letter of Credit or honoring or failing to honor any draft or certificate presented thereunder, and (vii) any other Transaction Document (clauses (i) through (vi) collectively referred to as the "Indemnified Matters"); provided, however, that Waste Management shall not be required to indemnify any Indemnitee pursuant to this Section 7.04 in connection with any Indemnified Matter to the extent caused by such Indemnitee's willful misconduct or gross negligence. Waste Management agrees to reimburse the Trust for any obligations owing by the Trust to the Indenture Trustee pursuant to Section 7.07 of the Indenture and to the Owner Trustee pursuant to Sections 8.01 and 8.02 of the Trust Agreement. Nothing in this Section 7.04 is intended to limit the obligations of Waste Management contained in Article II. Without prejudice to the survival of any other obligation of Waste Management hereunder, the indemnities and obligations of Waste Management contained in this Section 7.04 shall survive the payment in full of amounts payable pursuant to Article II, the termination of the Master Letter of Credit and the termination of the Trust. The Owner Trustee, the Indenture Trustee, the Trust and their respective agents, officers, directors, trustees,</w:t>
      </w: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43" w:name="page144"/>
    <w:bookmarkEnd w:id="143"/>
    <w:p>
      <w:pPr>
        <w:ind w:right="1779"/>
        <w:spacing w:after="0" w:line="237" w:lineRule="auto"/>
        <w:rPr>
          <w:sz w:val="20"/>
          <w:szCs w:val="20"/>
          <w:color w:val="auto"/>
        </w:rPr>
      </w:pPr>
      <w:r>
        <w:rPr>
          <w:rFonts w:ascii="Courier New" w:cs="Courier New" w:eastAsia="Courier New" w:hAnsi="Courier New"/>
          <w:sz w:val="18"/>
          <w:szCs w:val="18"/>
          <w:color w:val="auto"/>
        </w:rPr>
        <w:t>agents, attorneys and service providers (including the Certificateholder and the Tax Matters Partner) shall be deemed to be third party beneficiaries with respect to this Section 7.04. All amounts payable by Waste Management under this Section 7.04 shall be paid by depositing such amounts directly into the Expense Payment Account.</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7.05. No Liability of the Owner Trustee, the Administrator and the Trust. Waste Management assumes all risks of the acts or omissions of Fleet and any other beneficiary or transferee of the Master Letter of Credit with respect to its use of the Master Letter of Credit. None of the Owner Trustee, the Administrator, the Trust nor any of their respective officers or directors shall be liable or responsible for: (a) the use which may be made of the Master Letter of Credit or any acts or omissions of Fleet and any other beneficiary or transferee in connection therewith; (b) the validity, sufficiency or genuineness of documents, or of any endorsement thereon, even if such documents should prove to be in any or all respects invalid, insufficient, fraudulent or forged; (c) payment by the Owner Trustee or the Trust against presentation of documents that do not comply with the terms of the Master Letter of Credit; or (d) any other circumstances whatsoever in making or failing to make payment or honoring any drafts or certificates under the Master Letter of Credit, except that Waste Management shall have a claim against the Trust, the Administrator and/or the Owner Trustee, to the extent of any direct, but not consequential, damages suffered by Waste Management which Waste Management proves were caused by (i) the Owner Trustee's, the Administrator's or the Trust's willful misconduct or gross negligence in determining whether documents presented under the Master Letter of Credit comply with the terms of the Master Letter of Credit or (ii) the Owner Trustee's, the Administrator's or the Trust's willful failure to make lawful payment under the Master Letter of Credit after the presentation to it by Fleet of a draft and certificate strictly complying with the terms and conditions of the Master Letter of Credit. In furtherance and not in limitation of the foregoing, the Owner Trustee, the Administrator and the Trust may accept documents that appear on their face to be in order, without responsibility for further investigation.</w:t>
      </w: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7.06. Costs, Expenses and Taxes. Waste Management agrees to pay on demand all costs and expenses in connection with the preparation, execution, delivery, filing, recording, administration, modification and amendment of this Agreement or any other Transaction Document, any of the other Transaction Documents and any other documents which may be delivered in connection therewith, including, without limitation, the fees and out-of-pocket expenses of counsel for the Owner Trustee, the Administrator, the Indenture Trustee, the Trust and their respective agents, officers, directors, trustees, agents, attorneys and service providers (including the Certificateholder and the Tax Matters Partner) and Fleet with respect thereto and with respect to advising the Owner Trustee, the Administrator and the Trust as to their rights and responsibilities under this Agreement. Waste Management further agrees to pay on demand all costs and expenses (including counsel fees and expenses) in connection with (i) the enforcement (whether through negotiations, legal proceedings or otherwise) of this Agreement or any other Transaction Document and such other documents which may be delivered in connection with this Agreement, including, without limitation, counsel fees and expenses in connection with the enforcement of rights under this Section 7.06, or (ii) any action or proceeding relating to a court order, injunction, or other process or decree restraining or seeking to restrain the Owner Trustee, the Administrator or the Trust from paying any amount under the Master Letter of Credit. In addition, Waste Management shall pay any and all stamp</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44" w:name="page145"/>
    <w:bookmarkEnd w:id="144"/>
    <w:p>
      <w:pPr>
        <w:ind w:right="1779"/>
        <w:spacing w:after="0" w:line="270" w:lineRule="auto"/>
        <w:rPr>
          <w:sz w:val="20"/>
          <w:szCs w:val="20"/>
          <w:color w:val="auto"/>
        </w:rPr>
      </w:pPr>
      <w:r>
        <w:rPr>
          <w:rFonts w:ascii="Courier New" w:cs="Courier New" w:eastAsia="Courier New" w:hAnsi="Courier New"/>
          <w:sz w:val="16"/>
          <w:szCs w:val="16"/>
          <w:color w:val="auto"/>
        </w:rPr>
        <w:t>and other taxes and fees payable or determined to be payable in connection with the execution, delivery, filing and recording of this Agreement or the Master Letter of Credit or the other Transaction Documents or any such other documents, and agrees to save the Owner Trustee, the Administrator and the Trust harmless from and against any and all liabilities with respect to or resulting from any delay in paying or omission to pay such taxes and fees. The Owner Trustee, the Administrator, the Indenture Trustee, the Trust and their respective agents, officers, directors, trustees, agents, attorneys and service providers (including the Certificateholder and the Tax Matters Partner) and Fleet shall be deemed to be third party beneficiaries with respect to this Section 7.06. All amounts payable by Waste Management under this Section 7.06 shall be paid by depositing such amounts directly into the Expense Payment Account.</w:t>
      </w:r>
    </w:p>
    <w:p>
      <w:pPr>
        <w:spacing w:after="0" w:line="39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7.07. Binding Effect. This Agreement shall become effective when it shall have been executed by Waste Management, Holdings and the Owner Trustee and thereafter shall be binding upon and inure to the benefit of Waste Management, Holdings and the Trust and their respective successors and assigns, except that Waste Management and Holdings shall not have the right to assign its rights hereunder or any interest herein without the prior written consent of the Owner Trustee. The Trust and the Owner Trustee may assign all or any part of, or any interest (undivided or divided) in, their rights and benefits under this Agreement, and to the extent of that assignment such assignee shall assume all obligations and have the same rights and benefits against Waste Management and Holdings hereunder as it would have had if such assignee were the Trust or Owner Trustee hereunder.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7.08. Severability. Any provision of this Agreement which is prohibited, unenforceable or not authorized in any jurisdiction shall, as to such jurisdiction, be ineffective to the extent of such prohibition, unenforceability or non-authorization without invalidating the remaining provisions hereof or affecting the validity, enforceability or legality of such provision in any other jurisdiction.</w:t>
      </w:r>
    </w:p>
    <w:p>
      <w:pPr>
        <w:spacing w:after="0" w:line="210"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7.09. Governing Law. This Agreement shall be governed by, and construed in accordance with, the laws of the State of New York.</w:t>
      </w:r>
    </w:p>
    <w:p>
      <w:pPr>
        <w:spacing w:after="0" w:line="20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SECTION 7.10. Headings. Section headings in this Agreement are included herein for convenience of reference only and shall not constitute a part of this Agreement for any other purpose.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7.11. Counterparts. This Agreement may be executed in two or more counterparts, each of which shall constitute an original but both or all of which, when taken together, shall constitute but one instrument, and shall become effective when copies hereof which, when taken together, bear the signatures of each of the parties hereto shall be delivered to the Owner Trustee and Waste Management.</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7.12. Waivers. Each of Waste Management and Holdings hereby agrees not to challenge or contest directly or indirectly (i) the validity, extent or enforceability of the Master Letter of Credit or (ii) the priority, validity, extent, perfection or enforceability of the Fleet Lien. Each of Waste Management and Holdings hereby agrees that they will not, prior to the date which is one year and one day (or, if longer, the applicable preference period then in effect plus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2" w:right="1440" w:bottom="1440" w:gutter="0" w:footer="0" w:header="0"/>
        </w:sectPr>
      </w:pPr>
    </w:p>
    <w:bookmarkStart w:id="145" w:name="page146"/>
    <w:bookmarkEnd w:id="145"/>
    <w:p>
      <w:pPr>
        <w:ind w:right="1779"/>
        <w:spacing w:after="0" w:line="237" w:lineRule="auto"/>
        <w:rPr>
          <w:sz w:val="20"/>
          <w:szCs w:val="20"/>
          <w:color w:val="auto"/>
        </w:rPr>
      </w:pPr>
      <w:r>
        <w:rPr>
          <w:rFonts w:ascii="Courier New" w:cs="Courier New" w:eastAsia="Courier New" w:hAnsi="Courier New"/>
          <w:sz w:val="18"/>
          <w:szCs w:val="18"/>
          <w:color w:val="auto"/>
        </w:rPr>
        <w:t>one day) after termination of the Master Letter of Credit, institute against, or join any other Person in instituting against the Trust any bankruptcy, reorganization, arrangement, insolvency, moratorium or liquidation proceedings, or other proceedings under Federal or State bankruptcy or similar laws of any jurisdiction.</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7.13. Limitation of Liability. It is expressly understood and agreed by the parties hereto that (a) this Agreement is executed and delivered by The Bank of New York (Delaware), not individually or personally but solely as Owner Trustee of the Trust, in the exercise of the powers and authority conferred and vested in it as trustee, (b) each of the representations, undertakings and agreements herein made on the part of the Trust is made and intended not as personal representations, undertakings and agreements by The Bank of New York (Delaware) but is made and intended for the purpose for binding only the Trust, (c) nothing herein contained shall be construed as creating any liability on The Bank of New York (Delaware), individually or personally, to perform any covenant either expressed or implied contained herein, all such liability, if any, being expressly waived by the parties hereto and by any Person claiming by, through or under the parties hereto and (d) under no circumstances shall The Bank of New York (Delaware) be personally liable for the payment of any indebtedness or expenses of the Trust or be liable for the breach or failure of any obligation, representation, warranty or covenant made or undertaken by the Trust under this Agreement or any other Transaction Document.</w:t>
      </w:r>
    </w:p>
    <w:p>
      <w:pPr>
        <w:spacing w:after="0" w:line="39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HOLDINGS GUARANTY</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SECTION 8.01. Guaranty. For value received and hereby acknowledged and as an inducement to the Trust to issue the Master Letter of Credit and enter into this Agreement, Holdings hereby unconditionally and irrevocably guarantees</w:t>
      </w:r>
    </w:p>
    <w:p>
      <w:pPr>
        <w:spacing w:after="0" w:line="1" w:lineRule="exact"/>
        <w:rPr>
          <w:sz w:val="20"/>
          <w:szCs w:val="20"/>
          <w:color w:val="auto"/>
        </w:rPr>
      </w:pPr>
    </w:p>
    <w:p>
      <w:pPr>
        <w:ind w:right="1779" w:firstLine="8"/>
        <w:spacing w:after="0" w:line="237" w:lineRule="auto"/>
        <w:tabs>
          <w:tab w:leader="none" w:pos="421"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full punctual payment when due, whether at stated maturity, by acceleration or otherwise, of all Obligations of Waste Management now or hereafter existing whether for principal, interest, fees, expenses or otherwise, and (b) the strict performance and observance by Waste Management of all agreements, warranties and covenants applicable to Waste Management in this Agreement and the Related Documents and (c) the obligations of Waste Management under the Related Documents (all of such obligations collectively being hereafter referred to as the "Guaranteed Obligations"). The foregoing guaranty is a guaranty of payment and not of collection. For purposes of this Article VIII, the obligations of Holdings under this Article VIII are referred to as the "Holdings Guaranty."</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8.02. Guaranty Absolute. Holdings guarantees that the Guaranteed Obligations will be paid strictly in accordance with the terms hereof, regardless of any law, regulation or order now or hereafter in effect in any jurisdiction affecting any of such terms or the rights of the Trust. The liability of Holdings under the Holdings Guaranty with regard to the Guaranteed Obligations shall be absolute and unconditional irrespective of:</w:t>
      </w:r>
    </w:p>
    <w:p>
      <w:pPr>
        <w:spacing w:after="0" w:line="210" w:lineRule="exact"/>
        <w:rPr>
          <w:sz w:val="20"/>
          <w:szCs w:val="20"/>
          <w:color w:val="auto"/>
        </w:rPr>
      </w:pPr>
    </w:p>
    <w:p>
      <w:pPr>
        <w:ind w:right="1999" w:firstLine="956"/>
        <w:spacing w:after="0" w:line="236" w:lineRule="auto"/>
        <w:tabs>
          <w:tab w:leader="none" w:pos="1896"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time, manner or place of payment of, or in any other term of, all or any of its Guaranteed Obligations or any other amendment or waiver of or any consent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2" w:right="1440" w:bottom="1440" w:gutter="0" w:footer="0" w:header="0"/>
        </w:sectPr>
      </w:pPr>
    </w:p>
    <w:bookmarkStart w:id="146" w:name="page147"/>
    <w:bookmarkEnd w:id="146"/>
    <w:p>
      <w:pPr>
        <w:ind w:right="2199"/>
        <w:spacing w:after="0" w:line="235" w:lineRule="auto"/>
        <w:rPr>
          <w:sz w:val="20"/>
          <w:szCs w:val="20"/>
          <w:color w:val="auto"/>
        </w:rPr>
      </w:pPr>
      <w:r>
        <w:rPr>
          <w:rFonts w:ascii="Courier New" w:cs="Courier New" w:eastAsia="Courier New" w:hAnsi="Courier New"/>
          <w:sz w:val="18"/>
          <w:szCs w:val="18"/>
          <w:color w:val="auto"/>
        </w:rPr>
        <w:t>departure from this Agreement or any other Related Documents (with regard to such Guaranteed Obligations);</w:t>
      </w:r>
    </w:p>
    <w:p>
      <w:pPr>
        <w:spacing w:after="0" w:line="208" w:lineRule="exact"/>
        <w:rPr>
          <w:sz w:val="20"/>
          <w:szCs w:val="20"/>
          <w:color w:val="auto"/>
        </w:rPr>
      </w:pPr>
    </w:p>
    <w:p>
      <w:pPr>
        <w:ind w:right="1879" w:firstLine="956"/>
        <w:spacing w:after="0" w:line="290" w:lineRule="auto"/>
        <w:tabs>
          <w:tab w:leader="none" w:pos="189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release or amendment or waiver of or consent to departure from any other guaranty for all or any of its Guaranteed Obligations;</w:t>
      </w:r>
    </w:p>
    <w:p>
      <w:pPr>
        <w:spacing w:after="0" w:line="164"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ownership of Waste Management;</w:t>
      </w:r>
    </w:p>
    <w:p>
      <w:pPr>
        <w:spacing w:after="0" w:line="20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acceptance of any partial payment(s) from Waste Management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Holdings; or</w:t>
      </w:r>
    </w:p>
    <w:p>
      <w:pPr>
        <w:spacing w:after="0" w:line="207" w:lineRule="exact"/>
        <w:rPr>
          <w:rFonts w:ascii="Courier New" w:cs="Courier New" w:eastAsia="Courier New" w:hAnsi="Courier New"/>
          <w:sz w:val="16"/>
          <w:szCs w:val="16"/>
          <w:color w:val="auto"/>
        </w:rPr>
      </w:pPr>
    </w:p>
    <w:p>
      <w:pPr>
        <w:ind w:right="1879" w:firstLine="956"/>
        <w:spacing w:after="0" w:line="279" w:lineRule="auto"/>
        <w:tabs>
          <w:tab w:leader="none" w:pos="189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similar or dissimilar to the foregoing which might otherwise constitute a defense available to, or a discharge of, Waste Management in respect of its Obligations under this Agreement.</w:t>
      </w:r>
    </w:p>
    <w:p>
      <w:pPr>
        <w:spacing w:after="0" w:line="17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Holdings Guaranty shall continue to be effective or be reinstated, as the case may be, if at any time any payment of any Guaranteed Obligation is rescinded or must otherwise be returned by the Trust upon the insolvency, bankruptcy or reorganization of Waste Management or otherwise, all as though such payment had not been made.</w:t>
      </w:r>
    </w:p>
    <w:p>
      <w:pPr>
        <w:spacing w:after="0" w:line="209"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SECTION 8.03. Effectiveness; Enforcement. No invalidity, irregularity or unenforceability by reason of any bankruptcy or similar law, or any law or order of any government or agency thereof purporting to reduce, amend or otherwise affect any liability of Waste Management, and no defect in or insufficiency or want of powers of Waste Management or irregular or improperly recorded exercise thereof, shall impair, affect, be a defense to or claim against such guaranty. The Holding Guaranty is a continuing guaranty and shall</w:t>
      </w:r>
    </w:p>
    <w:p>
      <w:pPr>
        <w:spacing w:after="0" w:line="1" w:lineRule="exact"/>
        <w:rPr>
          <w:sz w:val="20"/>
          <w:szCs w:val="20"/>
          <w:color w:val="auto"/>
        </w:rPr>
      </w:pPr>
    </w:p>
    <w:p>
      <w:pPr>
        <w:ind w:right="1879" w:firstLine="8"/>
        <w:spacing w:after="0" w:line="271" w:lineRule="auto"/>
        <w:tabs>
          <w:tab w:leader="none" w:pos="42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survive any termination of this Agreement, and (b) remain in full force and effect until payment in full of, and performance of, all Guaranteed Obligations and all other amounts payable under this Agreement. The Holdings Guaranty is made for the benefit of the Trust and its successors and assigns, and may be enforced from time to time as often as occasion therefor may arise and without requirement on the part of the Trust first to exercise any rights against Waste Management, or to resort to any other source or means of obtaining payment of any of the said obligations or to elect any other remedy.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8.04. Waiver. Except as otherwise specifically provided to the contrary, Holdings hereby waives promptness, diligence, protest, notice of protest, all suretyship defenses, notice of acceptance and any other notice with respect to any of its Guaranteed Obligations and the Holdings Guaranty and any requirement that the Trust protect, secure, perfect any security interest or lien or any property subject thereto or exhaust any right or take any action against Waste Management or any other Person. Holdings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8.05. Expenses. Holdings hereby promises to reimburse the Trust</w:t>
      </w:r>
    </w:p>
    <w:p>
      <w:pPr>
        <w:spacing w:after="0" w:line="4" w:lineRule="exact"/>
        <w:rPr>
          <w:sz w:val="20"/>
          <w:szCs w:val="20"/>
          <w:color w:val="auto"/>
        </w:rPr>
      </w:pPr>
    </w:p>
    <w:p>
      <w:pPr>
        <w:ind w:right="1879" w:firstLine="8"/>
        <w:spacing w:after="0" w:line="237" w:lineRule="auto"/>
        <w:tabs>
          <w:tab w:leader="none" w:pos="421"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out-of-pocket fees and disbursements (including all attorney's fees), incurred or expended in connection with the preparation, filing or recording, or interpretation of the Holdings Guaranty, any Related Documents to which Holdings is a party, or any amendment, modification, approval,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2" w:right="1440" w:bottom="1440" w:gutter="0" w:footer="0" w:header="0"/>
        </w:sectPr>
      </w:pPr>
    </w:p>
    <w:bookmarkStart w:id="147" w:name="page148"/>
    <w:bookmarkEnd w:id="147"/>
    <w:p>
      <w:pPr>
        <w:ind w:right="2099"/>
        <w:spacing w:after="0" w:line="237" w:lineRule="auto"/>
        <w:rPr>
          <w:sz w:val="20"/>
          <w:szCs w:val="20"/>
          <w:color w:val="auto"/>
        </w:rPr>
      </w:pPr>
      <w:r>
        <w:rPr>
          <w:rFonts w:ascii="Courier New" w:cs="Courier New" w:eastAsia="Courier New" w:hAnsi="Courier New"/>
          <w:sz w:val="18"/>
          <w:szCs w:val="18"/>
          <w:color w:val="auto"/>
        </w:rPr>
        <w:t>consent or waiver hereof or thereof, and (b) for all out-of-pocket fees and disbursements (including attorney's fees), incurred or expended in connection with the enforcement of its Guaranteed Obligations (whether or not legal proceedings are instituted).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8.06. Concerning Joint and Several Liability of Holdings.</w:t>
      </w:r>
    </w:p>
    <w:p>
      <w:pPr>
        <w:spacing w:after="0" w:line="207" w:lineRule="exact"/>
        <w:rPr>
          <w:sz w:val="20"/>
          <w:szCs w:val="20"/>
          <w:color w:val="auto"/>
        </w:rPr>
      </w:pPr>
    </w:p>
    <w:p>
      <w:pPr>
        <w:ind w:right="1999" w:firstLine="956"/>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Holdings hereby irrevocably and unconditionally accepts, not merely as a surety but also as a co-debtor, joint and several liability with Waste Management, with respect to the payment and performance of all of its Guaranteed Obligations (including, without limitation, any Guaranteed Obligations arising under this Article VIII), it being the intention of the parties hereto that all such Guaranteed Obligations shall be the joint and several Guaranteed Obligations of Holdings and Waste Management without preferences or distinction among them.</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that Waste Management shall fail to make any payment with respect to any of its Obligations as and when due or to perform any of its Guaranteed Obligations in accordance with the terms thereof, then in each such event Holdings will make such payment with respect to, or perform, such Guaranteed Obligation.</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Guaranteed Obligations of Holdings under the provisions of this Article VIII constitute full recourse obligations of Holdings enforceable against Holdings to the full extent of its properties and assets, irrespective of the validity, regularity or enforceability of this Agreement or any other circumstance whatsoever.</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expressly provided in this Agreement, Holdings hereby waives notice of acceptance of its joint and several liability, notice of any action at any time taken or omitted by the Trust under or in respect of any of the Guaranteed Obligations, and, generally, to the extent permitted by applicable law, all demands, notices and other formalities of every kind in connection with this Agreement. Holdings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Trust at any time or times in respect of any Event of Default by Waste Management or Holdings in the performance or satisfaction of any term, covenant, condition or provision of this Agreement or any other Related Document, any and all other indulgences whatsoever by the Trust in respect of any of the Guaranteed Obligations, and the taking, addition, substitution or release, in whole or in part, at any time or times, of any security for any of the Guaranteed Obligations or the addition, substitution or release, in whole or in part, of Waste Management or Holdings. Without limiting the generality of the foregoing, Holdings assents to any other action or delay in acting or failure to act on the part of the Trust with respect to the failure by Waste Management or Holdings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Article VIII, afford grounds for terminating, discharging or relieving Holdings, in whole or in part, from any of the Guaranteed Obligations under this Article VIII, it being the intention of Holdings that, so long as any of the Guaranteed Obligations hereunder remain unsatisfied, the Guaranteed Obligations of Holdings under this Article VIII shall not be discharged except by performance and then only to the extent of such performance.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2" w:right="1440" w:bottom="1440" w:gutter="0" w:footer="0" w:header="0"/>
        </w:sectPr>
      </w:pPr>
    </w:p>
    <w:bookmarkStart w:id="148" w:name="page149"/>
    <w:bookmarkEnd w:id="148"/>
    <w:p>
      <w:pPr>
        <w:ind w:right="1879"/>
        <w:spacing w:after="0" w:line="237" w:lineRule="auto"/>
        <w:rPr>
          <w:sz w:val="20"/>
          <w:szCs w:val="20"/>
          <w:color w:val="auto"/>
        </w:rPr>
      </w:pPr>
      <w:r>
        <w:rPr>
          <w:rFonts w:ascii="Courier New" w:cs="Courier New" w:eastAsia="Courier New" w:hAnsi="Courier New"/>
          <w:sz w:val="18"/>
          <w:szCs w:val="18"/>
          <w:color w:val="auto"/>
        </w:rPr>
        <w:t>Guaranteed Obligations of Holdings under this Article VIII shall not be diminished or rendered unenforceable by any winding up, reorganization, arrangement, liquidation, reconstruction or similar proceeding with respect to Waste Management, Holdings or the Trust. The joint and several liability of Holdings hereunder shall continue in full force and effect notwithstanding any absorption, merger, consolidation, amalgamation or any other change whatsoever in the name, membership, constitution or place of formation of Waste Management or Holdings, the Trust or the Trust.</w:t>
      </w:r>
    </w:p>
    <w:p>
      <w:pPr>
        <w:spacing w:after="0" w:line="212" w:lineRule="exact"/>
        <w:rPr>
          <w:sz w:val="20"/>
          <w:szCs w:val="20"/>
          <w:color w:val="auto"/>
        </w:rPr>
      </w:pPr>
    </w:p>
    <w:p>
      <w:pPr>
        <w:ind w:right="1779" w:firstLine="956"/>
        <w:spacing w:after="0" w:line="238" w:lineRule="auto"/>
        <w:tabs>
          <w:tab w:leader="none" w:pos="189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Holdings shall be liable under this Article VIII only for the maximum amount of such liabilities that can be incurred under applicable law without rendering this Article VIII voidable under applicable law relating to fraudulent conveyance and fraudulent transfer, and not for any greater amount. Accordingly, if any obligation under any provision under this Article VIII shall be declared to be invalid or unenforceable in any respect or to any extent, it is the stated intention and agreement of Holdings, the Trust and the Owner Trustee that any balance of the obligation created by such provision and all other obligations of Holdings under this Article VIII to the Trust shall remain valid and enforceable, and that all sums not in excess of those permitted under applicable law shall remain fully collectible by the Trust from Waste Management or Holdings, as the case may be.</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89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Article VIII are made for the benefit of the Trust and its successors and assigns, and may be enforced in good faith by it from time to time against Holdings as often as occasion therefor may arise and without requirement on the part of the Trust first to marshal any of their claims or to exercise any of their rights against Waste Management or Holdings or to exhaust any remedies available to them against Waste Management or Holdings or to resort to any other source or means of obtaining payment of any of the obligations hereunder or to elect any other remedy. The provisions of this Article VIII shall remain in effect until all of the Guaranteed Obligations shall have been paid in full or otherwise fully satisfied, and all Guaranteed Obligations shall have been paid in accordance with their terms. If at any time, any payment, or any part thereof, made in respect of any of the Guaranteed Obligations, is rescinded or must otherwise be restored or returned by the Trust upon the insolvency, bankruptcy or reorganization of Waste Management or Holdings, or otherwise, the provisions of this Article VIII will forthwith be reinstated in effect, as though such payment had not been made.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8.07. Final Payment and Performance. Until the final payment and performance in full of all of the Obligations, Holdings shall not exercise and Holdings hereby waives any rights Holdings may have against Waste Management arising as a result of payment by Holdings hereunder, by way of subrogation, reimbursement, restitution, contribution or otherwise, and will not prove any claim in competition with the Trust in respect of any payment hereunder in any bankruptcy, insolvency or reorganization case or proceedings of any nature; Holdings will not claim any setoff, recoupment or counterclaim against Waste Management in respect of any liability of Waste Management to Holdings; and Holdings waives any benefit of and any right to participate in any collateral security which may be held by the Trust.</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8.08. Subrogation; Subordination. The payment of any amounts due with respect to any indebtedness of Waste Management for money borrowed or credit received now or hereafter owed to Holdings is hereby subordinated to the prior payment in full of all of the Obligations. Holdings agrees that, after the occurrence of any default in the payment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149" w:name="page150"/>
    <w:bookmarkEnd w:id="149"/>
    <w:p>
      <w:pPr>
        <w:ind w:right="1779"/>
        <w:spacing w:after="0" w:line="237" w:lineRule="auto"/>
        <w:rPr>
          <w:sz w:val="20"/>
          <w:szCs w:val="20"/>
          <w:color w:val="auto"/>
        </w:rPr>
      </w:pPr>
      <w:r>
        <w:rPr>
          <w:rFonts w:ascii="Courier New" w:cs="Courier New" w:eastAsia="Courier New" w:hAnsi="Courier New"/>
          <w:sz w:val="18"/>
          <w:szCs w:val="18"/>
          <w:color w:val="auto"/>
        </w:rPr>
        <w:t>performance of any of the Obligations, Holdings will not demand, sue for or otherwise attempt to collect any such indebtedness of Waste Management to Holdings until all of the Obligations shall have been paid in full. If, notwithstanding the foregoing sentence, Holdings shall collect, enforce or receive any amounts in respect of such indebtedness while any Obligations are still outstanding, such amounts shall be collected, enforced and received by Holdings as trustee for the Trust and be paid over to the Trust upon an Event of Default on account of the Obligations without affecting in any manner the liability of Holdings under the other provisions hereof.</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8.09. Release of Guaranty. The Trust and the Owner Trustee hereby agree that the foregoing Holdings Guaranty shall remain in full force and effect until the occurrence of either (a) the consolidation or merger of Holdings into Waste Management or its successors, (b) the consolidation or merger of Waste Management or its successors into Holdings, or (c) the release of Holdings from all other guarantees of Waste Management's obligations under Waste Management's existing credit facilities or other senior indebtedness, at which time the foregoing Holdings Guaranty shall be concurrently released without any further action on the part of the Trust or the Owner Trustee.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150" w:name="page151"/>
    <w:bookmarkEnd w:id="150"/>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delivered by their respective officers thereunto duly authorized as of the date first above written.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/s/Waste Management, Inc.</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WASTE MANAGEMENT HOLDINGS, INC.</w:t>
      </w:r>
    </w:p>
    <w:p>
      <w:pPr>
        <w:ind w:left="3480"/>
        <w:spacing w:after="0" w:line="238" w:lineRule="auto"/>
        <w:rPr>
          <w:sz w:val="20"/>
          <w:szCs w:val="20"/>
          <w:color w:val="auto"/>
        </w:rPr>
      </w:pPr>
      <w:r>
        <w:rPr>
          <w:rFonts w:ascii="Courier New" w:cs="Courier New" w:eastAsia="Courier New" w:hAnsi="Courier New"/>
          <w:sz w:val="18"/>
          <w:szCs w:val="18"/>
          <w:color w:val="auto"/>
        </w:rPr>
        <w:t>(for the limited purpose of Article VIII)</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Waste Management Holdings, Inc.</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OAKMONT ASSET TRUST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 The Bank of New York (Delaware) not in its</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individual capacity but solely as Owner Trustee</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The Bank of New York (Delaware)</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151" w:name="page152"/>
    <w:bookmarkEnd w:id="151"/>
    <w:p>
      <w:pPr>
        <w:jc w:val="right"/>
        <w:ind w:right="1779"/>
        <w:spacing w:after="0"/>
        <w:rPr>
          <w:sz w:val="20"/>
          <w:szCs w:val="20"/>
          <w:color w:val="auto"/>
        </w:rPr>
      </w:pPr>
      <w:r>
        <w:rPr>
          <w:rFonts w:ascii="Courier New" w:cs="Courier New" w:eastAsia="Courier New" w:hAnsi="Courier New"/>
          <w:sz w:val="18"/>
          <w:szCs w:val="18"/>
          <w:color w:val="auto"/>
        </w:rPr>
        <w:t>EXHIBIT 10.30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EMPLOYMENT AGREEMENT (the "Agreement") is made and entered into on this 31st day of October, 2003 by and between Waste Management, Inc. (the "Company"), and RICK L WITTENBRAKER (the "Executive").</w:t>
      </w:r>
    </w:p>
    <w:p>
      <w:pPr>
        <w:spacing w:after="0" w:line="203" w:lineRule="exact"/>
        <w:rPr>
          <w:sz w:val="20"/>
          <w:szCs w:val="20"/>
          <w:color w:val="auto"/>
        </w:rPr>
      </w:pPr>
    </w:p>
    <w:p>
      <w:pPr>
        <w:ind w:left="1900" w:hanging="944"/>
        <w:spacing w:after="0"/>
        <w:tabs>
          <w:tab w:leader="none" w:pos="190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AND TERMINATION OF PREVIOUS EMPLOYMENT AGREEMENT.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Company shall employ Executive, and Executive shall be employed by the Company upon the terms and subject to the conditions set forth in this Agreement.</w:t>
      </w:r>
    </w:p>
    <w:p>
      <w:pPr>
        <w:spacing w:after="0" w:line="203" w:lineRule="exact"/>
        <w:rPr>
          <w:sz w:val="20"/>
          <w:szCs w:val="20"/>
          <w:color w:val="auto"/>
        </w:rPr>
      </w:pPr>
    </w:p>
    <w:p>
      <w:pPr>
        <w:ind w:left="1900" w:hanging="944"/>
        <w:spacing w:after="0"/>
        <w:tabs>
          <w:tab w:leader="none" w:pos="19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EMPLOYMENT.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period of Executive's employment under this Agreement shall commence on November 10, 2003 ("Employment Date"), and shall continue for a period of two (2) years thereafter, and shall automatically be renewed for successive one (1) year periods thereafter, unless Executive's employment is terminated in accordance with Section 5 below. The period during which Executive is employed hereunder shall be referred to as the "Employment Period." This offer is subject to the successful completion of background check and drug screen.</w:t>
      </w:r>
    </w:p>
    <w:p>
      <w:pPr>
        <w:spacing w:after="0" w:line="207" w:lineRule="exact"/>
        <w:rPr>
          <w:sz w:val="20"/>
          <w:szCs w:val="20"/>
          <w:color w:val="auto"/>
        </w:rPr>
      </w:pPr>
    </w:p>
    <w:p>
      <w:pPr>
        <w:ind w:left="1900" w:hanging="944"/>
        <w:spacing w:after="0"/>
        <w:tabs>
          <w:tab w:leader="none" w:pos="190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AND RESPONSIBILITIES.</w:t>
      </w:r>
    </w:p>
    <w:p>
      <w:pPr>
        <w:spacing w:after="0" w:line="207" w:lineRule="exact"/>
        <w:rPr>
          <w:sz w:val="20"/>
          <w:szCs w:val="20"/>
          <w:color w:val="auto"/>
        </w:rPr>
      </w:pPr>
    </w:p>
    <w:p>
      <w:pPr>
        <w:ind w:right="1879" w:firstLine="956"/>
        <w:spacing w:after="0" w:line="237"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serve as the Senior Vice President, General Counsel &amp; Chief Compliance Officer.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Administrative Officer, or the Board of Directors.</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8 of this Agreement), be involved in charitable and professional activities, and, with the prior written consent of the Board of Directors,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209" w:lineRule="exact"/>
        <w:rPr>
          <w:sz w:val="20"/>
          <w:szCs w:val="20"/>
          <w:color w:val="auto"/>
        </w:rPr>
      </w:pPr>
    </w:p>
    <w:p>
      <w:pPr>
        <w:ind w:left="1900" w:hanging="944"/>
        <w:spacing w:after="0"/>
        <w:tabs>
          <w:tab w:leader="none" w:pos="190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AND BENEFITS.</w:t>
      </w:r>
    </w:p>
    <w:p>
      <w:pPr>
        <w:spacing w:after="0" w:line="207" w:lineRule="exact"/>
        <w:rPr>
          <w:sz w:val="20"/>
          <w:szCs w:val="20"/>
          <w:color w:val="auto"/>
        </w:rPr>
      </w:pPr>
    </w:p>
    <w:p>
      <w:pPr>
        <w:ind w:right="1879" w:firstLine="956"/>
        <w:spacing w:after="0" w:line="237" w:lineRule="auto"/>
        <w:tabs>
          <w:tab w:leader="none" w:pos="189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 During the Employment Period, the Company shall pay Executive a base salary at the annual rate of FOUR HUNDRED THOUSAND DOLLARS ($400,000.00)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ectPr>
          <w:pgSz w:w="11900" w:h="16838" w:orient="portrait"/>
          <w:cols w:equalWidth="0" w:num="1">
            <w:col w:w="10219"/>
          </w:cols>
          <w:pgMar w:left="240" w:top="541" w:right="1440" w:bottom="1440" w:gutter="0" w:footer="0" w:header="0"/>
        </w:sectPr>
      </w:pPr>
    </w:p>
    <w:bookmarkStart w:id="152" w:name="page153"/>
    <w:bookmarkEnd w:id="152"/>
    <w:p>
      <w:pPr>
        <w:ind w:right="1779" w:firstLine="956"/>
        <w:spacing w:after="0" w:line="238" w:lineRule="auto"/>
        <w:tabs>
          <w:tab w:leader="none" w:pos="189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BONUS. During the Employment Period, Executive will be entitled to participate in an annual incentive compensation plan of the Company, as established by the Compensation Committee of the Board of Directors from time to time. The Executive's target annual bonus will be Seventy-Five percent (75%) of his Base Salary in effect for such year (the "Target Bonus"), and his actual annual bonus may range from 0% to 150% (two times Target Bonus), and will be determined based upon (i) the achievement of certain corporate performance goals, as may be established and approved from time to time by the Compensation Committee of the Board of Directors, and (ii) the achievement of personal performance goals as may be established by the Company's Chief Executive Officer, President, Chief Administrative Officer, or the Board of Directors. Executive's bonus for 2003 will not be prorated, and will be calculated as if Executive was employed during the full year of 2003.</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Effective on or about the Employment Date, Executive shall be granted a stock option for One Hundred Thousand (100,000) shares of common stock of Waste Management, Inc., with one-fourth (1/4) of such options vesting on each of the next four (4) anniversaries of the grant date, subject to the approval of the Compensation Committee of the Board of Directors. The exercise price shall be the fair market value on the date of grant of the option.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award, vesting, and exercise of all options shall be subject to and governed by the provisions of the applicable Waste Management, Inc. Stock Incentive Plan. Executive shall be eligible to considered for additional stock option grants under the Company's annual stock option award program as administered by, and at the discretion of, the Compensation Committee of the Board of Directors.</w:t>
      </w:r>
    </w:p>
    <w:p>
      <w:pPr>
        <w:spacing w:after="0" w:line="210" w:lineRule="exact"/>
        <w:rPr>
          <w:sz w:val="20"/>
          <w:szCs w:val="20"/>
          <w:color w:val="auto"/>
        </w:rPr>
      </w:pPr>
    </w:p>
    <w:p>
      <w:pPr>
        <w:ind w:right="1779" w:firstLine="956"/>
        <w:spacing w:after="0" w:line="238" w:lineRule="auto"/>
        <w:tabs>
          <w:tab w:leader="none" w:pos="1896"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PLANS AND VACATION. Subject to the terms of such plans, Executive shall be eligible to participate in or receive benefits under any pension plan, 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 Executive will be eligible to participate in the Company's 401(k) Plan and health and welfare benefit plans after ninety (90) days of employment. Executive will be entitled to be reimbursed for COBRA expenses incurred by Executive to continue the current health insurance for himself and his family at his existing employer from the date of commencement of employment through the initial ninety (90) day waiting period.</w:t>
      </w:r>
    </w:p>
    <w:p>
      <w:pPr>
        <w:spacing w:after="0" w:line="208"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78" w:lineRule="exact"/>
        <w:rPr>
          <w:sz w:val="20"/>
          <w:szCs w:val="20"/>
          <w:color w:val="auto"/>
        </w:rPr>
      </w:pPr>
    </w:p>
    <w:p>
      <w:pPr>
        <w:ind w:right="1779" w:firstLine="956"/>
        <w:spacing w:after="0" w:line="237" w:lineRule="auto"/>
        <w:tabs>
          <w:tab w:leader="none" w:pos="1896"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153" w:name="page154"/>
    <w:bookmarkEnd w:id="153"/>
    <w:p>
      <w:pPr>
        <w:ind w:right="1779" w:firstLine="956"/>
        <w:spacing w:after="0" w:line="237" w:lineRule="auto"/>
        <w:tabs>
          <w:tab w:leader="none" w:pos="1896"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PERQUISITES. Executive shall be entitled to all perquisites provided to Senior Vice Presidents of the Company as approved by the Compensation Committee of the Board of Directors, and as they may exist from time to time, including the following:</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212"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planning services at actual cost, and not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exceed Fifteen Thousand Dollars ($15,000.00) annually;</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Social Organization Initiation Fees and Dues with a benefit of a one time initiation fee at actual cost but not to exceed ten percent (10%) of Executive's Base Salary, and dues at actual cost but not to exceed $500 per month; and</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annual physical examination on a program designated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ind w:left="1900" w:hanging="944"/>
        <w:spacing w:after="0"/>
        <w:tabs>
          <w:tab w:leader="none" w:pos="190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Executive's employment hereunder may be terminated during the</w:t>
      </w:r>
    </w:p>
    <w:p>
      <w:pPr>
        <w:spacing w:after="0" w:line="238" w:lineRule="auto"/>
        <w:rPr>
          <w:sz w:val="20"/>
          <w:szCs w:val="20"/>
          <w:color w:val="auto"/>
        </w:rPr>
      </w:pPr>
      <w:r>
        <w:rPr>
          <w:rFonts w:ascii="Courier New" w:cs="Courier New" w:eastAsia="Courier New" w:hAnsi="Courier New"/>
          <w:sz w:val="18"/>
          <w:szCs w:val="18"/>
          <w:color w:val="auto"/>
        </w:rPr>
        <w:t>Employment Period under the following circumstances:</w:t>
      </w:r>
    </w:p>
    <w:p>
      <w:pPr>
        <w:spacing w:after="0" w:line="202" w:lineRule="exact"/>
        <w:rPr>
          <w:sz w:val="20"/>
          <w:szCs w:val="20"/>
          <w:color w:val="auto"/>
        </w:rPr>
      </w:pPr>
    </w:p>
    <w:p>
      <w:pPr>
        <w:ind w:left="1900" w:hanging="944"/>
        <w:spacing w:after="0"/>
        <w:tabs>
          <w:tab w:leader="none" w:pos="190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Executive's employment hereunder shall terminate upon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death.</w:t>
      </w:r>
    </w:p>
    <w:p>
      <w:pPr>
        <w:spacing w:after="0" w:line="207"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390" w:lineRule="exact"/>
        <w:rPr>
          <w:rFonts w:ascii="Courier New" w:cs="Courier New" w:eastAsia="Courier New" w:hAnsi="Courier New"/>
          <w:sz w:val="16"/>
          <w:szCs w:val="16"/>
          <w:color w:val="auto"/>
        </w:rPr>
      </w:pPr>
    </w:p>
    <w:p>
      <w:pPr>
        <w:ind w:right="2619" w:firstLine="956"/>
        <w:spacing w:after="0" w:line="236" w:lineRule="auto"/>
        <w:tabs>
          <w:tab w:leader="none" w:pos="1896"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 The Company may terminate Executive's employment hereunder for "Cause" at any time after providing a Notice of Termination for Cause to Executive.</w:t>
      </w:r>
    </w:p>
    <w:p>
      <w:pPr>
        <w:spacing w:after="0" w:line="209" w:lineRule="exact"/>
        <w:rPr>
          <w:sz w:val="20"/>
          <w:szCs w:val="20"/>
          <w:color w:val="auto"/>
        </w:rPr>
      </w:pPr>
    </w:p>
    <w:p>
      <w:pPr>
        <w:ind w:left="1900" w:right="1779" w:hanging="944"/>
        <w:spacing w:after="0" w:line="271" w:lineRule="auto"/>
        <w:tabs>
          <w:tab w:leader="none" w:pos="190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54" w:name="page155"/>
    <w:bookmarkEnd w:id="154"/>
    <w:p>
      <w:pPr>
        <w:jc w:val="center"/>
        <w:ind w:right="835"/>
        <w:spacing w:after="0"/>
        <w:rPr>
          <w:sz w:val="20"/>
          <w:szCs w:val="20"/>
          <w:color w:val="auto"/>
        </w:rPr>
      </w:pPr>
      <w:r>
        <w:rPr>
          <w:rFonts w:ascii="Courier New" w:cs="Courier New" w:eastAsia="Courier New" w:hAnsi="Courier New"/>
          <w:sz w:val="16"/>
          <w:szCs w:val="16"/>
          <w:color w:val="auto"/>
        </w:rPr>
        <w:t>of any statutory or common law duty of loyalty to the Company;</w:t>
      </w:r>
    </w:p>
    <w:p>
      <w:pPr>
        <w:spacing w:after="0" w:line="21" w:lineRule="exact"/>
        <w:rPr>
          <w:sz w:val="20"/>
          <w:szCs w:val="20"/>
          <w:color w:val="auto"/>
        </w:rPr>
      </w:pPr>
    </w:p>
    <w:p>
      <w:pPr>
        <w:ind w:left="944" w:right="1779" w:firstLine="4"/>
        <w:spacing w:after="0" w:line="237" w:lineRule="auto"/>
        <w:tabs>
          <w:tab w:leader="none" w:pos="1365"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convicted of, or pleaded nolo contendre to, any felony; (D) willfully or intentionally caused material injury to the Company, its property, or its assets; (E) disclosed to unauthorized person(s) proprietary or confidential information of the Company; or (F) breach of any of the covenants set forth in Section 8 hereof.</w:t>
      </w:r>
    </w:p>
    <w:p>
      <w:pPr>
        <w:spacing w:after="0" w:line="209" w:lineRule="exact"/>
        <w:rPr>
          <w:rFonts w:ascii="Courier New" w:cs="Courier New" w:eastAsia="Courier New" w:hAnsi="Courier New"/>
          <w:sz w:val="18"/>
          <w:szCs w:val="18"/>
          <w:color w:val="auto"/>
        </w:rPr>
      </w:pPr>
    </w:p>
    <w:p>
      <w:pPr>
        <w:ind w:left="944" w:right="1779" w:hanging="944"/>
        <w:spacing w:after="0" w:line="269" w:lineRule="auto"/>
        <w:tabs>
          <w:tab w:leader="none" w:pos="94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394" w:lineRule="exact"/>
        <w:rPr>
          <w:sz w:val="20"/>
          <w:szCs w:val="20"/>
          <w:color w:val="auto"/>
        </w:rPr>
      </w:pPr>
    </w:p>
    <w:p>
      <w:pPr>
        <w:jc w:val="both"/>
        <w:ind w:left="-956" w:right="2099" w:firstLine="956"/>
        <w:spacing w:after="0" w:line="236" w:lineRule="auto"/>
        <w:tabs>
          <w:tab w:leader="none" w:pos="9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Executive may terminate his employment hereunder with or without Good Reason at any time upon written notice to the Company.</w:t>
      </w:r>
    </w:p>
    <w:p>
      <w:pPr>
        <w:spacing w:after="0" w:line="209" w:lineRule="exact"/>
        <w:rPr>
          <w:sz w:val="20"/>
          <w:szCs w:val="20"/>
          <w:color w:val="auto"/>
        </w:rPr>
      </w:pPr>
    </w:p>
    <w:p>
      <w:pPr>
        <w:ind w:left="944" w:right="1779" w:hanging="944"/>
        <w:spacing w:after="0" w:line="269" w:lineRule="auto"/>
        <w:tabs>
          <w:tab w:leader="none" w:pos="94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 Executive's illness or other absence); provided that if the Company becomes a fifty percent or more subsidiary of any other entity, Executive shall be deemed to have a substantial change in the core duties of his position unless he is also Senior Vice-President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w:t>
      </w:r>
    </w:p>
    <w:p>
      <w:pPr>
        <w:spacing w:after="0" w:line="200" w:lineRule="exact"/>
        <w:rPr>
          <w:sz w:val="20"/>
          <w:szCs w:val="20"/>
          <w:color w:val="auto"/>
        </w:rPr>
      </w:pPr>
    </w:p>
    <w:p>
      <w:pPr>
        <w:spacing w:after="0" w:line="388"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723" w:right="1440" w:bottom="1440" w:gutter="0" w:footer="0" w:header="0"/>
        </w:sectPr>
      </w:pPr>
    </w:p>
    <w:bookmarkStart w:id="155" w:name="page156"/>
    <w:bookmarkEnd w:id="155"/>
    <w:p>
      <w:pPr>
        <w:ind w:left="1900" w:right="1879"/>
        <w:spacing w:after="0" w:line="271" w:lineRule="auto"/>
        <w:rPr>
          <w:sz w:val="20"/>
          <w:szCs w:val="20"/>
          <w:color w:val="auto"/>
        </w:rPr>
      </w:pPr>
      <w:r>
        <w:rPr>
          <w:rFonts w:ascii="Courier New" w:cs="Courier New" w:eastAsia="Courier New" w:hAnsi="Courier New"/>
          <w:sz w:val="16"/>
          <w:szCs w:val="16"/>
          <w:color w:val="auto"/>
        </w:rPr>
        <w:t>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then business office location.</w:t>
      </w:r>
    </w:p>
    <w:p>
      <w:pPr>
        <w:spacing w:after="0" w:line="188" w:lineRule="exact"/>
        <w:rPr>
          <w:sz w:val="20"/>
          <w:szCs w:val="20"/>
          <w:color w:val="auto"/>
        </w:rPr>
      </w:pPr>
    </w:p>
    <w:p>
      <w:pPr>
        <w:ind w:left="1900" w:right="1879" w:hanging="944"/>
        <w:spacing w:after="0" w:line="270" w:lineRule="auto"/>
        <w:tabs>
          <w:tab w:leader="none" w:pos="19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185" w:lineRule="exact"/>
        <w:rPr>
          <w:rFonts w:ascii="Courier New" w:cs="Courier New" w:eastAsia="Courier New" w:hAnsi="Courier New"/>
          <w:sz w:val="16"/>
          <w:szCs w:val="16"/>
          <w:color w:val="auto"/>
        </w:rPr>
      </w:pPr>
    </w:p>
    <w:p>
      <w:pPr>
        <w:ind w:left="1900"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5(d)(i)(A) or (B), the date may be five (5) business days after the giving of such notice.</w:t>
      </w:r>
    </w:p>
    <w:p>
      <w:pPr>
        <w:spacing w:after="0" w:line="208" w:lineRule="exact"/>
        <w:rPr>
          <w:sz w:val="20"/>
          <w:szCs w:val="20"/>
          <w:color w:val="auto"/>
        </w:rPr>
      </w:pPr>
    </w:p>
    <w:p>
      <w:pPr>
        <w:ind w:right="2319" w:firstLine="956"/>
        <w:spacing w:after="0" w:line="236" w:lineRule="auto"/>
        <w:tabs>
          <w:tab w:leader="none" w:pos="1896"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The Company may terminate Executive's employment hereunder without Cause at any time upon written notice to Executive.</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Upon any termination of employment for any reason, Executive shall immediately resign from all Board memberships and other positions with the Company or any of its subsidiaries held by him at such time.</w:t>
      </w:r>
    </w:p>
    <w:p>
      <w:pPr>
        <w:spacing w:after="0" w:line="202" w:lineRule="exact"/>
        <w:rPr>
          <w:sz w:val="20"/>
          <w:szCs w:val="20"/>
          <w:color w:val="auto"/>
        </w:rPr>
      </w:pPr>
    </w:p>
    <w:p>
      <w:pPr>
        <w:ind w:left="1900" w:hanging="944"/>
        <w:spacing w:after="0"/>
        <w:tabs>
          <w:tab w:leader="none" w:pos="19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FOLLOWING TERMINATION OF EMPLOYMENT.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the event that Executive's employment hereunder is terminated, Executive shall be entitled to the following compensation and benefits upon such termination:</w:t>
      </w:r>
    </w:p>
    <w:p>
      <w:pPr>
        <w:spacing w:after="0" w:line="209" w:lineRule="exact"/>
        <w:rPr>
          <w:sz w:val="20"/>
          <w:szCs w:val="20"/>
          <w:color w:val="auto"/>
        </w:rPr>
      </w:pPr>
    </w:p>
    <w:p>
      <w:pPr>
        <w:ind w:right="1879" w:firstLine="956"/>
        <w:spacing w:after="0" w:line="236"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DEATH. In the event that Executive's employment is terminated by reason of Executive's death, the Company shall pay the following amounts to Executive's beneficiary or estate:</w:t>
      </w:r>
    </w:p>
    <w:p>
      <w:pPr>
        <w:spacing w:after="0" w:line="209" w:lineRule="exact"/>
        <w:rPr>
          <w:sz w:val="20"/>
          <w:szCs w:val="20"/>
          <w:color w:val="auto"/>
        </w:rPr>
      </w:pPr>
    </w:p>
    <w:p>
      <w:pPr>
        <w:ind w:left="1900" w:right="1779" w:hanging="944"/>
        <w:spacing w:after="0" w:line="271" w:lineRule="auto"/>
        <w:tabs>
          <w:tab w:leader="none" w:pos="190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185"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as determined and paid in accordance with the terms of such plans, policies and</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56" w:name="page157"/>
    <w:bookmarkEnd w:id="156"/>
    <w:p>
      <w:pPr>
        <w:ind w:left="944"/>
        <w:spacing w:after="0"/>
        <w:rPr>
          <w:sz w:val="20"/>
          <w:szCs w:val="20"/>
          <w:color w:val="auto"/>
        </w:rPr>
      </w:pPr>
      <w:r>
        <w:rPr>
          <w:rFonts w:ascii="Courier New" w:cs="Courier New" w:eastAsia="Courier New" w:hAnsi="Courier New"/>
          <w:sz w:val="18"/>
          <w:szCs w:val="18"/>
          <w:color w:val="auto"/>
        </w:rPr>
        <w:t>arrangements.</w:t>
      </w:r>
    </w:p>
    <w:p>
      <w:pPr>
        <w:spacing w:after="0" w:line="207" w:lineRule="exact"/>
        <w:rPr>
          <w:sz w:val="20"/>
          <w:szCs w:val="20"/>
          <w:color w:val="auto"/>
        </w:rPr>
      </w:pPr>
    </w:p>
    <w:p>
      <w:pPr>
        <w:ind w:left="944" w:right="1879" w:hanging="944"/>
        <w:spacing w:after="0" w:line="237" w:lineRule="auto"/>
        <w:tabs>
          <w:tab w:leader="none" w:pos="944"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211" w:lineRule="exact"/>
        <w:rPr>
          <w:rFonts w:ascii="Courier New" w:cs="Courier New" w:eastAsia="Courier New" w:hAnsi="Courier New"/>
          <w:sz w:val="18"/>
          <w:szCs w:val="18"/>
          <w:color w:val="auto"/>
        </w:rPr>
      </w:pPr>
    </w:p>
    <w:p>
      <w:pPr>
        <w:ind w:left="944" w:right="1879" w:hanging="944"/>
        <w:spacing w:after="0" w:line="237" w:lineRule="auto"/>
        <w:tabs>
          <w:tab w:leader="none" w:pos="944"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termination by reason of Executive's death, stock options previously awarded to Executive as of the date of death shall be fully vested, and Executive's estate or beneficiary shall have up to one (1) year from the date of death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214" w:lineRule="exact"/>
        <w:rPr>
          <w:sz w:val="20"/>
          <w:szCs w:val="20"/>
          <w:color w:val="auto"/>
        </w:rPr>
      </w:pPr>
    </w:p>
    <w:p>
      <w:pPr>
        <w:jc w:val="both"/>
        <w:ind w:left="-956" w:right="1999" w:firstLine="956"/>
        <w:spacing w:after="0" w:line="237" w:lineRule="auto"/>
        <w:tabs>
          <w:tab w:leader="none" w:pos="9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207" w:lineRule="exact"/>
        <w:rPr>
          <w:sz w:val="20"/>
          <w:szCs w:val="20"/>
          <w:color w:val="auto"/>
        </w:rPr>
      </w:pPr>
    </w:p>
    <w:p>
      <w:pPr>
        <w:ind w:left="944" w:right="1779" w:hanging="944"/>
        <w:spacing w:after="0" w:line="271" w:lineRule="auto"/>
        <w:tabs>
          <w:tab w:leader="none" w:pos="944"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388" w:lineRule="exact"/>
        <w:rPr>
          <w:rFonts w:ascii="Courier New" w:cs="Courier New" w:eastAsia="Courier New" w:hAnsi="Courier New"/>
          <w:sz w:val="16"/>
          <w:szCs w:val="16"/>
          <w:color w:val="auto"/>
        </w:rPr>
      </w:pPr>
    </w:p>
    <w:p>
      <w:pPr>
        <w:ind w:left="944" w:right="1779" w:hanging="944"/>
        <w:spacing w:after="0" w:line="237" w:lineRule="auto"/>
        <w:tabs>
          <w:tab w:leader="none" w:pos="94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213"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termination by reason of Executive's Total Disability, stock options previously awarded to Executive as of the date of termination shall be fully vested, and Executive or his legal guardian shall have up to one (1) year from the date of termination to exercise all such previously-awarded options, provided that in no event will any option be exercisable beyond its term. No</w:t>
      </w:r>
    </w:p>
    <w:p>
      <w:pPr>
        <w:spacing w:after="0" w:line="205"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717" w:right="1440" w:bottom="1440" w:gutter="0" w:footer="0" w:header="0"/>
        </w:sectPr>
      </w:pPr>
    </w:p>
    <w:bookmarkStart w:id="157" w:name="page158"/>
    <w:bookmarkEnd w:id="157"/>
    <w:p>
      <w:pPr>
        <w:ind w:left="944" w:right="2319"/>
        <w:spacing w:after="0" w:line="236" w:lineRule="auto"/>
        <w:rPr>
          <w:sz w:val="20"/>
          <w:szCs w:val="20"/>
          <w:color w:val="auto"/>
        </w:rPr>
      </w:pPr>
      <w:r>
        <w:rPr>
          <w:rFonts w:ascii="Courier New" w:cs="Courier New" w:eastAsia="Courier New" w:hAnsi="Courier New"/>
          <w:sz w:val="18"/>
          <w:szCs w:val="18"/>
          <w:color w:val="auto"/>
        </w:rPr>
        <w:t>stock options contemplated by this Agreement, but not yet awarded to Executive as of the time of his employment termination, shall be granted.</w:t>
      </w:r>
    </w:p>
    <w:p>
      <w:pPr>
        <w:spacing w:after="0" w:line="209" w:lineRule="exact"/>
        <w:rPr>
          <w:sz w:val="20"/>
          <w:szCs w:val="20"/>
          <w:color w:val="auto"/>
        </w:rPr>
      </w:pPr>
    </w:p>
    <w:p>
      <w:pPr>
        <w:ind w:left="-956" w:right="2199" w:firstLine="956"/>
        <w:spacing w:after="0" w:line="236" w:lineRule="auto"/>
        <w:tabs>
          <w:tab w:leader="none" w:pos="9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In the event that Executive's employment is terminated by the Company for Cause, the Company shall pay the following amounts to Executive:</w:t>
      </w:r>
    </w:p>
    <w:p>
      <w:pPr>
        <w:spacing w:after="0" w:line="209" w:lineRule="exact"/>
        <w:rPr>
          <w:sz w:val="20"/>
          <w:szCs w:val="20"/>
          <w:color w:val="auto"/>
        </w:rPr>
      </w:pPr>
    </w:p>
    <w:p>
      <w:pPr>
        <w:ind w:left="944" w:right="1879" w:hanging="944"/>
        <w:spacing w:after="0" w:line="237" w:lineRule="auto"/>
        <w:tabs>
          <w:tab w:leader="none" w:pos="944"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whether vested or not vested prior to the date of such termination of employment shall be automatically cancelled on the date of employment termination. However, it is expressly understood and agreed that Executive would have no obligation to repay or otherwise reimburse the Company for funds received as a result of Executive's having exercised any previously-vested stock options prior to his employment termination.</w:t>
      </w:r>
    </w:p>
    <w:p>
      <w:pPr>
        <w:spacing w:after="0" w:line="212" w:lineRule="exact"/>
        <w:rPr>
          <w:sz w:val="20"/>
          <w:szCs w:val="20"/>
          <w:color w:val="auto"/>
        </w:rPr>
      </w:pPr>
    </w:p>
    <w:p>
      <w:pPr>
        <w:ind w:left="-956" w:right="2319" w:firstLine="956"/>
        <w:spacing w:after="0" w:line="236" w:lineRule="auto"/>
        <w:tabs>
          <w:tab w:leader="none" w:pos="9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In the event that Executive voluntarily terminates employment other than for Good Reason, the Company shall pay the following amounts to Executive:</w:t>
      </w:r>
    </w:p>
    <w:p>
      <w:pPr>
        <w:spacing w:after="0" w:line="209" w:lineRule="exact"/>
        <w:rPr>
          <w:sz w:val="20"/>
          <w:szCs w:val="20"/>
          <w:color w:val="auto"/>
        </w:rPr>
      </w:pPr>
    </w:p>
    <w:p>
      <w:pPr>
        <w:ind w:left="944" w:right="1879" w:hanging="944"/>
        <w:spacing w:after="0" w:line="237" w:lineRule="auto"/>
        <w:tabs>
          <w:tab w:leader="none" w:pos="944"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879" w:hanging="944"/>
        <w:spacing w:after="0" w:line="271" w:lineRule="auto"/>
        <w:tabs>
          <w:tab w:leader="none" w:pos="94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 options that have not then vested shall be automatically cancelled as of that date, and Executive shall have ninety (90) days following the date of termination of employment to exercise any previously vested but unexercised options; provided that in no event will any option be exercisable beyond its term. No stock options contemplated by this Agreement, but not yet awarded to Executive as of the time of his employment termination, shall be granted.</w:t>
      </w:r>
    </w:p>
    <w:p>
      <w:pPr>
        <w:spacing w:after="0" w:line="186" w:lineRule="exact"/>
        <w:rPr>
          <w:sz w:val="20"/>
          <w:szCs w:val="20"/>
          <w:color w:val="auto"/>
        </w:rPr>
      </w:pPr>
    </w:p>
    <w:p>
      <w:pPr>
        <w:ind w:left="-956" w:right="2419" w:firstLine="956"/>
        <w:spacing w:after="0" w:line="236" w:lineRule="auto"/>
        <w:tabs>
          <w:tab w:leader="none" w:pos="9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TERMINATION BY EXECUTIVE FOR GOOD REASON. In the event that Executive's employment is terminated by the Company for</w:t>
      </w:r>
    </w:p>
    <w:p>
      <w:pPr>
        <w:spacing w:after="0" w:line="203"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722" w:right="1440" w:bottom="1440" w:gutter="0" w:footer="0" w:header="0"/>
        </w:sectPr>
      </w:pPr>
    </w:p>
    <w:bookmarkStart w:id="158" w:name="page159"/>
    <w:bookmarkEnd w:id="158"/>
    <w:p>
      <w:pPr>
        <w:ind w:right="1779"/>
        <w:spacing w:after="0" w:line="236" w:lineRule="auto"/>
        <w:rPr>
          <w:sz w:val="20"/>
          <w:szCs w:val="20"/>
          <w:color w:val="auto"/>
        </w:rPr>
      </w:pPr>
      <w:r>
        <w:rPr>
          <w:rFonts w:ascii="Courier New" w:cs="Courier New" w:eastAsia="Courier New" w:hAnsi="Courier New"/>
          <w:sz w:val="18"/>
          <w:szCs w:val="18"/>
          <w:color w:val="auto"/>
        </w:rPr>
        <w:t>reasons other than death, Total Disability or Cause, or Executive terminates his employment for Good Reason, the Company shall pay the following amounts to Executive:</w:t>
      </w:r>
    </w:p>
    <w:p>
      <w:pPr>
        <w:spacing w:after="0" w:line="209" w:lineRule="exact"/>
        <w:rPr>
          <w:sz w:val="20"/>
          <w:szCs w:val="20"/>
          <w:color w:val="auto"/>
        </w:rPr>
      </w:pPr>
    </w:p>
    <w:p>
      <w:pPr>
        <w:ind w:left="1900" w:right="1879" w:hanging="944"/>
        <w:spacing w:after="0" w:line="237" w:lineRule="auto"/>
        <w:tabs>
          <w:tab w:leader="none" w:pos="190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8" w:lineRule="exact"/>
        <w:rPr>
          <w:rFonts w:ascii="Courier New" w:cs="Courier New" w:eastAsia="Courier New" w:hAnsi="Courier New"/>
          <w:sz w:val="18"/>
          <w:szCs w:val="18"/>
          <w:color w:val="auto"/>
        </w:rPr>
      </w:pPr>
    </w:p>
    <w:p>
      <w:pPr>
        <w:jc w:val="both"/>
        <w:ind w:left="1900" w:right="2099" w:hanging="944"/>
        <w:spacing w:after="0" w:line="275" w:lineRule="auto"/>
        <w:tabs>
          <w:tab w:leader="none" w:pos="19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82"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213" w:lineRule="exact"/>
        <w:rPr>
          <w:rFonts w:ascii="Courier New" w:cs="Courier New" w:eastAsia="Courier New" w:hAnsi="Courier New"/>
          <w:sz w:val="18"/>
          <w:szCs w:val="18"/>
          <w:color w:val="auto"/>
        </w:rPr>
      </w:pPr>
    </w:p>
    <w:p>
      <w:pPr>
        <w:ind w:left="1900" w:right="1779" w:hanging="944"/>
        <w:spacing w:after="0" w:line="269" w:lineRule="auto"/>
        <w:tabs>
          <w:tab w:leader="none" w:pos="19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394"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59" w:name="page160"/>
    <w:bookmarkEnd w:id="159"/>
    <w:p>
      <w:pPr>
        <w:ind w:left="-8" w:right="1779" w:firstLine="956"/>
        <w:spacing w:after="0" w:line="237" w:lineRule="auto"/>
        <w:tabs>
          <w:tab w:leader="none" w:pos="188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211" w:lineRule="exact"/>
        <w:rPr>
          <w:rFonts w:ascii="Courier New" w:cs="Courier New" w:eastAsia="Courier New" w:hAnsi="Courier New"/>
          <w:sz w:val="18"/>
          <w:szCs w:val="18"/>
          <w:color w:val="auto"/>
        </w:rPr>
      </w:pPr>
    </w:p>
    <w:p>
      <w:pPr>
        <w:ind w:left="-8" w:right="1779" w:firstLine="956"/>
        <w:spacing w:after="0" w:line="237" w:lineRule="auto"/>
        <w:tabs>
          <w:tab w:leader="none" w:pos="188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212" w:lineRule="exact"/>
        <w:rPr>
          <w:sz w:val="20"/>
          <w:szCs w:val="20"/>
          <w:color w:val="auto"/>
        </w:rPr>
      </w:pPr>
    </w:p>
    <w:p>
      <w:pPr>
        <w:ind w:left="-8" w:right="2319" w:firstLine="956"/>
        <w:spacing w:after="0" w:line="235" w:lineRule="auto"/>
        <w:tabs>
          <w:tab w:leader="none" w:pos="1888"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BY EXECUTIVE FOR GOOD REASON AND COMPENSATION PAYABLE FOLLOWING CHANGE IN CONTROL.</w:t>
      </w:r>
    </w:p>
    <w:p>
      <w:pPr>
        <w:spacing w:after="0" w:line="208" w:lineRule="exact"/>
        <w:rPr>
          <w:sz w:val="20"/>
          <w:szCs w:val="20"/>
          <w:color w:val="auto"/>
        </w:rPr>
      </w:pPr>
    </w:p>
    <w:p>
      <w:pPr>
        <w:ind w:left="-8" w:right="1999" w:firstLine="956"/>
        <w:spacing w:after="0" w:line="268" w:lineRule="auto"/>
        <w:tabs>
          <w:tab w:leader="none" w:pos="1888"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w:t>
      </w:r>
    </w:p>
    <w:p>
      <w:pPr>
        <w:jc w:val="both"/>
        <w:ind w:left="-8" w:right="1779" w:firstLine="8"/>
        <w:spacing w:after="0" w:line="236" w:lineRule="auto"/>
        <w:tabs>
          <w:tab w:leader="none" w:pos="41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prior to such Change in Control being presumed to be in contemplation unless rebutted by clear and demonstrable evidence to the contrary), the Company shall pay the following amounts to Executive:</w:t>
      </w:r>
    </w:p>
    <w:p>
      <w:pPr>
        <w:spacing w:after="0" w:line="208" w:lineRule="exact"/>
        <w:rPr>
          <w:rFonts w:ascii="Courier New" w:cs="Courier New" w:eastAsia="Courier New" w:hAnsi="Courier New"/>
          <w:sz w:val="18"/>
          <w:szCs w:val="18"/>
          <w:color w:val="auto"/>
        </w:rPr>
      </w:pPr>
    </w:p>
    <w:p>
      <w:pPr>
        <w:ind w:left="1892" w:right="1779" w:hanging="944"/>
        <w:spacing w:after="0" w:line="237" w:lineRule="auto"/>
        <w:tabs>
          <w:tab w:leader="none" w:pos="1892"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210" w:lineRule="exact"/>
        <w:rPr>
          <w:sz w:val="20"/>
          <w:szCs w:val="20"/>
          <w:color w:val="auto"/>
        </w:rPr>
      </w:pPr>
    </w:p>
    <w:p>
      <w:pPr>
        <w:ind w:left="1892" w:right="1779" w:hanging="944"/>
        <w:spacing w:after="0" w:line="269" w:lineRule="auto"/>
        <w:tabs>
          <w:tab w:leader="none" w:pos="1892"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Section 6(e)(vi), Executive will be 100% vested in all benefits, awards, and grants (including stock option grants and all other stock awards, all of such stock options being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w:t>
      </w:r>
    </w:p>
    <w:p>
      <w:pPr>
        <w:spacing w:after="0" w:line="200" w:lineRule="exact"/>
        <w:rPr>
          <w:sz w:val="20"/>
          <w:szCs w:val="20"/>
          <w:color w:val="auto"/>
        </w:rPr>
      </w:pPr>
    </w:p>
    <w:p>
      <w:pPr>
        <w:spacing w:after="0" w:line="39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723" w:right="1440" w:bottom="1440" w:gutter="0" w:footer="0" w:header="0"/>
        </w:sectPr>
      </w:pPr>
    </w:p>
    <w:bookmarkStart w:id="160" w:name="page161"/>
    <w:bookmarkEnd w:id="160"/>
    <w:p>
      <w:pPr>
        <w:ind w:left="944" w:right="1779"/>
        <w:spacing w:after="0" w:line="236" w:lineRule="auto"/>
        <w:rPr>
          <w:sz w:val="20"/>
          <w:szCs w:val="20"/>
          <w:color w:val="auto"/>
        </w:rPr>
      </w:pPr>
      <w:r>
        <w:rPr>
          <w:rFonts w:ascii="Courier New" w:cs="Courier New" w:eastAsia="Courier New" w:hAnsi="Courier New"/>
          <w:sz w:val="18"/>
          <w:szCs w:val="18"/>
          <w:color w:val="auto"/>
        </w:rPr>
        <w:t>compensation, or to participate in any other plan, arrangement or benefit, with respect to future periods after such resignation or termination.</w:t>
      </w:r>
    </w:p>
    <w:p>
      <w:pPr>
        <w:spacing w:after="0" w:line="203" w:lineRule="exact"/>
        <w:rPr>
          <w:sz w:val="20"/>
          <w:szCs w:val="20"/>
          <w:color w:val="auto"/>
        </w:rPr>
      </w:pPr>
    </w:p>
    <w:p>
      <w:pPr>
        <w:ind w:left="944" w:hanging="944"/>
        <w:spacing w:after="0"/>
        <w:tabs>
          <w:tab w:leader="none" w:pos="944"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ADDITIONAL PAYMENTS BY THE COMPANY.</w:t>
      </w:r>
    </w:p>
    <w:p>
      <w:pPr>
        <w:spacing w:after="0" w:line="207" w:lineRule="exact"/>
        <w:rPr>
          <w:sz w:val="20"/>
          <w:szCs w:val="20"/>
          <w:color w:val="auto"/>
        </w:rPr>
      </w:pPr>
    </w:p>
    <w:p>
      <w:pPr>
        <w:ind w:left="944" w:right="1779" w:hanging="944"/>
        <w:spacing w:after="0" w:line="238" w:lineRule="auto"/>
        <w:tabs>
          <w:tab w:leader="none" w:pos="944"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210" w:lineRule="exact"/>
        <w:rPr>
          <w:rFonts w:ascii="Courier New" w:cs="Courier New" w:eastAsia="Courier New" w:hAnsi="Courier New"/>
          <w:sz w:val="18"/>
          <w:szCs w:val="18"/>
          <w:color w:val="auto"/>
        </w:rPr>
      </w:pPr>
    </w:p>
    <w:p>
      <w:pPr>
        <w:ind w:left="944" w:right="1779" w:hanging="944"/>
        <w:spacing w:after="0" w:line="269" w:lineRule="auto"/>
        <w:tabs>
          <w:tab w:leader="none" w:pos="944"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394" w:lineRule="exact"/>
        <w:rPr>
          <w:rFonts w:ascii="Courier New" w:cs="Courier New" w:eastAsia="Courier New" w:hAnsi="Courier New"/>
          <w:sz w:val="16"/>
          <w:szCs w:val="16"/>
          <w:color w:val="auto"/>
        </w:rPr>
      </w:pPr>
    </w:p>
    <w:p>
      <w:pPr>
        <w:ind w:left="944" w:right="1779" w:hanging="944"/>
        <w:spacing w:after="0" w:line="237" w:lineRule="auto"/>
        <w:tabs>
          <w:tab w:leader="none" w:pos="944"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w:t>
      </w:r>
    </w:p>
    <w:p>
      <w:pPr>
        <w:spacing w:after="0" w:line="210"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263"/>
          </w:cols>
          <w:pgMar w:left="1196" w:top="723" w:right="1440" w:bottom="1440" w:gutter="0" w:footer="0" w:header="0"/>
        </w:sectPr>
      </w:pPr>
    </w:p>
    <w:bookmarkStart w:id="161" w:name="page162"/>
    <w:bookmarkEnd w:id="161"/>
    <w:p>
      <w:pPr>
        <w:ind w:left="944" w:right="1779"/>
        <w:spacing w:after="0" w:line="269" w:lineRule="auto"/>
        <w:rPr>
          <w:sz w:val="20"/>
          <w:szCs w:val="20"/>
          <w:color w:val="auto"/>
        </w:rPr>
      </w:pPr>
      <w:r>
        <w:rPr>
          <w:rFonts w:ascii="Courier New" w:cs="Courier New" w:eastAsia="Courier New" w:hAnsi="Courier New"/>
          <w:sz w:val="16"/>
          <w:szCs w:val="16"/>
          <w:color w:val="auto"/>
        </w:rPr>
        <w:t>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0" w:lineRule="exact"/>
        <w:rPr>
          <w:sz w:val="20"/>
          <w:szCs w:val="20"/>
          <w:color w:val="auto"/>
        </w:rPr>
      </w:pPr>
    </w:p>
    <w:p>
      <w:pPr>
        <w:spacing w:after="0" w:line="395" w:lineRule="exact"/>
        <w:rPr>
          <w:sz w:val="20"/>
          <w:szCs w:val="20"/>
          <w:color w:val="auto"/>
        </w:rPr>
      </w:pPr>
    </w:p>
    <w:p>
      <w:pPr>
        <w:ind w:left="944" w:right="1779"/>
        <w:spacing w:after="0" w:line="271" w:lineRule="auto"/>
        <w:rPr>
          <w:sz w:val="20"/>
          <w:szCs w:val="20"/>
          <w:color w:val="auto"/>
        </w:rPr>
      </w:pPr>
      <w:r>
        <w:rPr>
          <w:rFonts w:ascii="Courier New" w:cs="Courier New" w:eastAsia="Courier New" w:hAnsi="Courier New"/>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84" w:lineRule="exact"/>
        <w:rPr>
          <w:sz w:val="20"/>
          <w:szCs w:val="20"/>
          <w:color w:val="auto"/>
        </w:rPr>
      </w:pPr>
    </w:p>
    <w:p>
      <w:pPr>
        <w:ind w:left="944" w:right="1779" w:hanging="944"/>
        <w:spacing w:after="0" w:line="238" w:lineRule="auto"/>
        <w:tabs>
          <w:tab w:leader="none" w:pos="944"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210"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w:t>
      </w:r>
    </w:p>
    <w:p>
      <w:pPr>
        <w:spacing w:after="0" w:line="204"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63"/>
          </w:cols>
          <w:pgMar w:left="1196" w:top="723" w:right="1440" w:bottom="1440" w:gutter="0" w:footer="0" w:header="0"/>
        </w:sectPr>
      </w:pPr>
    </w:p>
    <w:bookmarkStart w:id="162" w:name="page163"/>
    <w:bookmarkEnd w:id="162"/>
    <w:p>
      <w:pPr>
        <w:ind w:left="944" w:right="1779"/>
        <w:spacing w:after="0" w:line="237" w:lineRule="auto"/>
        <w:rPr>
          <w:sz w:val="20"/>
          <w:szCs w:val="20"/>
          <w:color w:val="auto"/>
        </w:rPr>
      </w:pPr>
      <w:r>
        <w:rPr>
          <w:rFonts w:ascii="Courier New" w:cs="Courier New" w:eastAsia="Courier New" w:hAnsi="Courier New"/>
          <w:sz w:val="18"/>
          <w:szCs w:val="18"/>
          <w:color w:val="auto"/>
        </w:rPr>
        <w:t>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216" w:lineRule="exact"/>
        <w:rPr>
          <w:sz w:val="20"/>
          <w:szCs w:val="20"/>
          <w:color w:val="auto"/>
        </w:rPr>
      </w:pPr>
    </w:p>
    <w:p>
      <w:pPr>
        <w:ind w:left="944" w:right="2519" w:hanging="944"/>
        <w:spacing w:after="0" w:line="235" w:lineRule="auto"/>
        <w:tabs>
          <w:tab w:leader="none" w:pos="944"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responsible for all charges of the Accountant.</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207" w:lineRule="exact"/>
        <w:rPr>
          <w:sz w:val="20"/>
          <w:szCs w:val="20"/>
          <w:color w:val="auto"/>
        </w:rPr>
      </w:pPr>
    </w:p>
    <w:p>
      <w:pPr>
        <w:ind w:left="-956" w:right="1879" w:firstLine="956"/>
        <w:spacing w:after="0" w:line="235" w:lineRule="auto"/>
        <w:tabs>
          <w:tab w:leader="none" w:pos="94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For purposes of this Agreement, "Change in Control" means the occurrence of any of the following events:</w:t>
      </w:r>
    </w:p>
    <w:p>
      <w:pPr>
        <w:spacing w:after="0" w:line="208" w:lineRule="exact"/>
        <w:rPr>
          <w:sz w:val="20"/>
          <w:szCs w:val="20"/>
          <w:color w:val="auto"/>
        </w:rPr>
      </w:pPr>
    </w:p>
    <w:p>
      <w:pPr>
        <w:ind w:left="944" w:right="1779" w:hanging="944"/>
        <w:spacing w:after="0" w:line="237" w:lineRule="auto"/>
        <w:tabs>
          <w:tab w:leader="none" w:pos="944"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211" w:lineRule="exact"/>
        <w:rPr>
          <w:rFonts w:ascii="Courier New" w:cs="Courier New" w:eastAsia="Courier New" w:hAnsi="Courier New"/>
          <w:sz w:val="18"/>
          <w:szCs w:val="18"/>
          <w:color w:val="auto"/>
        </w:rPr>
      </w:pPr>
    </w:p>
    <w:p>
      <w:pPr>
        <w:ind w:left="944" w:right="1779" w:hanging="944"/>
        <w:spacing w:after="0" w:line="238" w:lineRule="auto"/>
        <w:tabs>
          <w:tab w:leader="none" w:pos="944"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individuals cease for any reason to constitute a majority of the number of directors then serving: individuals who, on the Employment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Employment Date or whose appointment, election or nomination for election was previously so approved or recommended;</w:t>
      </w:r>
    </w:p>
    <w:p>
      <w:pPr>
        <w:spacing w:after="0" w:line="207" w:lineRule="exact"/>
        <w:rPr>
          <w:rFonts w:ascii="Courier New" w:cs="Courier New" w:eastAsia="Courier New" w:hAnsi="Courier New"/>
          <w:sz w:val="18"/>
          <w:szCs w:val="18"/>
          <w:color w:val="auto"/>
        </w:rPr>
      </w:pPr>
    </w:p>
    <w:p>
      <w:pPr>
        <w:ind w:left="944" w:right="1779" w:hanging="944"/>
        <w:spacing w:after="0" w:line="268" w:lineRule="auto"/>
        <w:tabs>
          <w:tab w:leader="none" w:pos="944"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w:t>
      </w:r>
    </w:p>
    <w:p>
      <w:pPr>
        <w:spacing w:after="0" w:line="1" w:lineRule="exact"/>
        <w:rPr>
          <w:rFonts w:ascii="Courier New" w:cs="Courier New" w:eastAsia="Courier New" w:hAnsi="Courier New"/>
          <w:sz w:val="16"/>
          <w:szCs w:val="16"/>
          <w:color w:val="auto"/>
        </w:rPr>
      </w:pPr>
    </w:p>
    <w:p>
      <w:pPr>
        <w:ind w:left="944" w:right="1879" w:firstLine="4"/>
        <w:spacing w:after="0" w:line="237" w:lineRule="auto"/>
        <w:tabs>
          <w:tab w:leader="none" w:pos="1365"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effected to implement a recapitalization of the Company (or similar transaction) in which no Person, directly or indirectly, acquired twenty-five percent (25%) or more of the combined voting power of the Company's then</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263"/>
          </w:cols>
          <w:pgMar w:left="1196" w:top="723" w:right="1440" w:bottom="1440" w:gutter="0" w:footer="0" w:header="0"/>
        </w:sectPr>
      </w:pPr>
    </w:p>
    <w:bookmarkStart w:id="163" w:name="page164"/>
    <w:bookmarkEnd w:id="163"/>
    <w:p>
      <w:pPr>
        <w:ind w:left="1900" w:right="2319"/>
        <w:spacing w:after="0" w:line="279" w:lineRule="auto"/>
        <w:rPr>
          <w:sz w:val="20"/>
          <w:szCs w:val="20"/>
          <w:color w:val="auto"/>
        </w:rPr>
      </w:pPr>
      <w:r>
        <w:rPr>
          <w:rFonts w:ascii="Courier New" w:cs="Courier New" w:eastAsia="Courier New" w:hAnsi="Courier New"/>
          <w:sz w:val="16"/>
          <w:szCs w:val="16"/>
          <w:color w:val="auto"/>
        </w:rPr>
        <w:t>outstanding securities (not including in the securities beneficially owned by such person any securities acquired directly from the Company or its Affiliates); or</w:t>
      </w:r>
    </w:p>
    <w:p>
      <w:pPr>
        <w:spacing w:after="0" w:line="178" w:lineRule="exact"/>
        <w:rPr>
          <w:sz w:val="20"/>
          <w:szCs w:val="20"/>
          <w:color w:val="auto"/>
        </w:rPr>
      </w:pPr>
    </w:p>
    <w:p>
      <w:pPr>
        <w:ind w:left="1900" w:right="1779" w:hanging="944"/>
        <w:spacing w:after="0" w:line="237" w:lineRule="auto"/>
        <w:tabs>
          <w:tab w:leader="none" w:pos="190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21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For purposes of this Section 7(c), the following terms shall have the following meanings:</w:t>
      </w:r>
    </w:p>
    <w:p>
      <w:pPr>
        <w:spacing w:after="0" w:line="208" w:lineRule="exact"/>
        <w:rPr>
          <w:sz w:val="20"/>
          <w:szCs w:val="20"/>
          <w:color w:val="auto"/>
        </w:rPr>
      </w:pPr>
    </w:p>
    <w:p>
      <w:pPr>
        <w:ind w:left="1900" w:right="1879" w:firstLine="4"/>
        <w:spacing w:after="0" w:line="237" w:lineRule="auto"/>
        <w:tabs>
          <w:tab w:leader="none" w:pos="2321"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shall mean an affiliate of the Company, as defined in Rule 12b-2 promulgated under Section 12 of the Securities Exchange Act of 1934, as amended from time to time (the "Exchange Act");</w:t>
      </w:r>
    </w:p>
    <w:p>
      <w:pPr>
        <w:spacing w:after="0" w:line="207" w:lineRule="exact"/>
        <w:rPr>
          <w:rFonts w:ascii="Courier New" w:cs="Courier New" w:eastAsia="Courier New" w:hAnsi="Courier New"/>
          <w:sz w:val="18"/>
          <w:szCs w:val="18"/>
          <w:color w:val="auto"/>
        </w:rPr>
      </w:pPr>
    </w:p>
    <w:p>
      <w:pPr>
        <w:ind w:left="1900" w:right="2099" w:firstLine="4"/>
        <w:spacing w:after="0" w:line="235" w:lineRule="auto"/>
        <w:tabs>
          <w:tab w:leader="none" w:pos="2427"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set forth in Rule 13d-3 under the Exchange Act;</w:t>
      </w:r>
    </w:p>
    <w:p>
      <w:pPr>
        <w:spacing w:after="0" w:line="208" w:lineRule="exact"/>
        <w:rPr>
          <w:rFonts w:ascii="Courier New" w:cs="Courier New" w:eastAsia="Courier New" w:hAnsi="Courier New"/>
          <w:sz w:val="18"/>
          <w:szCs w:val="18"/>
          <w:color w:val="auto"/>
        </w:rPr>
      </w:pPr>
    </w:p>
    <w:p>
      <w:pPr>
        <w:ind w:left="1900" w:right="1779" w:firstLine="4"/>
        <w:spacing w:after="0" w:line="270" w:lineRule="auto"/>
        <w:tabs>
          <w:tab w:leader="none" w:pos="2532"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83"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956"/>
        <w:spacing w:after="0" w:line="270" w:lineRule="auto"/>
        <w:tabs>
          <w:tab w:leader="none" w:pos="1896"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PROPERTY. All written materials, records, data, and other documents prepared or possessed by Executive during Executive's employment 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387" w:lineRule="exact"/>
        <w:rPr>
          <w:rFonts w:ascii="Courier New" w:cs="Courier New" w:eastAsia="Courier New" w:hAnsi="Courier New"/>
          <w:sz w:val="16"/>
          <w:szCs w:val="16"/>
          <w:color w:val="auto"/>
        </w:rPr>
      </w:pPr>
    </w:p>
    <w:p>
      <w:pPr>
        <w:ind w:right="1779" w:firstLine="956"/>
        <w:spacing w:after="0" w:line="236" w:lineRule="auto"/>
        <w:tabs>
          <w:tab w:leader="none" w:pos="1896"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NON-DISCLOSURE. Executive acknowledges that the business of the Company is highly competitive and that the Company has agreed to provide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8"/>
          <w:szCs w:val="18"/>
          <w:color w:val="auto"/>
        </w:rPr>
        <w:t>immediately will provide Executive with access to "Confidential Information"</w:t>
      </w:r>
    </w:p>
    <w:p>
      <w:pPr>
        <w:spacing w:after="0" w:line="238" w:lineRule="auto"/>
        <w:rPr>
          <w:sz w:val="20"/>
          <w:szCs w:val="20"/>
          <w:color w:val="auto"/>
        </w:rPr>
      </w:pPr>
      <w:r>
        <w:rPr>
          <w:rFonts w:ascii="Courier New" w:cs="Courier New" w:eastAsia="Courier New" w:hAnsi="Courier New"/>
          <w:sz w:val="18"/>
          <w:szCs w:val="18"/>
          <w:color w:val="auto"/>
        </w:rPr>
        <w:t>relating to the business of the Company and its affiliates.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also will have access to, or knowledge of, Confidential Information of third parties, such as actual and potential customers, suppliers, partners, joint venturers, investors, financing sources, and the like, of the Company and its affiliates.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215"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addition to the requirements set forth in Section 5(c)(i), Executive agrees that Executive will not after Executive's employment with the Company, make any unauthorized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65" w:name="page166"/>
    <w:bookmarkEnd w:id="165"/>
    <w:p>
      <w:pPr>
        <w:ind w:right="1879"/>
        <w:spacing w:after="0" w:line="273" w:lineRule="auto"/>
        <w:rPr>
          <w:sz w:val="20"/>
          <w:szCs w:val="20"/>
          <w:color w:val="auto"/>
        </w:rPr>
      </w:pPr>
      <w:r>
        <w:rPr>
          <w:rFonts w:ascii="Courier New" w:cs="Courier New" w:eastAsia="Courier New" w:hAnsi="Courier New"/>
          <w:sz w:val="16"/>
          <w:szCs w:val="16"/>
          <w:color w:val="auto"/>
        </w:rPr>
        <w:t>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185" w:lineRule="exact"/>
        <w:rPr>
          <w:sz w:val="20"/>
          <w:szCs w:val="20"/>
          <w:color w:val="auto"/>
        </w:rPr>
      </w:pPr>
    </w:p>
    <w:p>
      <w:pPr>
        <w:ind w:right="1779" w:firstLine="956"/>
        <w:spacing w:after="0" w:line="238" w:lineRule="auto"/>
        <w:tabs>
          <w:tab w:leader="none" w:pos="1896"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UNFAIR COMPETITION RESTRICTIONS. Upon Executive's Employment Date, the Company agrees to and shall provide Executive with immediate access to 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208" w:lineRule="exact"/>
        <w:rPr>
          <w:sz w:val="20"/>
          <w:szCs w:val="20"/>
          <w:color w:val="auto"/>
        </w:rPr>
      </w:pPr>
    </w:p>
    <w:p>
      <w:pPr>
        <w:ind w:left="1900" w:right="1879"/>
        <w:spacing w:after="0" w:line="238" w:lineRule="auto"/>
        <w:rPr>
          <w:sz w:val="20"/>
          <w:szCs w:val="20"/>
          <w:color w:val="auto"/>
        </w:rPr>
      </w:pPr>
      <w:r>
        <w:rPr>
          <w:rFonts w:ascii="Courier New" w:cs="Courier New" w:eastAsia="Courier New" w:hAnsi="Courier New"/>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66" w:name="page167"/>
    <w:bookmarkEnd w:id="166"/>
    <w:p>
      <w:pPr>
        <w:ind w:right="2199"/>
        <w:spacing w:after="0" w:line="237" w:lineRule="auto"/>
        <w:rPr>
          <w:sz w:val="20"/>
          <w:szCs w:val="20"/>
          <w:color w:val="auto"/>
        </w:rPr>
      </w:pPr>
      <w:r>
        <w:rPr>
          <w:rFonts w:ascii="Courier New" w:cs="Courier New" w:eastAsia="Courier New" w:hAnsi="Courier New"/>
          <w:sz w:val="18"/>
          <w:szCs w:val="18"/>
          <w:color w:val="auto"/>
        </w:rPr>
        <w:t>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209" w:lineRule="exact"/>
        <w:rPr>
          <w:sz w:val="20"/>
          <w:szCs w:val="20"/>
          <w:color w:val="auto"/>
        </w:rPr>
      </w:pPr>
    </w:p>
    <w:p>
      <w:pPr>
        <w:ind w:right="1779" w:firstLine="956"/>
        <w:spacing w:after="0" w:line="237" w:lineRule="auto"/>
        <w:tabs>
          <w:tab w:leader="none" w:pos="1896"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OF CUSTOMERS. For a period of two (2) years following the termination of employment for any reason, Executive will not call on, 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211" w:lineRule="exact"/>
        <w:rPr>
          <w:rFonts w:ascii="Courier New" w:cs="Courier New" w:eastAsia="Courier New" w:hAnsi="Courier New"/>
          <w:sz w:val="18"/>
          <w:szCs w:val="18"/>
          <w:color w:val="auto"/>
        </w:rPr>
      </w:pPr>
    </w:p>
    <w:p>
      <w:pPr>
        <w:ind w:right="1779" w:firstLine="956"/>
        <w:spacing w:after="0" w:line="271" w:lineRule="auto"/>
        <w:tabs>
          <w:tab w:leader="none" w:pos="1896"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OF EMPLOYEES. During Executive's employment, and for a period of two (2) years following the termination of employment for any 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187"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05" w:lineRule="exact"/>
        <w:rPr>
          <w:sz w:val="20"/>
          <w:szCs w:val="20"/>
          <w:color w:val="auto"/>
        </w:rPr>
      </w:pPr>
    </w:p>
    <w:p>
      <w:pPr>
        <w:ind w:left="1900" w:hanging="944"/>
        <w:spacing w:after="0"/>
        <w:tabs>
          <w:tab w:leader="none" w:pos="190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 OF COVENANTS.</w:t>
      </w:r>
    </w:p>
    <w:p>
      <w:pPr>
        <w:spacing w:after="0" w:line="207" w:lineRule="exact"/>
        <w:rPr>
          <w:sz w:val="20"/>
          <w:szCs w:val="20"/>
          <w:color w:val="auto"/>
        </w:rPr>
      </w:pPr>
    </w:p>
    <w:p>
      <w:pPr>
        <w:ind w:right="1879" w:firstLine="956"/>
        <w:spacing w:after="0" w:line="237" w:lineRule="auto"/>
        <w:tabs>
          <w:tab w:leader="none" w:pos="1896"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AND FORFEITURE OF COMPENSATION. Executive agrees that any breach by Executive of any of the covenants set forth in Section 8 hereof during Executive's employment by the Company, shall be grounds for immediate dismissal of Executive for Cause pursuant to Section</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5(c)(i), which shall be in addition to and not exclusive of any and all other rights and remedies the Company may have against Executive.</w:t>
      </w:r>
    </w:p>
    <w:p>
      <w:pPr>
        <w:spacing w:after="0" w:line="208" w:lineRule="exact"/>
        <w:rPr>
          <w:rFonts w:ascii="Courier New" w:cs="Courier New" w:eastAsia="Courier New" w:hAnsi="Courier New"/>
          <w:sz w:val="18"/>
          <w:szCs w:val="18"/>
          <w:color w:val="auto"/>
        </w:rPr>
      </w:pPr>
    </w:p>
    <w:p>
      <w:pPr>
        <w:ind w:right="1779" w:firstLine="956"/>
        <w:spacing w:after="0" w:line="268" w:lineRule="auto"/>
        <w:tabs>
          <w:tab w:leader="none" w:pos="1896"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w:t>
      </w:r>
    </w:p>
    <w:p>
      <w:pPr>
        <w:spacing w:after="0" w:line="1" w:lineRule="exact"/>
        <w:rPr>
          <w:rFonts w:ascii="Courier New" w:cs="Courier New" w:eastAsia="Courier New" w:hAnsi="Courier New"/>
          <w:sz w:val="16"/>
          <w:szCs w:val="16"/>
          <w:color w:val="auto"/>
        </w:rPr>
      </w:pPr>
    </w:p>
    <w:p>
      <w:pPr>
        <w:ind w:right="1999" w:firstLine="8"/>
        <w:spacing w:after="0" w:line="268" w:lineRule="auto"/>
        <w:tabs>
          <w:tab w:leader="none" w:pos="421"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injunctions, both preliminary and permanent, enjoining or restraining such breach or anticipatory breach and Executive hereby consents to the issuance thereof forthwith and without bond by any court of competent jurisdiction; and</w:t>
      </w:r>
    </w:p>
    <w:p>
      <w:pPr>
        <w:ind w:right="1879" w:firstLine="8"/>
        <w:spacing w:after="0" w:line="236" w:lineRule="auto"/>
        <w:tabs>
          <w:tab w:leader="none" w:pos="421"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67" w:name="page168"/>
    <w:bookmarkEnd w:id="167"/>
    <w:p>
      <w:pPr>
        <w:ind w:right="1779" w:firstLine="956"/>
        <w:spacing w:after="0" w:line="269" w:lineRule="auto"/>
        <w:tabs>
          <w:tab w:leader="none" w:pos="1896"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but ancillary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390" w:lineRule="exact"/>
        <w:rPr>
          <w:sz w:val="20"/>
          <w:szCs w:val="20"/>
          <w:color w:val="auto"/>
        </w:rPr>
      </w:pPr>
    </w:p>
    <w:p>
      <w:pPr>
        <w:ind w:left="1900" w:hanging="944"/>
        <w:spacing w:after="0"/>
        <w:tabs>
          <w:tab w:leader="none" w:pos="190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82" w:lineRule="exact"/>
        <w:rPr>
          <w:sz w:val="20"/>
          <w:szCs w:val="20"/>
          <w:color w:val="auto"/>
        </w:rPr>
      </w:pPr>
    </w:p>
    <w:p>
      <w:pPr>
        <w:ind w:left="1900" w:hanging="944"/>
        <w:spacing w:after="0"/>
        <w:tabs>
          <w:tab w:leader="none" w:pos="190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DISPUTES AND PAYMENT OF ATTORNEY'S FEES.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68" w:name="page169"/>
    <w:bookmarkEnd w:id="168"/>
    <w:p>
      <w:pPr>
        <w:ind w:left="1900" w:hanging="944"/>
        <w:spacing w:after="0"/>
        <w:tabs>
          <w:tab w:leader="none" w:pos="190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164" w:lineRule="exact"/>
        <w:rPr>
          <w:sz w:val="20"/>
          <w:szCs w:val="20"/>
          <w:color w:val="auto"/>
        </w:rPr>
      </w:pPr>
    </w:p>
    <w:p>
      <w:pPr>
        <w:ind w:left="1900" w:hanging="944"/>
        <w:spacing w:after="0"/>
        <w:tabs>
          <w:tab w:leader="none" w:pos="190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PAYMENTS.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208" w:lineRule="exact"/>
        <w:rPr>
          <w:sz w:val="20"/>
          <w:szCs w:val="20"/>
          <w:color w:val="auto"/>
        </w:rPr>
      </w:pPr>
    </w:p>
    <w:p>
      <w:pPr>
        <w:ind w:left="1900" w:hanging="944"/>
        <w:spacing w:after="0"/>
        <w:tabs>
          <w:tab w:leader="none" w:pos="190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203" w:lineRule="exact"/>
        <w:rPr>
          <w:sz w:val="20"/>
          <w:szCs w:val="20"/>
          <w:color w:val="auto"/>
        </w:rPr>
      </w:pPr>
    </w:p>
    <w:p>
      <w:pPr>
        <w:ind w:left="1900" w:hanging="944"/>
        <w:spacing w:after="0"/>
        <w:tabs>
          <w:tab w:leader="none" w:pos="190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3" w:lineRule="exact"/>
        <w:rPr>
          <w:sz w:val="20"/>
          <w:szCs w:val="20"/>
          <w:color w:val="auto"/>
        </w:rPr>
      </w:pPr>
    </w:p>
    <w:p>
      <w:pPr>
        <w:ind w:left="1900" w:hanging="944"/>
        <w:spacing w:after="0"/>
        <w:tabs>
          <w:tab w:leader="none" w:pos="190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169" w:name="page170"/>
    <w:bookmarkEnd w:id="169"/>
    <w:p>
      <w:pPr>
        <w:ind w:left="1900" w:hanging="944"/>
        <w:spacing w:after="0"/>
        <w:tabs>
          <w:tab w:leader="none" w:pos="190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REQUIREMENT OF TIMELY PAYMENTS.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4" w:lineRule="exact"/>
        <w:rPr>
          <w:sz w:val="20"/>
          <w:szCs w:val="20"/>
          <w:color w:val="auto"/>
        </w:rPr>
      </w:pPr>
    </w:p>
    <w:p>
      <w:pPr>
        <w:ind w:left="1900" w:hanging="944"/>
        <w:spacing w:after="0"/>
        <w:tabs>
          <w:tab w:leader="none" w:pos="190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204" w:lineRule="exact"/>
        <w:rPr>
          <w:sz w:val="20"/>
          <w:szCs w:val="20"/>
          <w:color w:val="auto"/>
        </w:rPr>
      </w:pPr>
    </w:p>
    <w:p>
      <w:pPr>
        <w:ind w:left="1900"/>
        <w:spacing w:after="0"/>
        <w:tabs>
          <w:tab w:leader="none" w:pos="3680" w:val="left"/>
        </w:tabs>
        <w:rPr>
          <w:sz w:val="20"/>
          <w:szCs w:val="20"/>
          <w:color w:val="auto"/>
        </w:rPr>
      </w:pPr>
      <w:r>
        <w:rPr>
          <w:rFonts w:ascii="Courier New" w:cs="Courier New" w:eastAsia="Courier New" w:hAnsi="Courier New"/>
          <w:sz w:val="18"/>
          <w:szCs w:val="18"/>
          <w:color w:val="auto"/>
        </w:rPr>
        <w:t>To the Company:</w:t>
      </w:r>
      <w:r>
        <w:rPr>
          <w:sz w:val="20"/>
          <w:szCs w:val="20"/>
          <w:color w:val="auto"/>
        </w:rPr>
        <w:tab/>
      </w:r>
      <w:r>
        <w:rPr>
          <w:rFonts w:ascii="Courier New" w:cs="Courier New" w:eastAsia="Courier New" w:hAnsi="Courier New"/>
          <w:sz w:val="16"/>
          <w:szCs w:val="16"/>
          <w:color w:val="auto"/>
        </w:rPr>
        <w:t>Waste Management, Inc.</w:t>
      </w:r>
    </w:p>
    <w:p>
      <w:pPr>
        <w:ind w:left="370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3700"/>
        <w:spacing w:after="0"/>
        <w:rPr>
          <w:sz w:val="20"/>
          <w:szCs w:val="20"/>
          <w:color w:val="auto"/>
        </w:rPr>
      </w:pPr>
      <w:r>
        <w:rPr>
          <w:rFonts w:ascii="Courier New" w:cs="Courier New" w:eastAsia="Courier New" w:hAnsi="Courier New"/>
          <w:sz w:val="18"/>
          <w:szCs w:val="18"/>
          <w:color w:val="auto"/>
        </w:rPr>
        <w:t>Houston, Texas 77002</w:t>
      </w:r>
    </w:p>
    <w:p>
      <w:pPr>
        <w:ind w:left="3700"/>
        <w:spacing w:after="0" w:line="237" w:lineRule="auto"/>
        <w:rPr>
          <w:sz w:val="20"/>
          <w:szCs w:val="20"/>
          <w:color w:val="auto"/>
        </w:rPr>
      </w:pPr>
      <w:r>
        <w:rPr>
          <w:rFonts w:ascii="Courier New" w:cs="Courier New" w:eastAsia="Courier New" w:hAnsi="Courier New"/>
          <w:sz w:val="18"/>
          <w:szCs w:val="18"/>
          <w:color w:val="auto"/>
        </w:rPr>
        <w:t>Attention: Corporate Secretary</w:t>
      </w:r>
    </w:p>
    <w:p>
      <w:pPr>
        <w:spacing w:after="0" w:line="202" w:lineRule="exact"/>
        <w:rPr>
          <w:sz w:val="20"/>
          <w:szCs w:val="20"/>
          <w:color w:val="auto"/>
        </w:rPr>
      </w:pPr>
    </w:p>
    <w:p>
      <w:pPr>
        <w:jc w:val="right"/>
        <w:ind w:right="1779"/>
        <w:spacing w:after="0"/>
        <w:tabs>
          <w:tab w:leader="none" w:pos="4720" w:val="left"/>
        </w:tabs>
        <w:rPr>
          <w:sz w:val="20"/>
          <w:szCs w:val="20"/>
          <w:color w:val="auto"/>
        </w:rPr>
      </w:pPr>
      <w:r>
        <w:rPr>
          <w:rFonts w:ascii="Courier New" w:cs="Courier New" w:eastAsia="Courier New" w:hAnsi="Courier New"/>
          <w:sz w:val="18"/>
          <w:szCs w:val="18"/>
          <w:color w:val="auto"/>
        </w:rPr>
        <w:t>To Executive:</w:t>
      </w:r>
      <w:r>
        <w:rPr>
          <w:sz w:val="20"/>
          <w:szCs w:val="20"/>
          <w:color w:val="auto"/>
        </w:rPr>
        <w:tab/>
      </w:r>
      <w:r>
        <w:rPr>
          <w:rFonts w:ascii="Courier New" w:cs="Courier New" w:eastAsia="Courier New" w:hAnsi="Courier New"/>
          <w:sz w:val="16"/>
          <w:szCs w:val="16"/>
          <w:color w:val="auto"/>
        </w:rPr>
        <w:t>At the address for Executive set forth below.</w:t>
      </w:r>
    </w:p>
    <w:p>
      <w:pPr>
        <w:spacing w:after="0" w:line="201" w:lineRule="exact"/>
        <w:rPr>
          <w:sz w:val="20"/>
          <w:szCs w:val="20"/>
          <w:color w:val="auto"/>
        </w:rPr>
      </w:pPr>
    </w:p>
    <w:p>
      <w:pPr>
        <w:ind w:left="1900" w:hanging="944"/>
        <w:spacing w:after="0"/>
        <w:tabs>
          <w:tab w:leader="none" w:pos="190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56"/>
        <w:spacing w:after="0" w:line="237" w:lineRule="auto"/>
        <w:tabs>
          <w:tab w:leader="none" w:pos="1896"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896"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are used herein for convenience of reference only and shall not affect the meaning of any provision of this Agreement.</w:t>
      </w:r>
    </w:p>
    <w:p>
      <w:pPr>
        <w:spacing w:after="0" w:line="208" w:lineRule="exact"/>
        <w:rPr>
          <w:rFonts w:ascii="Courier New" w:cs="Courier New" w:eastAsia="Courier New" w:hAnsi="Courier New"/>
          <w:sz w:val="18"/>
          <w:szCs w:val="18"/>
          <w:color w:val="auto"/>
        </w:rPr>
      </w:pPr>
    </w:p>
    <w:p>
      <w:pPr>
        <w:ind w:right="1999" w:firstLine="956"/>
        <w:spacing w:after="0" w:line="290" w:lineRule="auto"/>
        <w:tabs>
          <w:tab w:leader="none" w:pos="1896"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170" w:name="page171"/>
    <w:bookmarkEnd w:id="170"/>
    <w:p>
      <w:pPr>
        <w:ind w:right="1879" w:firstLine="956"/>
        <w:spacing w:after="0" w:line="236" w:lineRule="auto"/>
        <w:tabs>
          <w:tab w:leader="none" w:pos="1896"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so executed shall be deemed to be an original, and such counterparts will together constitute but one Agreement.</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this Agreement is EXECUTED and EFFECTIVE as of the day set forth above.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RICK L WITTENBRAKER</w:t>
      </w:r>
    </w:p>
    <w:p>
      <w:pPr>
        <w:ind w:left="4020"/>
        <w:spacing w:after="0" w:line="238" w:lineRule="auto"/>
        <w:rPr>
          <w:sz w:val="20"/>
          <w:szCs w:val="20"/>
          <w:color w:val="auto"/>
        </w:rPr>
      </w:pPr>
      <w:r>
        <w:rPr>
          <w:rFonts w:ascii="Courier New" w:cs="Courier New" w:eastAsia="Courier New" w:hAnsi="Courier New"/>
          <w:sz w:val="18"/>
          <w:szCs w:val="18"/>
          <w:color w:val="auto"/>
        </w:rPr>
        <w:t>("Executive")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Rick L Wittenbraker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Rick L Wittenbraker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WASTE MANAGEMENT, INC.</w:t>
      </w:r>
    </w:p>
    <w:p>
      <w:pPr>
        <w:ind w:left="4020"/>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Lawrence O'Donnell, III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Lawrence O'Donnell, III</w:t>
      </w:r>
    </w:p>
    <w:p>
      <w:pPr>
        <w:ind w:left="4440"/>
        <w:spacing w:after="0" w:line="238" w:lineRule="auto"/>
        <w:rPr>
          <w:sz w:val="20"/>
          <w:szCs w:val="20"/>
          <w:color w:val="auto"/>
        </w:rPr>
      </w:pPr>
      <w:r>
        <w:rPr>
          <w:rFonts w:ascii="Courier New" w:cs="Courier New" w:eastAsia="Courier New" w:hAnsi="Courier New"/>
          <w:sz w:val="18"/>
          <w:szCs w:val="18"/>
          <w:color w:val="auto"/>
        </w:rPr>
        <w:t>Executive Vice President, Operations</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Support &amp; Chief Administrative Officer</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171" w:name="page172"/>
    <w:bookmarkEnd w:id="171"/>
    <w:p>
      <w:pPr>
        <w:jc w:val="right"/>
        <w:ind w:right="1779"/>
        <w:spacing w:after="0"/>
        <w:rPr>
          <w:sz w:val="20"/>
          <w:szCs w:val="20"/>
          <w:color w:val="auto"/>
        </w:rPr>
      </w:pPr>
      <w:r>
        <w:rPr>
          <w:rFonts w:ascii="Courier New" w:cs="Courier New" w:eastAsia="Courier New" w:hAnsi="Courier New"/>
          <w:sz w:val="18"/>
          <w:szCs w:val="18"/>
          <w:color w:val="auto"/>
        </w:rPr>
        <w:t>EXHIBIT 10.31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This EMPLOYMENT AGREEMENT (the "Agreement") is made and entered into effective the 21st day of January, 2004 by and between Waste Management, Inc. (the "Company"), and JIMMY D. LaVALLEY (the "Executive").</w:t>
      </w:r>
    </w:p>
    <w:p>
      <w:pPr>
        <w:spacing w:after="0" w:line="203" w:lineRule="exact"/>
        <w:rPr>
          <w:sz w:val="20"/>
          <w:szCs w:val="20"/>
          <w:color w:val="auto"/>
        </w:rPr>
      </w:pPr>
    </w:p>
    <w:p>
      <w:pPr>
        <w:ind w:left="1900" w:hanging="944"/>
        <w:spacing w:after="0"/>
        <w:tabs>
          <w:tab w:leader="none" w:pos="190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AND TERMINATION OF PREVIOUS EMPLOYMENT AGREEMENT.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Company shall employ Executive, and Executive shall be employed by the Company upon the terms and subject to the conditions set forth in this Agreement.</w:t>
      </w:r>
    </w:p>
    <w:p>
      <w:pPr>
        <w:spacing w:after="0" w:line="203" w:lineRule="exact"/>
        <w:rPr>
          <w:sz w:val="20"/>
          <w:szCs w:val="20"/>
          <w:color w:val="auto"/>
        </w:rPr>
      </w:pPr>
    </w:p>
    <w:p>
      <w:pPr>
        <w:ind w:left="1900" w:hanging="944"/>
        <w:spacing w:after="0"/>
        <w:tabs>
          <w:tab w:leader="none" w:pos="190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EMPLOYMENT.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period of Executive's employment under this Agreement shall commence on January 21, 2004 ("Employment Date"), and shall continue for a period of two (2) years thereafter, and shall automatically be renewed for successive one (1) year periods thereafter, unless Executive's employment is terminated in accordance with Section 5 below. The period during which Executive is employed hereunder shall be referred to as the "Employment Period." This offer is subject to the successful completion of background check and drug screen.</w:t>
      </w:r>
    </w:p>
    <w:p>
      <w:pPr>
        <w:spacing w:after="0" w:line="207" w:lineRule="exact"/>
        <w:rPr>
          <w:sz w:val="20"/>
          <w:szCs w:val="20"/>
          <w:color w:val="auto"/>
        </w:rPr>
      </w:pPr>
    </w:p>
    <w:p>
      <w:pPr>
        <w:ind w:left="1900" w:hanging="944"/>
        <w:spacing w:after="0"/>
        <w:tabs>
          <w:tab w:leader="none" w:pos="190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AND RESPONSIBILITIES.</w:t>
      </w:r>
    </w:p>
    <w:p>
      <w:pPr>
        <w:spacing w:after="0" w:line="207" w:lineRule="exact"/>
        <w:rPr>
          <w:sz w:val="20"/>
          <w:szCs w:val="20"/>
          <w:color w:val="auto"/>
        </w:rPr>
      </w:pPr>
    </w:p>
    <w:p>
      <w:pPr>
        <w:ind w:right="1879" w:firstLine="956"/>
        <w:spacing w:after="0" w:line="237" w:lineRule="auto"/>
        <w:tabs>
          <w:tab w:leader="none" w:pos="1896"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serve as the Senior Vice President-People.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Operations Officer, Chief Administrative Officer, Chief Financial Officer, or other Senior executive of the Company to whom he may report, or the Board of Directors.</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8 of this Agreement), be involved in charitable and professional activities, and, with the prior written consent of the Board of Directors,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209" w:lineRule="exact"/>
        <w:rPr>
          <w:sz w:val="20"/>
          <w:szCs w:val="20"/>
          <w:color w:val="auto"/>
        </w:rPr>
      </w:pPr>
    </w:p>
    <w:p>
      <w:pPr>
        <w:ind w:left="1900" w:hanging="944"/>
        <w:spacing w:after="0"/>
        <w:tabs>
          <w:tab w:leader="none" w:pos="190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AND BENEFITS.</w:t>
      </w:r>
    </w:p>
    <w:p>
      <w:pPr>
        <w:spacing w:after="0" w:line="207" w:lineRule="exact"/>
        <w:rPr>
          <w:sz w:val="20"/>
          <w:szCs w:val="20"/>
          <w:color w:val="auto"/>
        </w:rPr>
      </w:pPr>
    </w:p>
    <w:p>
      <w:pPr>
        <w:ind w:right="1879" w:firstLine="956"/>
        <w:spacing w:after="0" w:line="237" w:lineRule="auto"/>
        <w:tabs>
          <w:tab w:leader="none" w:pos="1896"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 During the Employment Period, the Company shall pay Executive a base salary at the annual rate of THREE HUNDRED TWENTY THOUSAND DOLLARS ($320,000.00)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ectPr>
          <w:pgSz w:w="11900" w:h="16838" w:orient="portrait"/>
          <w:cols w:equalWidth="0" w:num="1">
            <w:col w:w="10219"/>
          </w:cols>
          <w:pgMar w:left="240" w:top="541" w:right="1440" w:bottom="1440" w:gutter="0" w:footer="0" w:header="0"/>
        </w:sectPr>
      </w:pPr>
    </w:p>
    <w:bookmarkStart w:id="172" w:name="page173"/>
    <w:bookmarkEnd w:id="172"/>
    <w:p>
      <w:pPr>
        <w:ind w:right="1779" w:firstLine="956"/>
        <w:spacing w:after="0" w:line="269" w:lineRule="auto"/>
        <w:tabs>
          <w:tab w:leader="none" w:pos="1896"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as established by the Compensation Committee of the Board of Directors from time to time. The Executive's target annual bonus will be Seventy-Five percent (75%) of his Base Salary in effect for such year (the "Target Bonus"), and his actual annual bonus may range from 0% to 150% (two times Target Bonus), and will be determined based upon (i) the achievement of certain corporate performance goals, as may be established and approved from time to time by the Compensation Committee of the Board of Directors, and (ii) the achievement of personal performance goals as may be established by the Company's Chief Executive Officer, President, Chief Operations Officer, Chief Administrative Officer, Chief Financial Officer, or other Senior executive of the Company to whom he may report, or the Board of Directors. Executive's bonus for 2004 will be calculated as if he had been in his position of SVP-People beginning January 1, 2004.</w:t>
      </w:r>
    </w:p>
    <w:p>
      <w:pPr>
        <w:spacing w:after="0" w:line="194"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Effective on or about the Employment Date, Executive shall be granted a stock option for Fifty Thousand (50,000) shares of common stock of Waste Management, Inc., with one-fourth (1/4) of such options vesting on each of the next four (4) anniversaries of the grant date, subject to the approval of the Compensation Committee of the Board of Directors. The exercise price shall be the fair market value on the date of grant of the option.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award, vesting, and exercise of all options shall be subject to and governed by the provisions of the applicable Waste Management, Inc. Stock Incentive Plan. Executive shall be eligible to considered for additional stock option grants under the Company's annual stock option award program as administered by, and at the discretion of, the Compensation Committee of the Board of Directors, beginning in 2005.</w:t>
      </w:r>
    </w:p>
    <w:p>
      <w:pPr>
        <w:spacing w:after="0" w:line="210" w:lineRule="exact"/>
        <w:rPr>
          <w:sz w:val="20"/>
          <w:szCs w:val="20"/>
          <w:color w:val="auto"/>
        </w:rPr>
      </w:pPr>
    </w:p>
    <w:p>
      <w:pPr>
        <w:ind w:right="1779" w:firstLine="956"/>
        <w:spacing w:after="0" w:line="237" w:lineRule="auto"/>
        <w:tabs>
          <w:tab w:leader="none" w:pos="1896"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AWARD. Effective on or about the Employment Date, the Company will grant Executive an award of 4,600 restricted shares of the Company's common stock (the "Stock") under the Waste Management, Inc. 2000 Stock Incentive Plan (the "Stock Incentive Plan") that will vest in equal installments on each of the first four (4) anniversaries of the Effective Date, subject (except as otherwise provided herein) to Executive's continuous employment with the Company through the applicable vesting date (the "Restricted Stock Grant"). The Restricted Stock Grant shall be deemed outstanding shares for all purposes and Executive shall be fully vested in any cash dividends paid therein (and non cash dividends being subject to the same forfeiture provisions as the underlying Restricted Stock Grant shares).</w:t>
      </w:r>
    </w:p>
    <w:p>
      <w:pPr>
        <w:spacing w:after="0" w:line="215" w:lineRule="exact"/>
        <w:rPr>
          <w:rFonts w:ascii="Courier New" w:cs="Courier New" w:eastAsia="Courier New" w:hAnsi="Courier New"/>
          <w:sz w:val="18"/>
          <w:szCs w:val="18"/>
          <w:color w:val="auto"/>
        </w:rPr>
      </w:pPr>
    </w:p>
    <w:p>
      <w:pPr>
        <w:ind w:right="1779" w:firstLine="956"/>
        <w:spacing w:after="0" w:line="271" w:lineRule="auto"/>
        <w:tabs>
          <w:tab w:leader="none" w:pos="1896"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AND VACATION. Subject to the terms of such plans, Executive shall be eligible to participate in or receive benefits under any pension plan, 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18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During the Employment Period, Executive shall be entitled to vacation each year in accordance with the Company's policies in effect from time to time, but in no event less than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8"/>
          <w:szCs w:val="18"/>
          <w:color w:val="auto"/>
        </w:rPr>
        <w:t>four (4) weeks paid vacation per calendar year.</w:t>
      </w:r>
    </w:p>
    <w:p>
      <w:pPr>
        <w:spacing w:after="0" w:line="207" w:lineRule="exact"/>
        <w:rPr>
          <w:sz w:val="20"/>
          <w:szCs w:val="20"/>
          <w:color w:val="auto"/>
        </w:rPr>
      </w:pPr>
    </w:p>
    <w:p>
      <w:pPr>
        <w:ind w:right="1779" w:firstLine="956"/>
        <w:spacing w:after="0" w:line="237" w:lineRule="auto"/>
        <w:tabs>
          <w:tab w:leader="none" w:pos="1896"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PERQUISITES. Executive shall be entitled to all perquisites provided to Senior Vice Presidents of the Company as approved by the Compensation Committee of the Board of Directors, and as they may exist from time to time, including the following:</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planning services at actual cost, and not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exceed Fifteen Thousand Dollars ($15,000.00) annually;</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Social Organization Initiation Fees and Dues with a</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of a one time initiation fee at actual cost but not to exceed ten percent (10%) of Executive's Base Salary, and dues at actual cost but not to exceed $500 per month; and</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annual physical examination on a program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by the Company.</w:t>
      </w:r>
    </w:p>
    <w:p>
      <w:pPr>
        <w:spacing w:after="0" w:line="202" w:lineRule="exact"/>
        <w:rPr>
          <w:sz w:val="20"/>
          <w:szCs w:val="20"/>
          <w:color w:val="auto"/>
        </w:rPr>
      </w:pPr>
    </w:p>
    <w:p>
      <w:pPr>
        <w:ind w:left="1900" w:hanging="944"/>
        <w:spacing w:after="0"/>
        <w:tabs>
          <w:tab w:leader="none" w:pos="190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Executive's employment hereunder may be terminated during the</w:t>
      </w:r>
    </w:p>
    <w:p>
      <w:pPr>
        <w:spacing w:after="0" w:line="238" w:lineRule="auto"/>
        <w:rPr>
          <w:sz w:val="20"/>
          <w:szCs w:val="20"/>
          <w:color w:val="auto"/>
        </w:rPr>
      </w:pPr>
      <w:r>
        <w:rPr>
          <w:rFonts w:ascii="Courier New" w:cs="Courier New" w:eastAsia="Courier New" w:hAnsi="Courier New"/>
          <w:sz w:val="18"/>
          <w:szCs w:val="18"/>
          <w:color w:val="auto"/>
        </w:rPr>
        <w:t>Employment Period under the following circumstances:</w:t>
      </w:r>
    </w:p>
    <w:p>
      <w:pPr>
        <w:spacing w:after="0" w:line="202" w:lineRule="exact"/>
        <w:rPr>
          <w:sz w:val="20"/>
          <w:szCs w:val="20"/>
          <w:color w:val="auto"/>
        </w:rPr>
      </w:pPr>
    </w:p>
    <w:p>
      <w:pPr>
        <w:ind w:left="1900" w:hanging="944"/>
        <w:spacing w:after="0"/>
        <w:tabs>
          <w:tab w:leader="none" w:pos="190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Executive's employment hereunder shall terminate upon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death.</w:t>
      </w:r>
    </w:p>
    <w:p>
      <w:pPr>
        <w:spacing w:after="0" w:line="207"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DISABILITY. The Company may terminate Executive's employment hereunder upon Executive becoming "Totally Disabled." For purposes of this 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390" w:lineRule="exact"/>
        <w:rPr>
          <w:rFonts w:ascii="Courier New" w:cs="Courier New" w:eastAsia="Courier New" w:hAnsi="Courier New"/>
          <w:sz w:val="16"/>
          <w:szCs w:val="16"/>
          <w:color w:val="auto"/>
        </w:rPr>
      </w:pPr>
    </w:p>
    <w:p>
      <w:pPr>
        <w:ind w:right="2619" w:firstLine="956"/>
        <w:spacing w:after="0" w:line="236" w:lineRule="auto"/>
        <w:tabs>
          <w:tab w:leader="none" w:pos="1896"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 The Company may terminate Executive's employment hereunder for "Cause" at any time after providing a Notice of Termination for Cause to Executive.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74" w:name="page175"/>
    <w:bookmarkEnd w:id="174"/>
    <w:p>
      <w:pPr>
        <w:ind w:left="944" w:right="1779" w:hanging="944"/>
        <w:spacing w:after="0" w:line="270" w:lineRule="auto"/>
        <w:tabs>
          <w:tab w:leader="none" w:pos="944"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nolo contendre to, any felony; (D) willfully or intentionally caused material injury to the Company, its property, or its assets; (E) disclosed to unauthorized person(s) proprietary or confidential information of the Company; or (F) breach of any of the covenants set forth in Section 8 hereof.</w:t>
      </w:r>
    </w:p>
    <w:p>
      <w:pPr>
        <w:spacing w:after="0" w:line="386" w:lineRule="exact"/>
        <w:rPr>
          <w:rFonts w:ascii="Courier New" w:cs="Courier New" w:eastAsia="Courier New" w:hAnsi="Courier New"/>
          <w:sz w:val="16"/>
          <w:szCs w:val="16"/>
          <w:color w:val="auto"/>
        </w:rPr>
      </w:pPr>
    </w:p>
    <w:p>
      <w:pPr>
        <w:ind w:left="944" w:right="1779" w:hanging="944"/>
        <w:spacing w:after="0" w:line="269" w:lineRule="auto"/>
        <w:tabs>
          <w:tab w:leader="none" w:pos="944"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394" w:lineRule="exact"/>
        <w:rPr>
          <w:sz w:val="20"/>
          <w:szCs w:val="20"/>
          <w:color w:val="auto"/>
        </w:rPr>
      </w:pPr>
    </w:p>
    <w:p>
      <w:pPr>
        <w:jc w:val="both"/>
        <w:ind w:left="-956" w:right="2099" w:firstLine="956"/>
        <w:spacing w:after="0" w:line="236" w:lineRule="auto"/>
        <w:tabs>
          <w:tab w:leader="none" w:pos="94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Executive may terminate his employment hereunder with or without Good Reason at any time upon written notice to the Company.</w:t>
      </w:r>
    </w:p>
    <w:p>
      <w:pPr>
        <w:spacing w:after="0" w:line="209" w:lineRule="exact"/>
        <w:rPr>
          <w:sz w:val="20"/>
          <w:szCs w:val="20"/>
          <w:color w:val="auto"/>
        </w:rPr>
      </w:pPr>
    </w:p>
    <w:p>
      <w:pPr>
        <w:ind w:left="944" w:right="1779" w:hanging="944"/>
        <w:spacing w:after="0" w:line="269" w:lineRule="auto"/>
        <w:tabs>
          <w:tab w:leader="none" w:pos="94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w:t>
      </w:r>
    </w:p>
    <w:p>
      <w:pPr>
        <w:spacing w:after="0" w:line="390"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723" w:right="1440" w:bottom="1440" w:gutter="0" w:footer="0" w:header="0"/>
        </w:sectPr>
      </w:pPr>
    </w:p>
    <w:bookmarkStart w:id="175" w:name="page176"/>
    <w:bookmarkEnd w:id="175"/>
    <w:p>
      <w:pPr>
        <w:ind w:left="1900" w:right="1779"/>
        <w:spacing w:after="0" w:line="268" w:lineRule="auto"/>
        <w:rPr>
          <w:sz w:val="20"/>
          <w:szCs w:val="20"/>
          <w:color w:val="auto"/>
        </w:rPr>
      </w:pPr>
      <w:r>
        <w:rPr>
          <w:rFonts w:ascii="Courier New" w:cs="Courier New" w:eastAsia="Courier New" w:hAnsi="Courier New"/>
          <w:sz w:val="16"/>
          <w:szCs w:val="16"/>
          <w:color w:val="auto"/>
        </w:rPr>
        <w:t>Executive's illness or other absence); provided that if the Company becomes a fifty percent or more subsidiary of any other entity, Executive shall be deemed to have a substantial change in the core duties of his position unless he is also Senior Vice-President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w:t>
      </w:r>
    </w:p>
    <w:p>
      <w:pPr>
        <w:spacing w:after="0" w:line="2" w:lineRule="exact"/>
        <w:rPr>
          <w:sz w:val="20"/>
          <w:szCs w:val="20"/>
          <w:color w:val="auto"/>
        </w:rPr>
      </w:pPr>
    </w:p>
    <w:p>
      <w:pPr>
        <w:ind w:left="1900" w:right="1779" w:firstLine="4"/>
        <w:spacing w:after="0" w:line="237" w:lineRule="auto"/>
        <w:tabs>
          <w:tab w:leader="none" w:pos="2321" w:val="left"/>
        </w:tabs>
        <w:numPr>
          <w:ilvl w:val="1"/>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then business office location.</w:t>
      </w:r>
    </w:p>
    <w:p>
      <w:pPr>
        <w:spacing w:after="0" w:line="211" w:lineRule="exact"/>
        <w:rPr>
          <w:rFonts w:ascii="Courier New" w:cs="Courier New" w:eastAsia="Courier New" w:hAnsi="Courier New"/>
          <w:sz w:val="18"/>
          <w:szCs w:val="18"/>
          <w:color w:val="auto"/>
        </w:rPr>
      </w:pPr>
    </w:p>
    <w:p>
      <w:pPr>
        <w:ind w:left="1900" w:right="1879" w:hanging="944"/>
        <w:spacing w:after="0" w:line="270" w:lineRule="auto"/>
        <w:tabs>
          <w:tab w:leader="none" w:pos="190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185" w:lineRule="exact"/>
        <w:rPr>
          <w:rFonts w:ascii="Courier New" w:cs="Courier New" w:eastAsia="Courier New" w:hAnsi="Courier New"/>
          <w:sz w:val="16"/>
          <w:szCs w:val="16"/>
          <w:color w:val="auto"/>
        </w:rPr>
      </w:pPr>
    </w:p>
    <w:p>
      <w:pPr>
        <w:ind w:left="1900"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5(d)(i)(A) or (B), the date may be five (5) business days after the giving of such notice.</w:t>
      </w:r>
    </w:p>
    <w:p>
      <w:pPr>
        <w:spacing w:after="0" w:line="208" w:lineRule="exact"/>
        <w:rPr>
          <w:sz w:val="20"/>
          <w:szCs w:val="20"/>
          <w:color w:val="auto"/>
        </w:rPr>
      </w:pPr>
    </w:p>
    <w:p>
      <w:pPr>
        <w:ind w:right="2319" w:firstLine="956"/>
        <w:spacing w:after="0" w:line="236" w:lineRule="auto"/>
        <w:tabs>
          <w:tab w:leader="none" w:pos="1896"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The Company may terminate Executive's employment hereunder without Cause at any time upon written notice to Executive.</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Upon any termination of employment for any reason, Executive shall immediately resign from all Board memberships and other positions with the Company or any of its subsidiaries held by him at such time.</w:t>
      </w:r>
    </w:p>
    <w:p>
      <w:pPr>
        <w:spacing w:after="0" w:line="202" w:lineRule="exact"/>
        <w:rPr>
          <w:sz w:val="20"/>
          <w:szCs w:val="20"/>
          <w:color w:val="auto"/>
        </w:rPr>
      </w:pPr>
    </w:p>
    <w:p>
      <w:pPr>
        <w:ind w:left="1900" w:hanging="944"/>
        <w:spacing w:after="0"/>
        <w:tabs>
          <w:tab w:leader="none" w:pos="190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FOLLOWING TERMINATION OF EMPLOYMENT.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the event that Executive's employment hereunder is terminated, Executive shall be entitled to the following compensation and benefits upon such termination:</w:t>
      </w:r>
    </w:p>
    <w:p>
      <w:pPr>
        <w:spacing w:after="0" w:line="209" w:lineRule="exact"/>
        <w:rPr>
          <w:sz w:val="20"/>
          <w:szCs w:val="20"/>
          <w:color w:val="auto"/>
        </w:rPr>
      </w:pPr>
    </w:p>
    <w:p>
      <w:pPr>
        <w:ind w:right="1879" w:firstLine="956"/>
        <w:spacing w:after="0" w:line="236" w:lineRule="auto"/>
        <w:tabs>
          <w:tab w:leader="none" w:pos="1896"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DEATH. In the event that Executive's employment is terminated by reason of Executive's death, the Company shall pay the following amounts to Executive's beneficiary or estate:</w:t>
      </w:r>
    </w:p>
    <w:p>
      <w:pPr>
        <w:spacing w:after="0" w:line="209" w:lineRule="exact"/>
        <w:rPr>
          <w:sz w:val="20"/>
          <w:szCs w:val="20"/>
          <w:color w:val="auto"/>
        </w:rPr>
      </w:pPr>
    </w:p>
    <w:p>
      <w:pPr>
        <w:ind w:left="1900" w:right="1779" w:hanging="944"/>
        <w:spacing w:after="0" w:line="237" w:lineRule="auto"/>
        <w:tabs>
          <w:tab w:leader="none" w:pos="190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76" w:name="page177"/>
    <w:bookmarkEnd w:id="176"/>
    <w:p>
      <w:pPr>
        <w:ind w:left="944" w:right="2099"/>
        <w:spacing w:after="0" w:line="236" w:lineRule="auto"/>
        <w:rPr>
          <w:sz w:val="20"/>
          <w:szCs w:val="20"/>
          <w:color w:val="auto"/>
        </w:rPr>
      </w:pPr>
      <w:r>
        <w:rPr>
          <w:rFonts w:ascii="Courier New" w:cs="Courier New" w:eastAsia="Courier New" w:hAnsi="Courier New"/>
          <w:sz w:val="18"/>
          <w:szCs w:val="18"/>
          <w:color w:val="auto"/>
        </w:rPr>
        <w:t>incentive compensation payment to the extent payments are awarded to senior executives of the Company and paid at the same time as senior executives are paid.</w:t>
      </w:r>
    </w:p>
    <w:p>
      <w:pPr>
        <w:spacing w:after="0" w:line="209" w:lineRule="exact"/>
        <w:rPr>
          <w:sz w:val="20"/>
          <w:szCs w:val="20"/>
          <w:color w:val="auto"/>
        </w:rPr>
      </w:pPr>
    </w:p>
    <w:p>
      <w:pPr>
        <w:ind w:left="944" w:right="1779" w:hanging="944"/>
        <w:spacing w:after="0" w:line="237" w:lineRule="auto"/>
        <w:tabs>
          <w:tab w:leader="none" w:pos="944"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879" w:hanging="944"/>
        <w:spacing w:after="0" w:line="237" w:lineRule="auto"/>
        <w:tabs>
          <w:tab w:leader="none" w:pos="944"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211" w:lineRule="exact"/>
        <w:rPr>
          <w:rFonts w:ascii="Courier New" w:cs="Courier New" w:eastAsia="Courier New" w:hAnsi="Courier New"/>
          <w:sz w:val="18"/>
          <w:szCs w:val="18"/>
          <w:color w:val="auto"/>
        </w:rPr>
      </w:pPr>
    </w:p>
    <w:p>
      <w:pPr>
        <w:ind w:left="944" w:right="1779" w:hanging="944"/>
        <w:spacing w:after="0" w:line="271" w:lineRule="auto"/>
        <w:tabs>
          <w:tab w:leader="none" w:pos="944"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previously awarded to Executive as of the date of death, and the Restricted Stock Grant, shall be fully vested, and Executive's estate or beneficiary shall have up to one (1) year from the date of death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388" w:lineRule="exact"/>
        <w:rPr>
          <w:sz w:val="20"/>
          <w:szCs w:val="20"/>
          <w:color w:val="auto"/>
        </w:rPr>
      </w:pPr>
    </w:p>
    <w:p>
      <w:pPr>
        <w:jc w:val="both"/>
        <w:ind w:left="-956" w:right="1999" w:firstLine="956"/>
        <w:spacing w:after="0" w:line="237" w:lineRule="auto"/>
        <w:tabs>
          <w:tab w:leader="none" w:pos="94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207" w:lineRule="exact"/>
        <w:rPr>
          <w:sz w:val="20"/>
          <w:szCs w:val="20"/>
          <w:color w:val="auto"/>
        </w:rPr>
      </w:pPr>
    </w:p>
    <w:p>
      <w:pPr>
        <w:ind w:left="944" w:right="1779" w:hanging="944"/>
        <w:spacing w:after="0" w:line="271" w:lineRule="auto"/>
        <w:tabs>
          <w:tab w:leader="none" w:pos="94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388" w:lineRule="exact"/>
        <w:rPr>
          <w:rFonts w:ascii="Courier New" w:cs="Courier New" w:eastAsia="Courier New" w:hAnsi="Courier New"/>
          <w:sz w:val="16"/>
          <w:szCs w:val="16"/>
          <w:color w:val="auto"/>
        </w:rPr>
      </w:pPr>
    </w:p>
    <w:p>
      <w:pPr>
        <w:ind w:left="944" w:right="1779" w:hanging="944"/>
        <w:spacing w:after="0" w:line="237" w:lineRule="auto"/>
        <w:tabs>
          <w:tab w:leader="none" w:pos="944"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w:t>
      </w:r>
    </w:p>
    <w:p>
      <w:pPr>
        <w:spacing w:after="0" w:line="207"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722" w:right="1440" w:bottom="1440" w:gutter="0" w:footer="0" w:header="0"/>
        </w:sectPr>
      </w:pPr>
    </w:p>
    <w:bookmarkStart w:id="177" w:name="page178"/>
    <w:bookmarkEnd w:id="177"/>
    <w:p>
      <w:pPr>
        <w:ind w:left="944" w:right="1999"/>
        <w:spacing w:after="0" w:line="235" w:lineRule="auto"/>
        <w:rPr>
          <w:sz w:val="20"/>
          <w:szCs w:val="20"/>
          <w:color w:val="auto"/>
        </w:rPr>
      </w:pPr>
      <w:r>
        <w:rPr>
          <w:rFonts w:ascii="Courier New" w:cs="Courier New" w:eastAsia="Courier New" w:hAnsi="Courier New"/>
          <w:sz w:val="18"/>
          <w:szCs w:val="18"/>
          <w:color w:val="auto"/>
        </w:rPr>
        <w:t>Executive had remained in active employment until the end of such period.</w:t>
      </w:r>
    </w:p>
    <w:p>
      <w:pPr>
        <w:spacing w:after="0" w:line="208" w:lineRule="exact"/>
        <w:rPr>
          <w:sz w:val="20"/>
          <w:szCs w:val="20"/>
          <w:color w:val="auto"/>
        </w:rPr>
      </w:pPr>
    </w:p>
    <w:p>
      <w:pPr>
        <w:ind w:left="944" w:right="1779" w:hanging="944"/>
        <w:spacing w:after="0" w:line="237" w:lineRule="auto"/>
        <w:tabs>
          <w:tab w:leader="none" w:pos="944"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termination by reason of Executive's Total Disability, stock options previously awarded to Executive as of the date of termination, and the Restricted Stock Grant, shall be fully vested, and Executive or his legal guardian shall have up to one (1) year from the date of termination to exercise all such previously-awarded options, provided that in no event will any option be exercisable beyond its term. No stock options contemplated by this Agreement, but not yet awarded to Executive as of the time of his employment termination, shall be granted.</w:t>
      </w:r>
    </w:p>
    <w:p>
      <w:pPr>
        <w:spacing w:after="0" w:line="215" w:lineRule="exact"/>
        <w:rPr>
          <w:sz w:val="20"/>
          <w:szCs w:val="20"/>
          <w:color w:val="auto"/>
        </w:rPr>
      </w:pPr>
    </w:p>
    <w:p>
      <w:pPr>
        <w:ind w:left="-956" w:right="2199" w:firstLine="956"/>
        <w:spacing w:after="0" w:line="236" w:lineRule="auto"/>
        <w:tabs>
          <w:tab w:leader="none" w:pos="94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In the event that Executive's employment is terminated by the Company for Cause, the Company shall pay the following amounts to Executive:</w:t>
      </w:r>
    </w:p>
    <w:p>
      <w:pPr>
        <w:spacing w:after="0" w:line="209" w:lineRule="exact"/>
        <w:rPr>
          <w:sz w:val="20"/>
          <w:szCs w:val="20"/>
          <w:color w:val="auto"/>
        </w:rPr>
      </w:pPr>
    </w:p>
    <w:p>
      <w:pPr>
        <w:ind w:left="944" w:right="1879" w:hanging="944"/>
        <w:spacing w:after="0" w:line="237" w:lineRule="auto"/>
        <w:tabs>
          <w:tab w:leader="none" w:pos="944"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779" w:hanging="944"/>
        <w:spacing w:after="0" w:line="272" w:lineRule="auto"/>
        <w:tabs>
          <w:tab w:leader="none" w:pos="94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whether vested or not vested prior to the date of such termination of employment, and all unvested restricted stock, shall be automatically cancelled on the date of employment termination. However, it is expressly understood and agreed that Executive would have no obligation to repay or otherwise reimburse the Company for funds received as a result of Executive's having exercised any previously-vested stock options prior to his employment termination.</w:t>
      </w:r>
    </w:p>
    <w:p>
      <w:pPr>
        <w:spacing w:after="0" w:line="385" w:lineRule="exact"/>
        <w:rPr>
          <w:sz w:val="20"/>
          <w:szCs w:val="20"/>
          <w:color w:val="auto"/>
        </w:rPr>
      </w:pPr>
    </w:p>
    <w:p>
      <w:pPr>
        <w:ind w:left="-956" w:right="2319" w:firstLine="956"/>
        <w:spacing w:after="0" w:line="236" w:lineRule="auto"/>
        <w:tabs>
          <w:tab w:leader="none" w:pos="94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In the event that Executive voluntarily terminates employment other than for Good Reason, the Company shall pay the following amounts to Executive:</w:t>
      </w:r>
    </w:p>
    <w:p>
      <w:pPr>
        <w:spacing w:after="0" w:line="209" w:lineRule="exact"/>
        <w:rPr>
          <w:sz w:val="20"/>
          <w:szCs w:val="20"/>
          <w:color w:val="auto"/>
        </w:rPr>
      </w:pPr>
    </w:p>
    <w:p>
      <w:pPr>
        <w:ind w:left="944" w:right="1879" w:hanging="944"/>
        <w:spacing w:after="0" w:line="237" w:lineRule="auto"/>
        <w:tabs>
          <w:tab w:leader="none" w:pos="944"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879" w:hanging="944"/>
        <w:spacing w:after="0" w:line="235" w:lineRule="auto"/>
        <w:tabs>
          <w:tab w:leader="none" w:pos="944"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options and any restricted stock that have not then vested shall be</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723" w:right="1440" w:bottom="1440" w:gutter="0" w:footer="0" w:header="0"/>
        </w:sectPr>
      </w:pPr>
    </w:p>
    <w:bookmarkStart w:id="178" w:name="page179"/>
    <w:bookmarkEnd w:id="178"/>
    <w:p>
      <w:pPr>
        <w:ind w:left="944" w:right="1879"/>
        <w:spacing w:after="0" w:line="271" w:lineRule="auto"/>
        <w:rPr>
          <w:sz w:val="20"/>
          <w:szCs w:val="20"/>
          <w:color w:val="auto"/>
        </w:rPr>
      </w:pPr>
      <w:r>
        <w:rPr>
          <w:rFonts w:ascii="Courier New" w:cs="Courier New" w:eastAsia="Courier New" w:hAnsi="Courier New"/>
          <w:sz w:val="16"/>
          <w:szCs w:val="16"/>
          <w:color w:val="auto"/>
        </w:rPr>
        <w:t>automatically cancelled as of that date, and Executive shall have ninety (90) days following the date of termination of employment to exercise any previously vested but unexercised options; provided that in no event will any option be exercisable beyond its term. No stock options contemplated by this Agreement, but not yet awarded to Executive as of the time of his employment termination, shall be granted.</w:t>
      </w:r>
    </w:p>
    <w:p>
      <w:pPr>
        <w:spacing w:after="0" w:line="188" w:lineRule="exact"/>
        <w:rPr>
          <w:sz w:val="20"/>
          <w:szCs w:val="20"/>
          <w:color w:val="auto"/>
        </w:rPr>
      </w:pPr>
    </w:p>
    <w:p>
      <w:pPr>
        <w:ind w:left="-956" w:right="1779" w:firstLine="956"/>
        <w:spacing w:after="0" w:line="237" w:lineRule="auto"/>
        <w:tabs>
          <w:tab w:leader="none" w:pos="9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209" w:lineRule="exact"/>
        <w:rPr>
          <w:sz w:val="20"/>
          <w:szCs w:val="20"/>
          <w:color w:val="auto"/>
        </w:rPr>
      </w:pPr>
    </w:p>
    <w:p>
      <w:pPr>
        <w:ind w:left="944" w:right="1879" w:hanging="944"/>
        <w:spacing w:after="0" w:line="237" w:lineRule="auto"/>
        <w:tabs>
          <w:tab w:leader="none" w:pos="944"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8" w:lineRule="exact"/>
        <w:rPr>
          <w:rFonts w:ascii="Courier New" w:cs="Courier New" w:eastAsia="Courier New" w:hAnsi="Courier New"/>
          <w:sz w:val="18"/>
          <w:szCs w:val="18"/>
          <w:color w:val="auto"/>
        </w:rPr>
      </w:pPr>
    </w:p>
    <w:p>
      <w:pPr>
        <w:jc w:val="both"/>
        <w:ind w:left="944" w:right="2099" w:hanging="944"/>
        <w:spacing w:after="0" w:line="275" w:lineRule="auto"/>
        <w:tabs>
          <w:tab w:leader="none" w:pos="944"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82" w:lineRule="exact"/>
        <w:rPr>
          <w:rFonts w:ascii="Courier New" w:cs="Courier New" w:eastAsia="Courier New" w:hAnsi="Courier New"/>
          <w:sz w:val="16"/>
          <w:szCs w:val="16"/>
          <w:color w:val="auto"/>
        </w:rPr>
      </w:pPr>
    </w:p>
    <w:p>
      <w:pPr>
        <w:ind w:left="944" w:right="1779" w:hanging="944"/>
        <w:spacing w:after="0" w:line="237" w:lineRule="auto"/>
        <w:tabs>
          <w:tab w:leader="none" w:pos="944"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213" w:lineRule="exact"/>
        <w:rPr>
          <w:rFonts w:ascii="Courier New" w:cs="Courier New" w:eastAsia="Courier New" w:hAnsi="Courier New"/>
          <w:sz w:val="18"/>
          <w:szCs w:val="18"/>
          <w:color w:val="auto"/>
        </w:rPr>
      </w:pPr>
    </w:p>
    <w:p>
      <w:pPr>
        <w:ind w:left="944" w:right="1779" w:hanging="944"/>
        <w:spacing w:after="0" w:line="269" w:lineRule="auto"/>
        <w:tabs>
          <w:tab w:leader="none" w:pos="944"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394" w:lineRule="exact"/>
        <w:rPr>
          <w:rFonts w:ascii="Courier New" w:cs="Courier New" w:eastAsia="Courier New" w:hAnsi="Courier New"/>
          <w:sz w:val="16"/>
          <w:szCs w:val="16"/>
          <w:color w:val="auto"/>
        </w:rPr>
      </w:pPr>
    </w:p>
    <w:p>
      <w:pPr>
        <w:ind w:left="944" w:right="1779" w:hanging="944"/>
        <w:spacing w:after="0" w:line="237" w:lineRule="auto"/>
        <w:tabs>
          <w:tab w:leader="none" w:pos="944"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eligible for a bonus or incentive compensation payment, at the same time, on the same basis, and to the same extent payments are made to senior executives of the Company, pro-rated for the fiscal year in which the Executive is</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263"/>
          </w:cols>
          <w:pgMar w:left="1196" w:top="723" w:right="1440" w:bottom="1440" w:gutter="0" w:footer="0" w:header="0"/>
        </w:sectPr>
      </w:pPr>
    </w:p>
    <w:bookmarkStart w:id="179" w:name="page180"/>
    <w:bookmarkEnd w:id="179"/>
    <w:p>
      <w:pPr>
        <w:ind w:left="1892"/>
        <w:spacing w:after="0"/>
        <w:rPr>
          <w:sz w:val="20"/>
          <w:szCs w:val="20"/>
          <w:color w:val="auto"/>
        </w:rPr>
      </w:pPr>
      <w:r>
        <w:rPr>
          <w:rFonts w:ascii="Courier New" w:cs="Courier New" w:eastAsia="Courier New" w:hAnsi="Courier New"/>
          <w:sz w:val="18"/>
          <w:szCs w:val="18"/>
          <w:color w:val="auto"/>
        </w:rPr>
        <w:t>terminated.</w:t>
      </w:r>
    </w:p>
    <w:p>
      <w:pPr>
        <w:spacing w:after="0" w:line="207" w:lineRule="exact"/>
        <w:rPr>
          <w:sz w:val="20"/>
          <w:szCs w:val="20"/>
          <w:color w:val="auto"/>
        </w:rPr>
      </w:pPr>
    </w:p>
    <w:p>
      <w:pPr>
        <w:ind w:left="1892" w:right="1779" w:hanging="944"/>
        <w:spacing w:after="0" w:line="237" w:lineRule="auto"/>
        <w:tabs>
          <w:tab w:leader="none" w:pos="1892"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211" w:lineRule="exact"/>
        <w:rPr>
          <w:sz w:val="20"/>
          <w:szCs w:val="20"/>
          <w:color w:val="auto"/>
        </w:rPr>
      </w:pPr>
    </w:p>
    <w:p>
      <w:pPr>
        <w:ind w:left="-8" w:right="1779" w:firstLine="956"/>
        <w:spacing w:after="0" w:line="237" w:lineRule="auto"/>
        <w:tabs>
          <w:tab w:leader="none" w:pos="1888"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211" w:lineRule="exact"/>
        <w:rPr>
          <w:rFonts w:ascii="Courier New" w:cs="Courier New" w:eastAsia="Courier New" w:hAnsi="Courier New"/>
          <w:sz w:val="18"/>
          <w:szCs w:val="18"/>
          <w:color w:val="auto"/>
        </w:rPr>
      </w:pPr>
    </w:p>
    <w:p>
      <w:pPr>
        <w:ind w:left="-8" w:right="1779" w:firstLine="956"/>
        <w:spacing w:after="0" w:line="237" w:lineRule="auto"/>
        <w:tabs>
          <w:tab w:leader="none" w:pos="1888"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212" w:lineRule="exact"/>
        <w:rPr>
          <w:sz w:val="20"/>
          <w:szCs w:val="20"/>
          <w:color w:val="auto"/>
        </w:rPr>
      </w:pPr>
    </w:p>
    <w:p>
      <w:pPr>
        <w:ind w:left="-8" w:right="2319" w:firstLine="956"/>
        <w:spacing w:after="0" w:line="235" w:lineRule="auto"/>
        <w:tabs>
          <w:tab w:leader="none" w:pos="1888"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BY EXECUTIVE FOR GOOD REASON AND COMPENSATION PAYABLE FOLLOWING CHANGE IN CONTROL.</w:t>
      </w:r>
    </w:p>
    <w:p>
      <w:pPr>
        <w:spacing w:after="0" w:line="208" w:lineRule="exact"/>
        <w:rPr>
          <w:sz w:val="20"/>
          <w:szCs w:val="20"/>
          <w:color w:val="auto"/>
        </w:rPr>
      </w:pPr>
    </w:p>
    <w:p>
      <w:pPr>
        <w:ind w:left="-8" w:right="1999" w:firstLine="956"/>
        <w:spacing w:after="0" w:line="268" w:lineRule="auto"/>
        <w:tabs>
          <w:tab w:leader="none" w:pos="1888"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w:t>
      </w:r>
    </w:p>
    <w:p>
      <w:pPr>
        <w:jc w:val="both"/>
        <w:ind w:left="-8" w:right="1779" w:firstLine="8"/>
        <w:spacing w:after="0" w:line="236" w:lineRule="auto"/>
        <w:tabs>
          <w:tab w:leader="none" w:pos="413"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prior to such Change in Control being presumed to be in contemplation unless rebutted by clear and demonstrable evidence to the contrary), the Company shall pay the following amounts to Executive:</w:t>
      </w:r>
    </w:p>
    <w:p>
      <w:pPr>
        <w:spacing w:after="0" w:line="208" w:lineRule="exact"/>
        <w:rPr>
          <w:rFonts w:ascii="Courier New" w:cs="Courier New" w:eastAsia="Courier New" w:hAnsi="Courier New"/>
          <w:sz w:val="18"/>
          <w:szCs w:val="18"/>
          <w:color w:val="auto"/>
        </w:rPr>
      </w:pPr>
    </w:p>
    <w:p>
      <w:pPr>
        <w:ind w:left="1892" w:right="1779" w:hanging="944"/>
        <w:spacing w:after="0" w:line="237" w:lineRule="auto"/>
        <w:tabs>
          <w:tab w:leader="none" w:pos="1892"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210" w:lineRule="exact"/>
        <w:rPr>
          <w:sz w:val="20"/>
          <w:szCs w:val="20"/>
          <w:color w:val="auto"/>
        </w:rPr>
      </w:pPr>
    </w:p>
    <w:p>
      <w:pPr>
        <w:ind w:left="1892" w:right="1879" w:hanging="944"/>
        <w:spacing w:after="0" w:line="237" w:lineRule="auto"/>
        <w:tabs>
          <w:tab w:leader="none" w:pos="1892"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Section 6(e)(vi), Executive will be 100% vested in all benefits, awards, and grants (including stock option grants and all other stock awards, all of such stock options being exercisable for three (3) years following Termination, provided that in no event will any option be exercisable beyond its term) accrued but unpaid as of the date of termination under any non-qualified pension plan,</w:t>
      </w: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717" w:right="1440" w:bottom="1440" w:gutter="0" w:footer="0" w:header="0"/>
        </w:sectPr>
      </w:pPr>
    </w:p>
    <w:bookmarkStart w:id="180" w:name="page181"/>
    <w:bookmarkEnd w:id="180"/>
    <w:p>
      <w:pPr>
        <w:ind w:left="944" w:right="1779"/>
        <w:spacing w:after="0" w:line="238" w:lineRule="auto"/>
        <w:rPr>
          <w:sz w:val="20"/>
          <w:szCs w:val="20"/>
          <w:color w:val="auto"/>
        </w:rPr>
      </w:pPr>
      <w:r>
        <w:rPr>
          <w:rFonts w:ascii="Courier New" w:cs="Courier New" w:eastAsia="Courier New" w:hAnsi="Courier New"/>
          <w:sz w:val="18"/>
          <w:szCs w:val="18"/>
          <w:color w:val="auto"/>
        </w:rPr>
        <w:t>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202" w:lineRule="exact"/>
        <w:rPr>
          <w:sz w:val="20"/>
          <w:szCs w:val="20"/>
          <w:color w:val="auto"/>
        </w:rPr>
      </w:pPr>
    </w:p>
    <w:p>
      <w:pPr>
        <w:ind w:left="944" w:hanging="944"/>
        <w:spacing w:after="0"/>
        <w:tabs>
          <w:tab w:leader="none" w:pos="944"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ADDITIONAL PAYMENTS BY THE COMPANY.</w:t>
      </w:r>
    </w:p>
    <w:p>
      <w:pPr>
        <w:spacing w:after="0" w:line="207" w:lineRule="exact"/>
        <w:rPr>
          <w:sz w:val="20"/>
          <w:szCs w:val="20"/>
          <w:color w:val="auto"/>
        </w:rPr>
      </w:pPr>
    </w:p>
    <w:p>
      <w:pPr>
        <w:ind w:left="944" w:right="1779" w:hanging="944"/>
        <w:spacing w:after="0" w:line="238" w:lineRule="auto"/>
        <w:tabs>
          <w:tab w:leader="none" w:pos="944"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210" w:lineRule="exact"/>
        <w:rPr>
          <w:rFonts w:ascii="Courier New" w:cs="Courier New" w:eastAsia="Courier New" w:hAnsi="Courier New"/>
          <w:sz w:val="18"/>
          <w:szCs w:val="18"/>
          <w:color w:val="auto"/>
        </w:rPr>
      </w:pPr>
    </w:p>
    <w:p>
      <w:pPr>
        <w:ind w:left="944" w:right="1779" w:hanging="944"/>
        <w:spacing w:after="0" w:line="269" w:lineRule="auto"/>
        <w:tabs>
          <w:tab w:leader="none" w:pos="944"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389"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263"/>
          </w:cols>
          <w:pgMar w:left="1196" w:top="723" w:right="1440" w:bottom="1440" w:gutter="0" w:footer="0" w:header="0"/>
        </w:sectPr>
      </w:pPr>
    </w:p>
    <w:bookmarkStart w:id="181" w:name="page182"/>
    <w:bookmarkEnd w:id="181"/>
    <w:p>
      <w:pPr>
        <w:ind w:left="944" w:right="1779" w:hanging="944"/>
        <w:spacing w:after="0" w:line="269" w:lineRule="auto"/>
        <w:tabs>
          <w:tab w:leader="none" w:pos="944"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944"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83" w:lineRule="exact"/>
        <w:rPr>
          <w:rFonts w:ascii="Courier New" w:cs="Courier New" w:eastAsia="Courier New" w:hAnsi="Courier New"/>
          <w:sz w:val="16"/>
          <w:szCs w:val="16"/>
          <w:color w:val="auto"/>
        </w:rPr>
      </w:pPr>
    </w:p>
    <w:p>
      <w:pPr>
        <w:ind w:left="944" w:right="1779" w:hanging="944"/>
        <w:spacing w:after="0" w:line="270" w:lineRule="auto"/>
        <w:tabs>
          <w:tab w:leader="none" w:pos="944"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w:t>
      </w:r>
    </w:p>
    <w:p>
      <w:pPr>
        <w:spacing w:after="0" w:line="38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63"/>
          </w:cols>
          <w:pgMar w:left="1196" w:top="723" w:right="1440" w:bottom="1440" w:gutter="0" w:footer="0" w:header="0"/>
        </w:sectPr>
      </w:pPr>
    </w:p>
    <w:bookmarkStart w:id="182" w:name="page183"/>
    <w:bookmarkEnd w:id="182"/>
    <w:p>
      <w:pPr>
        <w:ind w:left="944" w:right="1879"/>
        <w:spacing w:after="0" w:line="237" w:lineRule="auto"/>
        <w:rPr>
          <w:sz w:val="20"/>
          <w:szCs w:val="20"/>
          <w:color w:val="auto"/>
        </w:rPr>
      </w:pPr>
      <w:r>
        <w:rPr>
          <w:rFonts w:ascii="Courier New" w:cs="Courier New" w:eastAsia="Courier New" w:hAnsi="Courier New"/>
          <w:sz w:val="18"/>
          <w:szCs w:val="18"/>
          <w:color w:val="auto"/>
        </w:rPr>
        <w:t>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210" w:lineRule="exact"/>
        <w:rPr>
          <w:sz w:val="20"/>
          <w:szCs w:val="20"/>
          <w:color w:val="auto"/>
        </w:rPr>
      </w:pPr>
    </w:p>
    <w:p>
      <w:pPr>
        <w:ind w:left="944" w:right="1779" w:hanging="944"/>
        <w:spacing w:after="0" w:line="269" w:lineRule="auto"/>
        <w:tabs>
          <w:tab w:leader="none" w:pos="944"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396" w:lineRule="exact"/>
        <w:rPr>
          <w:rFonts w:ascii="Courier New" w:cs="Courier New" w:eastAsia="Courier New" w:hAnsi="Courier New"/>
          <w:sz w:val="16"/>
          <w:szCs w:val="16"/>
          <w:color w:val="auto"/>
        </w:rPr>
      </w:pPr>
    </w:p>
    <w:p>
      <w:pPr>
        <w:ind w:left="944" w:right="2519" w:hanging="944"/>
        <w:spacing w:after="0" w:line="235" w:lineRule="auto"/>
        <w:tabs>
          <w:tab w:leader="none" w:pos="944"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responsible for all charges of the Accountant.</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207" w:lineRule="exact"/>
        <w:rPr>
          <w:sz w:val="20"/>
          <w:szCs w:val="20"/>
          <w:color w:val="auto"/>
        </w:rPr>
      </w:pPr>
    </w:p>
    <w:p>
      <w:pPr>
        <w:ind w:left="-956" w:right="1879" w:firstLine="956"/>
        <w:spacing w:after="0" w:line="235" w:lineRule="auto"/>
        <w:tabs>
          <w:tab w:leader="none" w:pos="94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For purposes of this Agreement, "Change in Control" means the occurrence of any of the following events:</w:t>
      </w:r>
    </w:p>
    <w:p>
      <w:pPr>
        <w:spacing w:after="0" w:line="208" w:lineRule="exact"/>
        <w:rPr>
          <w:sz w:val="20"/>
          <w:szCs w:val="20"/>
          <w:color w:val="auto"/>
        </w:rPr>
      </w:pPr>
    </w:p>
    <w:p>
      <w:pPr>
        <w:ind w:left="944" w:right="1779" w:hanging="944"/>
        <w:spacing w:after="0" w:line="237" w:lineRule="auto"/>
        <w:tabs>
          <w:tab w:leader="none" w:pos="944"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211" w:lineRule="exact"/>
        <w:rPr>
          <w:rFonts w:ascii="Courier New" w:cs="Courier New" w:eastAsia="Courier New" w:hAnsi="Courier New"/>
          <w:sz w:val="18"/>
          <w:szCs w:val="18"/>
          <w:color w:val="auto"/>
        </w:rPr>
      </w:pPr>
    </w:p>
    <w:p>
      <w:pPr>
        <w:ind w:left="944" w:right="1779" w:hanging="944"/>
        <w:spacing w:after="0" w:line="238" w:lineRule="auto"/>
        <w:tabs>
          <w:tab w:leader="none" w:pos="944"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individuals cease for any reason to constitute a majority of the number of directors then serving: individuals who, on the Employment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Employment Date or whose appointment, election or nomination for election was previously so approved or recommended;</w:t>
      </w:r>
    </w:p>
    <w:p>
      <w:pPr>
        <w:spacing w:after="0" w:line="207" w:lineRule="exact"/>
        <w:rPr>
          <w:rFonts w:ascii="Courier New" w:cs="Courier New" w:eastAsia="Courier New" w:hAnsi="Courier New"/>
          <w:sz w:val="18"/>
          <w:szCs w:val="18"/>
          <w:color w:val="auto"/>
        </w:rPr>
      </w:pPr>
    </w:p>
    <w:p>
      <w:pPr>
        <w:ind w:left="944" w:right="1879" w:hanging="944"/>
        <w:spacing w:after="0" w:line="236" w:lineRule="auto"/>
        <w:tabs>
          <w:tab w:leader="none" w:pos="944"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consummated merger or consolidation of the Company or any direct or indirect subsidiary of the Company with any other corporation, other than (A) a</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263"/>
          </w:cols>
          <w:pgMar w:left="1196" w:top="723" w:right="1440" w:bottom="1440" w:gutter="0" w:footer="0" w:header="0"/>
        </w:sectPr>
      </w:pPr>
    </w:p>
    <w:bookmarkStart w:id="183" w:name="page184"/>
    <w:bookmarkEnd w:id="183"/>
    <w:p>
      <w:pPr>
        <w:ind w:left="1900" w:right="1779"/>
        <w:spacing w:after="0" w:line="270" w:lineRule="auto"/>
        <w:rPr>
          <w:sz w:val="20"/>
          <w:szCs w:val="20"/>
          <w:color w:val="auto"/>
        </w:rPr>
      </w:pPr>
      <w:r>
        <w:rPr>
          <w:rFonts w:ascii="Courier New" w:cs="Courier New" w:eastAsia="Courier New" w:hAnsi="Courier New"/>
          <w:sz w:val="16"/>
          <w:szCs w:val="16"/>
          <w:color w:val="auto"/>
        </w:rPr>
        <w:t>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387" w:lineRule="exact"/>
        <w:rPr>
          <w:sz w:val="20"/>
          <w:szCs w:val="20"/>
          <w:color w:val="auto"/>
        </w:rPr>
      </w:pPr>
    </w:p>
    <w:p>
      <w:pPr>
        <w:ind w:left="1900" w:right="1779" w:hanging="944"/>
        <w:spacing w:after="0" w:line="237" w:lineRule="auto"/>
        <w:tabs>
          <w:tab w:leader="none" w:pos="190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21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For purposes of this Section 7(c), the following terms shall have the following meanings:</w:t>
      </w:r>
    </w:p>
    <w:p>
      <w:pPr>
        <w:spacing w:after="0" w:line="208" w:lineRule="exact"/>
        <w:rPr>
          <w:sz w:val="20"/>
          <w:szCs w:val="20"/>
          <w:color w:val="auto"/>
        </w:rPr>
      </w:pPr>
    </w:p>
    <w:p>
      <w:pPr>
        <w:ind w:left="1900" w:right="1779" w:hanging="944"/>
        <w:spacing w:after="0" w:line="237" w:lineRule="auto"/>
        <w:tabs>
          <w:tab w:leader="none" w:pos="190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shall mean an affiliate of the Company, as defined in Rule 12b-2 promulgated under Section 12 of the Securities Exchange Act of 1934, as amended from time to time (the "Exchange Act");</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90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set forth in Rule 13d-3 under the Exchange Act;</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209" w:lineRule="exact"/>
        <w:rPr>
          <w:sz w:val="20"/>
          <w:szCs w:val="20"/>
          <w:color w:val="auto"/>
        </w:rPr>
      </w:pPr>
    </w:p>
    <w:p>
      <w:pPr>
        <w:ind w:left="1900" w:hanging="944"/>
        <w:spacing w:after="0"/>
        <w:tabs>
          <w:tab w:leader="none" w:pos="190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956"/>
        <w:spacing w:after="0" w:line="271" w:lineRule="auto"/>
        <w:tabs>
          <w:tab w:leader="none" w:pos="1896"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PROPERTY. All written materials, records, data, and other documents prepared or possessed by Executive during Executive's employment 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4" w:name="page185"/>
    <w:bookmarkEnd w:id="184"/>
    <w:p>
      <w:pPr>
        <w:ind w:right="1779"/>
        <w:spacing w:after="0" w:line="271" w:lineRule="auto"/>
        <w:rPr>
          <w:sz w:val="20"/>
          <w:szCs w:val="20"/>
          <w:color w:val="auto"/>
        </w:rPr>
      </w:pPr>
      <w:r>
        <w:rPr>
          <w:rFonts w:ascii="Courier New" w:cs="Courier New" w:eastAsia="Courier New" w:hAnsi="Courier New"/>
          <w:sz w:val="16"/>
          <w:szCs w:val="16"/>
          <w:color w:val="auto"/>
        </w:rPr>
        <w:t>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88" w:lineRule="exact"/>
        <w:rPr>
          <w:sz w:val="20"/>
          <w:szCs w:val="20"/>
          <w:color w:val="auto"/>
        </w:rPr>
      </w:pPr>
    </w:p>
    <w:p>
      <w:pPr>
        <w:ind w:right="1779" w:firstLine="956"/>
        <w:spacing w:after="0" w:line="237" w:lineRule="auto"/>
        <w:tabs>
          <w:tab w:leader="none" w:pos="1896"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NON-DISCLOSURE. Executive acknowledges that the business of the Company is highly competitive and that the Company has agreed to provide and immediately will provide Executive with access to "Confidential Information" relating to the business of the Company and its affiliates.</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also will have access to, or knowledge of, Confidential Information of third parties, such as actual and potential customers, suppliers, partners, joint venturers, investors, financing sources, and the like, of the Company and its affiliates.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Company also agrees to provide Executive with one or more of the following: access to Confidential Information; specialized training regarding the Company's methodologies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5" w:name="page186"/>
    <w:bookmarkEnd w:id="185"/>
    <w:p>
      <w:pPr>
        <w:ind w:right="2099"/>
        <w:spacing w:after="0" w:line="237" w:lineRule="auto"/>
        <w:rPr>
          <w:sz w:val="20"/>
          <w:szCs w:val="20"/>
          <w:color w:val="auto"/>
        </w:rPr>
      </w:pPr>
      <w:r>
        <w:rPr>
          <w:rFonts w:ascii="Courier New" w:cs="Courier New" w:eastAsia="Courier New" w:hAnsi="Courier New"/>
          <w:sz w:val="18"/>
          <w:szCs w:val="18"/>
          <w:color w:val="auto"/>
        </w:rPr>
        <w:t>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212" w:lineRule="exact"/>
        <w:rPr>
          <w:sz w:val="20"/>
          <w:szCs w:val="20"/>
          <w:color w:val="auto"/>
        </w:rPr>
      </w:pPr>
    </w:p>
    <w:p>
      <w:pPr>
        <w:ind w:right="1779" w:firstLine="956"/>
        <w:spacing w:after="0" w:line="238" w:lineRule="auto"/>
        <w:tabs>
          <w:tab w:leader="none" w:pos="1896"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UNFAIR COMPETITION RESTRICTIONS. Upon Executive's Employment Date, the Company agrees to and shall provide Executive with immediate access to 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208" w:lineRule="exact"/>
        <w:rPr>
          <w:sz w:val="20"/>
          <w:szCs w:val="20"/>
          <w:color w:val="auto"/>
        </w:rPr>
      </w:pPr>
    </w:p>
    <w:p>
      <w:pPr>
        <w:ind w:left="1900" w:right="1879"/>
        <w:spacing w:after="0" w:line="238" w:lineRule="auto"/>
        <w:rPr>
          <w:sz w:val="20"/>
          <w:szCs w:val="20"/>
          <w:color w:val="auto"/>
        </w:rPr>
      </w:pPr>
      <w:r>
        <w:rPr>
          <w:rFonts w:ascii="Courier New" w:cs="Courier New" w:eastAsia="Courier New" w:hAnsi="Courier New"/>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6" w:name="page187"/>
    <w:bookmarkEnd w:id="186"/>
    <w:p>
      <w:pPr>
        <w:ind w:right="1999"/>
        <w:spacing w:after="0" w:line="235" w:lineRule="auto"/>
        <w:rPr>
          <w:sz w:val="20"/>
          <w:szCs w:val="20"/>
          <w:color w:val="auto"/>
        </w:rPr>
      </w:pPr>
      <w:r>
        <w:rPr>
          <w:rFonts w:ascii="Courier New" w:cs="Courier New" w:eastAsia="Courier New" w:hAnsi="Courier New"/>
          <w:sz w:val="18"/>
          <w:szCs w:val="18"/>
          <w:color w:val="auto"/>
        </w:rPr>
        <w:t>restrictions are necessary to protect the Confidential Information the Company has provided to Executive.</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391" w:lineRule="exact"/>
        <w:rPr>
          <w:sz w:val="20"/>
          <w:szCs w:val="20"/>
          <w:color w:val="auto"/>
        </w:rPr>
      </w:pPr>
    </w:p>
    <w:p>
      <w:pPr>
        <w:ind w:right="1779" w:firstLine="956"/>
        <w:spacing w:after="0" w:line="237" w:lineRule="auto"/>
        <w:tabs>
          <w:tab w:leader="none" w:pos="1896"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OF CUSTOMERS. For a period of two (2) years following the termination of employment for any reason, Executive will not call on, 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211" w:lineRule="exact"/>
        <w:rPr>
          <w:rFonts w:ascii="Courier New" w:cs="Courier New" w:eastAsia="Courier New" w:hAnsi="Courier New"/>
          <w:sz w:val="18"/>
          <w:szCs w:val="18"/>
          <w:color w:val="auto"/>
        </w:rPr>
      </w:pPr>
    </w:p>
    <w:p>
      <w:pPr>
        <w:ind w:right="1779" w:firstLine="956"/>
        <w:spacing w:after="0" w:line="271" w:lineRule="auto"/>
        <w:tabs>
          <w:tab w:leader="none" w:pos="1896"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OF EMPLOYEES. During Executive's employment, and for a period of two (2) years following the termination of employment for any 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187"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05" w:lineRule="exact"/>
        <w:rPr>
          <w:sz w:val="20"/>
          <w:szCs w:val="20"/>
          <w:color w:val="auto"/>
        </w:rPr>
      </w:pPr>
    </w:p>
    <w:p>
      <w:pPr>
        <w:ind w:left="1900" w:hanging="944"/>
        <w:spacing w:after="0"/>
        <w:tabs>
          <w:tab w:leader="none" w:pos="190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 OF COVENANTS.</w:t>
      </w:r>
    </w:p>
    <w:p>
      <w:pPr>
        <w:spacing w:after="0" w:line="207" w:lineRule="exact"/>
        <w:rPr>
          <w:sz w:val="20"/>
          <w:szCs w:val="20"/>
          <w:color w:val="auto"/>
        </w:rPr>
      </w:pPr>
    </w:p>
    <w:p>
      <w:pPr>
        <w:ind w:right="1879" w:firstLine="956"/>
        <w:spacing w:after="0" w:line="237" w:lineRule="auto"/>
        <w:tabs>
          <w:tab w:leader="none" w:pos="1896"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AND FORFEITURE OF COMPENSATION. Executive agrees that any breach by Executive of any of the covenants set forth in Section 8 hereof during Executive's employment by the Company, shall be grounds for immediate dismissal of Executive for Cause pursuant to Section</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5(c)(i), which shall be in addition to and not exclusive of any and all other rights and remedies the Company may have against Executive.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or anticipatory breach of the covenants set forth in this section by Executive, Executive and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87" w:name="page188"/>
    <w:bookmarkEnd w:id="187"/>
    <w:p>
      <w:pPr>
        <w:ind w:right="1779"/>
        <w:spacing w:after="0" w:line="237" w:lineRule="auto"/>
        <w:rPr>
          <w:sz w:val="20"/>
          <w:szCs w:val="20"/>
          <w:color w:val="auto"/>
        </w:rPr>
      </w:pPr>
      <w:r>
        <w:rPr>
          <w:rFonts w:ascii="Courier New" w:cs="Courier New" w:eastAsia="Courier New" w:hAnsi="Courier New"/>
          <w:sz w:val="18"/>
          <w:szCs w:val="18"/>
          <w:color w:val="auto"/>
        </w:rPr>
        <w:t>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attorney's fees, incurred by the Company to enforce the covenants set forth in this section.</w:t>
      </w:r>
    </w:p>
    <w:p>
      <w:pPr>
        <w:spacing w:after="0" w:line="214" w:lineRule="exact"/>
        <w:rPr>
          <w:sz w:val="20"/>
          <w:szCs w:val="20"/>
          <w:color w:val="auto"/>
        </w:rPr>
      </w:pPr>
    </w:p>
    <w:p>
      <w:pPr>
        <w:ind w:right="1779" w:firstLine="956"/>
        <w:spacing w:after="0" w:line="269" w:lineRule="auto"/>
        <w:tabs>
          <w:tab w:leader="none" w:pos="1896"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but ancillary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390" w:lineRule="exact"/>
        <w:rPr>
          <w:sz w:val="20"/>
          <w:szCs w:val="20"/>
          <w:color w:val="auto"/>
        </w:rPr>
      </w:pPr>
    </w:p>
    <w:p>
      <w:pPr>
        <w:ind w:left="1900" w:hanging="944"/>
        <w:spacing w:after="0"/>
        <w:tabs>
          <w:tab w:leader="none" w:pos="190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82" w:lineRule="exact"/>
        <w:rPr>
          <w:sz w:val="20"/>
          <w:szCs w:val="20"/>
          <w:color w:val="auto"/>
        </w:rPr>
      </w:pPr>
    </w:p>
    <w:p>
      <w:pPr>
        <w:ind w:left="1900" w:hanging="944"/>
        <w:spacing w:after="0"/>
        <w:tabs>
          <w:tab w:leader="none" w:pos="190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DISPUTES AND PAYMENT OF ATTORNEY'S FEES.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88" w:name="page189"/>
    <w:bookmarkEnd w:id="188"/>
    <w:p>
      <w:pPr>
        <w:ind w:right="1779"/>
        <w:spacing w:after="0" w:line="237" w:lineRule="auto"/>
        <w:rPr>
          <w:sz w:val="20"/>
          <w:szCs w:val="20"/>
          <w:color w:val="auto"/>
        </w:rPr>
      </w:pPr>
      <w:r>
        <w:rPr>
          <w:rFonts w:ascii="Courier New" w:cs="Courier New" w:eastAsia="Courier New" w:hAnsi="Courier New"/>
          <w:sz w:val="18"/>
          <w:szCs w:val="18"/>
          <w:color w:val="auto"/>
        </w:rPr>
        <w:t>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204" w:lineRule="exact"/>
        <w:rPr>
          <w:sz w:val="20"/>
          <w:szCs w:val="20"/>
          <w:color w:val="auto"/>
        </w:rPr>
      </w:pPr>
    </w:p>
    <w:p>
      <w:pPr>
        <w:ind w:left="1900" w:hanging="944"/>
        <w:spacing w:after="0"/>
        <w:tabs>
          <w:tab w:leader="none" w:pos="190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164" w:lineRule="exact"/>
        <w:rPr>
          <w:sz w:val="20"/>
          <w:szCs w:val="20"/>
          <w:color w:val="auto"/>
        </w:rPr>
      </w:pPr>
    </w:p>
    <w:p>
      <w:pPr>
        <w:ind w:left="1900" w:hanging="944"/>
        <w:spacing w:after="0"/>
        <w:tabs>
          <w:tab w:leader="none" w:pos="190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PAYMENTS.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208" w:lineRule="exact"/>
        <w:rPr>
          <w:sz w:val="20"/>
          <w:szCs w:val="20"/>
          <w:color w:val="auto"/>
        </w:rPr>
      </w:pPr>
    </w:p>
    <w:p>
      <w:pPr>
        <w:ind w:left="1900" w:hanging="944"/>
        <w:spacing w:after="0"/>
        <w:tabs>
          <w:tab w:leader="none" w:pos="190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203" w:lineRule="exact"/>
        <w:rPr>
          <w:sz w:val="20"/>
          <w:szCs w:val="20"/>
          <w:color w:val="auto"/>
        </w:rPr>
      </w:pPr>
    </w:p>
    <w:p>
      <w:pPr>
        <w:ind w:left="1900" w:hanging="944"/>
        <w:spacing w:after="0"/>
        <w:tabs>
          <w:tab w:leader="none" w:pos="190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89" w:name="page190"/>
    <w:bookmarkEnd w:id="189"/>
    <w:p>
      <w:pPr>
        <w:ind w:left="1900" w:hanging="944"/>
        <w:spacing w:after="0"/>
        <w:tabs>
          <w:tab w:leader="none" w:pos="190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203" w:lineRule="exact"/>
        <w:rPr>
          <w:sz w:val="20"/>
          <w:szCs w:val="20"/>
          <w:color w:val="auto"/>
        </w:rPr>
      </w:pPr>
    </w:p>
    <w:p>
      <w:pPr>
        <w:ind w:left="1900" w:hanging="944"/>
        <w:spacing w:after="0"/>
        <w:tabs>
          <w:tab w:leader="none" w:pos="190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REQUIREMENT OF TIMELY PAYMENTS.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4" w:lineRule="exact"/>
        <w:rPr>
          <w:sz w:val="20"/>
          <w:szCs w:val="20"/>
          <w:color w:val="auto"/>
        </w:rPr>
      </w:pPr>
    </w:p>
    <w:p>
      <w:pPr>
        <w:ind w:left="1900" w:hanging="944"/>
        <w:spacing w:after="0"/>
        <w:tabs>
          <w:tab w:leader="none" w:pos="190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To the Company: Waste Management, Inc.</w:t>
      </w:r>
    </w:p>
    <w:p>
      <w:pPr>
        <w:ind w:left="370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3700"/>
        <w:spacing w:after="0"/>
        <w:rPr>
          <w:sz w:val="20"/>
          <w:szCs w:val="20"/>
          <w:color w:val="auto"/>
        </w:rPr>
      </w:pPr>
      <w:r>
        <w:rPr>
          <w:rFonts w:ascii="Courier New" w:cs="Courier New" w:eastAsia="Courier New" w:hAnsi="Courier New"/>
          <w:sz w:val="18"/>
          <w:szCs w:val="18"/>
          <w:color w:val="auto"/>
        </w:rPr>
        <w:t>Houston, Texas 77002</w:t>
      </w:r>
    </w:p>
    <w:p>
      <w:pPr>
        <w:ind w:left="3700"/>
        <w:spacing w:after="0" w:line="237" w:lineRule="auto"/>
        <w:rPr>
          <w:sz w:val="20"/>
          <w:szCs w:val="20"/>
          <w:color w:val="auto"/>
        </w:rPr>
      </w:pPr>
      <w:r>
        <w:rPr>
          <w:rFonts w:ascii="Courier New" w:cs="Courier New" w:eastAsia="Courier New" w:hAnsi="Courier New"/>
          <w:sz w:val="18"/>
          <w:szCs w:val="18"/>
          <w:color w:val="auto"/>
        </w:rPr>
        <w:t>Attention: Corporate Secretary</w:t>
      </w:r>
    </w:p>
    <w:p>
      <w:pPr>
        <w:spacing w:after="0" w:line="202" w:lineRule="exact"/>
        <w:rPr>
          <w:sz w:val="20"/>
          <w:szCs w:val="20"/>
          <w:color w:val="auto"/>
        </w:rPr>
      </w:pPr>
    </w:p>
    <w:p>
      <w:pPr>
        <w:jc w:val="right"/>
        <w:ind w:right="1779"/>
        <w:spacing w:after="0"/>
        <w:tabs>
          <w:tab w:leader="none" w:pos="4720" w:val="left"/>
        </w:tabs>
        <w:rPr>
          <w:sz w:val="20"/>
          <w:szCs w:val="20"/>
          <w:color w:val="auto"/>
        </w:rPr>
      </w:pPr>
      <w:r>
        <w:rPr>
          <w:rFonts w:ascii="Courier New" w:cs="Courier New" w:eastAsia="Courier New" w:hAnsi="Courier New"/>
          <w:sz w:val="18"/>
          <w:szCs w:val="18"/>
          <w:color w:val="auto"/>
        </w:rPr>
        <w:t>To Executive:</w:t>
      </w:r>
      <w:r>
        <w:rPr>
          <w:sz w:val="20"/>
          <w:szCs w:val="20"/>
          <w:color w:val="auto"/>
        </w:rPr>
        <w:tab/>
      </w:r>
      <w:r>
        <w:rPr>
          <w:rFonts w:ascii="Courier New" w:cs="Courier New" w:eastAsia="Courier New" w:hAnsi="Courier New"/>
          <w:sz w:val="16"/>
          <w:szCs w:val="16"/>
          <w:color w:val="auto"/>
        </w:rPr>
        <w:t>At the address for Executive set forth below.</w:t>
      </w:r>
    </w:p>
    <w:p>
      <w:pPr>
        <w:spacing w:after="0" w:line="201" w:lineRule="exact"/>
        <w:rPr>
          <w:sz w:val="20"/>
          <w:szCs w:val="20"/>
          <w:color w:val="auto"/>
        </w:rPr>
      </w:pPr>
    </w:p>
    <w:p>
      <w:pPr>
        <w:ind w:left="1900" w:hanging="944"/>
        <w:spacing w:after="0"/>
        <w:tabs>
          <w:tab w:leader="none" w:pos="190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56"/>
        <w:spacing w:after="0" w:line="237" w:lineRule="auto"/>
        <w:tabs>
          <w:tab w:leader="none" w:pos="1896"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190" w:name="page191"/>
    <w:bookmarkEnd w:id="190"/>
    <w:p>
      <w:pPr>
        <w:ind w:right="1879" w:firstLine="956"/>
        <w:spacing w:after="0" w:line="236" w:lineRule="auto"/>
        <w:tabs>
          <w:tab w:leader="none" w:pos="1896"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are used herein for convenience of reference only and shall not affect the meaning of any provision of this Agreement.</w:t>
      </w:r>
    </w:p>
    <w:p>
      <w:pPr>
        <w:spacing w:after="0" w:line="208" w:lineRule="exact"/>
        <w:rPr>
          <w:rFonts w:ascii="Courier New" w:cs="Courier New" w:eastAsia="Courier New" w:hAnsi="Courier New"/>
          <w:sz w:val="18"/>
          <w:szCs w:val="18"/>
          <w:color w:val="auto"/>
        </w:rPr>
      </w:pPr>
    </w:p>
    <w:p>
      <w:pPr>
        <w:ind w:right="1999" w:firstLine="956"/>
        <w:spacing w:after="0" w:line="290" w:lineRule="auto"/>
        <w:tabs>
          <w:tab w:leader="none" w:pos="1896"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169" w:lineRule="exact"/>
        <w:rPr>
          <w:rFonts w:ascii="Courier New" w:cs="Courier New" w:eastAsia="Courier New" w:hAnsi="Courier New"/>
          <w:sz w:val="16"/>
          <w:szCs w:val="16"/>
          <w:color w:val="auto"/>
        </w:rPr>
      </w:pPr>
    </w:p>
    <w:p>
      <w:pPr>
        <w:ind w:right="1879" w:firstLine="956"/>
        <w:spacing w:after="0" w:line="236" w:lineRule="auto"/>
        <w:tabs>
          <w:tab w:leader="none" w:pos="1896"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so executed shall be deemed to be an original, and such counterparts will together constitute but one Agreement.</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this Agreement is EXECUTED and EFFECTIVE as of the day set forth above.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JIMMY D. LaVALLEY</w:t>
      </w:r>
    </w:p>
    <w:p>
      <w:pPr>
        <w:ind w:left="3380"/>
        <w:spacing w:after="0" w:line="238" w:lineRule="auto"/>
        <w:rPr>
          <w:sz w:val="20"/>
          <w:szCs w:val="20"/>
          <w:color w:val="auto"/>
        </w:rPr>
      </w:pPr>
      <w:r>
        <w:rPr>
          <w:rFonts w:ascii="Courier New" w:cs="Courier New" w:eastAsia="Courier New" w:hAnsi="Courier New"/>
          <w:sz w:val="18"/>
          <w:szCs w:val="18"/>
          <w:color w:val="auto"/>
        </w:rPr>
        <w:t>("Executive")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Jimmy La Valley</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Jimmy D. LaValley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________________________________________________</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________________________________________________</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WASTE MANAGEMENT, INC.</w:t>
      </w:r>
    </w:p>
    <w:p>
      <w:pPr>
        <w:ind w:left="3380"/>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Lawrence O'Donnell, III</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Lawrence O'Donnell, III</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Executive Vice President, Operations Support</w:t>
      </w:r>
    </w:p>
    <w:p>
      <w:pPr>
        <w:spacing w:after="0" w:line="21" w:lineRule="exact"/>
        <w:rPr>
          <w:sz w:val="20"/>
          <w:szCs w:val="20"/>
          <w:color w:val="auto"/>
        </w:rPr>
      </w:pPr>
    </w:p>
    <w:p>
      <w:pPr>
        <w:ind w:left="4120" w:right="3259" w:hanging="320"/>
        <w:spacing w:after="0" w:line="470" w:lineRule="auto"/>
        <w:tabs>
          <w:tab w:leader="none" w:pos="4015"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Administrative Officer 20</w:t>
      </w:r>
    </w:p>
    <w:p>
      <w:pPr>
        <w:sectPr>
          <w:pgSz w:w="11900" w:h="16838" w:orient="portrait"/>
          <w:cols w:equalWidth="0" w:num="1">
            <w:col w:w="10219"/>
          </w:cols>
          <w:pgMar w:left="240" w:top="723" w:right="1440" w:bottom="1440" w:gutter="0" w:footer="0" w:header="0"/>
        </w:sectPr>
      </w:pPr>
    </w:p>
    <w:bookmarkStart w:id="191" w:name="page192"/>
    <w:bookmarkEnd w:id="191"/>
    <w:p>
      <w:pPr>
        <w:ind w:left="7180"/>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Years Ended December</w:t>
            </w:r>
          </w:p>
        </w:tc>
        <w:tc>
          <w:tcPr>
            <w:tcW w:w="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31,</w:t>
            </w:r>
          </w:p>
        </w:tc>
      </w:tr>
      <w:tr>
        <w:trPr>
          <w:trHeight w:val="203"/>
        </w:trPr>
        <w:tc>
          <w:tcPr>
            <w:tcW w:w="6220" w:type="dxa"/>
            <w:vAlign w:val="bottom"/>
          </w:tcPr>
          <w:p>
            <w:pPr>
              <w:spacing w:after="0"/>
              <w:rPr>
                <w:sz w:val="17"/>
                <w:szCs w:val="17"/>
                <w:color w:val="auto"/>
              </w:rPr>
            </w:pPr>
          </w:p>
        </w:tc>
        <w:tc>
          <w:tcPr>
            <w:tcW w:w="34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1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2003</w:t>
            </w:r>
          </w:p>
        </w:tc>
        <w:tc>
          <w:tcPr>
            <w:tcW w:w="420" w:type="dxa"/>
            <w:vAlign w:val="bottom"/>
          </w:tcPr>
          <w:p>
            <w:pPr>
              <w:spacing w:after="0"/>
              <w:rPr>
                <w:sz w:val="17"/>
                <w:szCs w:val="17"/>
                <w:color w:val="auto"/>
              </w:rPr>
            </w:pPr>
          </w:p>
        </w:tc>
        <w:tc>
          <w:tcPr>
            <w:tcW w:w="11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7"/>
              </w:rPr>
              <w:t>2002</w:t>
            </w:r>
          </w:p>
        </w:tc>
        <w:tc>
          <w:tcPr>
            <w:tcW w:w="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2001</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220" w:type="dxa"/>
            <w:vAlign w:val="bottom"/>
          </w:tcPr>
          <w:p>
            <w:pPr>
              <w:spacing w:after="0"/>
              <w:rPr>
                <w:sz w:val="20"/>
                <w:szCs w:val="20"/>
                <w:color w:val="auto"/>
              </w:rPr>
            </w:pPr>
            <w:r>
              <w:rPr>
                <w:rFonts w:ascii="Courier New" w:cs="Courier New" w:eastAsia="Courier New" w:hAnsi="Courier New"/>
                <w:sz w:val="18"/>
                <w:szCs w:val="18"/>
                <w:color w:val="auto"/>
              </w:rPr>
              <w:t>Income before income taxes, cumulative effect of changes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accounting principles and minority interests</w:t>
            </w: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$1,129</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$1,249</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789</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charges deducted from income:</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439</w:t>
            </w:r>
          </w:p>
        </w:tc>
        <w:tc>
          <w:tcPr>
            <w:tcW w:w="4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467</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w:t>
            </w:r>
          </w:p>
        </w:tc>
        <w:tc>
          <w:tcPr>
            <w:tcW w:w="4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508</w:t>
            </w:r>
          </w:p>
        </w:tc>
        <w:tc>
          <w:tcPr>
            <w:tcW w:w="4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533</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Earnings available for fixed charges</w:t>
            </w: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$1,637</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$1,782</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439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467</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544</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w:t>
            </w:r>
          </w:p>
        </w:tc>
        <w:tc>
          <w:tcPr>
            <w:tcW w:w="4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w:t>
            </w:r>
          </w:p>
        </w:tc>
        <w:tc>
          <w:tcPr>
            <w:tcW w:w="4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553</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fixed charges</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3.1x</w:t>
            </w:r>
          </w:p>
        </w:tc>
        <w:tc>
          <w:tcPr>
            <w:tcW w:w="420" w:type="dxa"/>
            <w:vAlign w:val="bottom"/>
          </w:tcPr>
          <w:p>
            <w:pPr>
              <w:spacing w:after="0"/>
              <w:rPr>
                <w:sz w:val="17"/>
                <w:szCs w:val="17"/>
                <w:color w:val="auto"/>
              </w:rPr>
            </w:pP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3.2x</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2.2x</w:t>
            </w:r>
          </w:p>
        </w:tc>
      </w:tr>
      <w:tr>
        <w:trPr>
          <w:trHeight w:val="203"/>
        </w:trPr>
        <w:tc>
          <w:tcPr>
            <w:tcW w:w="6220" w:type="dxa"/>
            <w:vAlign w:val="bottom"/>
          </w:tcPr>
          <w:p>
            <w:pPr>
              <w:spacing w:after="0"/>
              <w:rPr>
                <w:sz w:val="17"/>
                <w:szCs w:val="17"/>
                <w:color w:val="auto"/>
              </w:rPr>
            </w:pPr>
          </w:p>
        </w:tc>
        <w:tc>
          <w:tcPr>
            <w:tcW w:w="1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192" w:name="page193"/>
    <w:bookmarkEnd w:id="192"/>
    <w:p>
      <w:pPr>
        <w:ind w:left="83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right"/>
        <w:ind w:right="1900"/>
        <w:spacing w:after="0"/>
        <w:rPr>
          <w:sz w:val="20"/>
          <w:szCs w:val="20"/>
          <w:color w:val="auto"/>
        </w:rPr>
      </w:pPr>
      <w:r>
        <w:rPr>
          <w:rFonts w:ascii="Courier New" w:cs="Courier New" w:eastAsia="Courier New" w:hAnsi="Courier New"/>
          <w:sz w:val="18"/>
          <w:szCs w:val="18"/>
          <w:color w:val="auto"/>
        </w:rPr>
        <w:t>EXHIBIT 21.1</w:t>
      </w:r>
    </w:p>
    <w:p>
      <w:pPr>
        <w:spacing w:after="0" w:line="207"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6"/>
          <w:szCs w:val="16"/>
          <w:color w:val="auto"/>
        </w:rPr>
        <w:t>WASTE MANAGEMENT, INC.</w:t>
      </w:r>
    </w:p>
    <w:p>
      <w:pPr>
        <w:spacing w:after="0" w:line="16"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340"/>
          </w:cols>
          <w:pgMar w:left="240" w:top="34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560" w:space="720"/>
            <w:col w:w="3060"/>
          </w:cols>
          <w:pgMar w:left="240" w:top="345" w:right="131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1019726 Alberta Ltd.</w:t>
      </w:r>
    </w:p>
    <w:p>
      <w:pPr>
        <w:spacing w:after="0" w:line="238" w:lineRule="auto"/>
        <w:rPr>
          <w:sz w:val="20"/>
          <w:szCs w:val="20"/>
          <w:color w:val="auto"/>
        </w:rPr>
      </w:pPr>
      <w:r>
        <w:rPr>
          <w:rFonts w:ascii="Courier New" w:cs="Courier New" w:eastAsia="Courier New" w:hAnsi="Courier New"/>
          <w:sz w:val="18"/>
          <w:szCs w:val="18"/>
          <w:color w:val="auto"/>
        </w:rPr>
        <w:t>1329409 Ontario Inc.</w:t>
      </w:r>
    </w:p>
    <w:p>
      <w:pPr>
        <w:spacing w:after="0"/>
        <w:rPr>
          <w:sz w:val="20"/>
          <w:szCs w:val="20"/>
          <w:color w:val="auto"/>
        </w:rPr>
      </w:pPr>
      <w:r>
        <w:rPr>
          <w:rFonts w:ascii="Courier New" w:cs="Courier New" w:eastAsia="Courier New" w:hAnsi="Courier New"/>
          <w:sz w:val="18"/>
          <w:szCs w:val="18"/>
          <w:color w:val="auto"/>
        </w:rPr>
        <w:t>3368084 Canada Inc.</w:t>
      </w:r>
    </w:p>
    <w:p>
      <w:pPr>
        <w:spacing w:after="0" w:line="237" w:lineRule="auto"/>
        <w:rPr>
          <w:sz w:val="20"/>
          <w:szCs w:val="20"/>
          <w:color w:val="auto"/>
        </w:rPr>
      </w:pPr>
      <w:r>
        <w:rPr>
          <w:rFonts w:ascii="Courier New" w:cs="Courier New" w:eastAsia="Courier New" w:hAnsi="Courier New"/>
          <w:sz w:val="18"/>
          <w:szCs w:val="18"/>
          <w:color w:val="auto"/>
        </w:rPr>
        <w:t>635952 Ontario Inc.</w:t>
      </w:r>
    </w:p>
    <w:p>
      <w:pPr>
        <w:spacing w:after="0" w:line="238" w:lineRule="auto"/>
        <w:rPr>
          <w:sz w:val="20"/>
          <w:szCs w:val="20"/>
          <w:color w:val="auto"/>
        </w:rPr>
      </w:pPr>
      <w:r>
        <w:rPr>
          <w:rFonts w:ascii="Courier New" w:cs="Courier New" w:eastAsia="Courier New" w:hAnsi="Courier New"/>
          <w:sz w:val="18"/>
          <w:szCs w:val="18"/>
          <w:color w:val="auto"/>
        </w:rPr>
        <w:t>Acaverde S.A. de C.V.</w:t>
      </w:r>
    </w:p>
    <w:p>
      <w:pPr>
        <w:spacing w:after="0"/>
        <w:rPr>
          <w:sz w:val="20"/>
          <w:szCs w:val="20"/>
          <w:color w:val="auto"/>
        </w:rPr>
      </w:pPr>
      <w:r>
        <w:rPr>
          <w:rFonts w:ascii="Courier New" w:cs="Courier New" w:eastAsia="Courier New" w:hAnsi="Courier New"/>
          <w:sz w:val="18"/>
          <w:szCs w:val="18"/>
          <w:color w:val="auto"/>
        </w:rPr>
        <w:t>Acaverde Servicios, S.A. de C.V.</w:t>
      </w:r>
    </w:p>
    <w:p>
      <w:pPr>
        <w:spacing w:after="0" w:line="237" w:lineRule="auto"/>
        <w:rPr>
          <w:sz w:val="20"/>
          <w:szCs w:val="20"/>
          <w:color w:val="auto"/>
        </w:rPr>
      </w:pPr>
      <w:r>
        <w:rPr>
          <w:rFonts w:ascii="Courier New" w:cs="Courier New" w:eastAsia="Courier New" w:hAnsi="Courier New"/>
          <w:sz w:val="18"/>
          <w:szCs w:val="18"/>
          <w:color w:val="auto"/>
        </w:rPr>
        <w:t>Advanced Environmental Technical Services, L.L.C.</w:t>
      </w:r>
    </w:p>
    <w:p>
      <w:pPr>
        <w:spacing w:after="0"/>
        <w:rPr>
          <w:sz w:val="20"/>
          <w:szCs w:val="20"/>
          <w:color w:val="auto"/>
        </w:rPr>
      </w:pPr>
      <w:r>
        <w:rPr>
          <w:rFonts w:ascii="Courier New" w:cs="Courier New" w:eastAsia="Courier New" w:hAnsi="Courier New"/>
          <w:sz w:val="18"/>
          <w:szCs w:val="18"/>
          <w:color w:val="auto"/>
        </w:rPr>
        <w:t>Akron Regional Landfill, Inc.</w:t>
      </w:r>
    </w:p>
    <w:p>
      <w:pPr>
        <w:spacing w:after="0" w:line="237" w:lineRule="auto"/>
        <w:rPr>
          <w:sz w:val="20"/>
          <w:szCs w:val="20"/>
          <w:color w:val="auto"/>
        </w:rPr>
      </w:pPr>
      <w:r>
        <w:rPr>
          <w:rFonts w:ascii="Courier New" w:cs="Courier New" w:eastAsia="Courier New" w:hAnsi="Courier New"/>
          <w:sz w:val="18"/>
          <w:szCs w:val="18"/>
          <w:color w:val="auto"/>
        </w:rPr>
        <w:t>Alabama Waste Disposal Solutions, L.L.C.</w:t>
      </w:r>
    </w:p>
    <w:p>
      <w:pPr>
        <w:spacing w:after="0"/>
        <w:rPr>
          <w:sz w:val="20"/>
          <w:szCs w:val="20"/>
          <w:color w:val="auto"/>
        </w:rPr>
      </w:pPr>
      <w:r>
        <w:rPr>
          <w:rFonts w:ascii="Courier New" w:cs="Courier New" w:eastAsia="Courier New" w:hAnsi="Courier New"/>
          <w:sz w:val="18"/>
          <w:szCs w:val="18"/>
          <w:color w:val="auto"/>
        </w:rPr>
        <w:t>Alliance Sanitary Landfill, Inc.</w:t>
      </w:r>
    </w:p>
    <w:p>
      <w:pPr>
        <w:spacing w:after="0" w:line="237" w:lineRule="auto"/>
        <w:rPr>
          <w:sz w:val="20"/>
          <w:szCs w:val="20"/>
          <w:color w:val="auto"/>
        </w:rPr>
      </w:pPr>
      <w:r>
        <w:rPr>
          <w:rFonts w:ascii="Courier New" w:cs="Courier New" w:eastAsia="Courier New" w:hAnsi="Courier New"/>
          <w:sz w:val="18"/>
          <w:szCs w:val="18"/>
          <w:color w:val="auto"/>
        </w:rPr>
        <w:t>American Landfill, Inc.</w:t>
      </w:r>
    </w:p>
    <w:p>
      <w:pPr>
        <w:spacing w:after="0" w:line="238" w:lineRule="auto"/>
        <w:rPr>
          <w:sz w:val="20"/>
          <w:szCs w:val="20"/>
          <w:color w:val="auto"/>
        </w:rPr>
      </w:pPr>
      <w:r>
        <w:rPr>
          <w:rFonts w:ascii="Courier New" w:cs="Courier New" w:eastAsia="Courier New" w:hAnsi="Courier New"/>
          <w:sz w:val="18"/>
          <w:szCs w:val="18"/>
          <w:color w:val="auto"/>
        </w:rPr>
        <w:t>American RRT Fiber Supply, L.P.</w:t>
      </w:r>
    </w:p>
    <w:p>
      <w:pPr>
        <w:spacing w:after="0"/>
        <w:rPr>
          <w:sz w:val="20"/>
          <w:szCs w:val="20"/>
          <w:color w:val="auto"/>
        </w:rPr>
      </w:pPr>
      <w:r>
        <w:rPr>
          <w:rFonts w:ascii="Courier New" w:cs="Courier New" w:eastAsia="Courier New" w:hAnsi="Courier New"/>
          <w:sz w:val="18"/>
          <w:szCs w:val="18"/>
          <w:color w:val="auto"/>
        </w:rPr>
        <w:t>Anderson Landfill, Inc.</w:t>
      </w:r>
    </w:p>
    <w:p>
      <w:pPr>
        <w:spacing w:after="0" w:line="237" w:lineRule="auto"/>
        <w:rPr>
          <w:sz w:val="20"/>
          <w:szCs w:val="20"/>
          <w:color w:val="auto"/>
        </w:rPr>
      </w:pPr>
      <w:r>
        <w:rPr>
          <w:rFonts w:ascii="Courier New" w:cs="Courier New" w:eastAsia="Courier New" w:hAnsi="Courier New"/>
          <w:sz w:val="18"/>
          <w:szCs w:val="18"/>
          <w:color w:val="auto"/>
        </w:rPr>
        <w:t>Anderson-Cottonwood Disposal Services,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Antelope Valley Recycling and Disposal Facility,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Apollo Waste Industries, L.L.C.</w:t>
      </w:r>
    </w:p>
    <w:p>
      <w:pPr>
        <w:spacing w:after="0" w:line="238" w:lineRule="auto"/>
        <w:rPr>
          <w:sz w:val="20"/>
          <w:szCs w:val="20"/>
          <w:color w:val="auto"/>
        </w:rPr>
      </w:pPr>
      <w:r>
        <w:rPr>
          <w:rFonts w:ascii="Courier New" w:cs="Courier New" w:eastAsia="Courier New" w:hAnsi="Courier New"/>
          <w:sz w:val="18"/>
          <w:szCs w:val="18"/>
          <w:color w:val="auto"/>
        </w:rPr>
        <w:t>Apollo Waste Services of Georgia, L.L.C.</w:t>
      </w:r>
    </w:p>
    <w:p>
      <w:pPr>
        <w:spacing w:after="0"/>
        <w:rPr>
          <w:sz w:val="20"/>
          <w:szCs w:val="20"/>
          <w:color w:val="auto"/>
        </w:rPr>
      </w:pPr>
      <w:r>
        <w:rPr>
          <w:rFonts w:ascii="Courier New" w:cs="Courier New" w:eastAsia="Courier New" w:hAnsi="Courier New"/>
          <w:sz w:val="18"/>
          <w:szCs w:val="18"/>
          <w:color w:val="auto"/>
        </w:rPr>
        <w:t>Arden Landfill, Inc.</w:t>
      </w:r>
    </w:p>
    <w:p>
      <w:pPr>
        <w:spacing w:after="0" w:line="237" w:lineRule="auto"/>
        <w:rPr>
          <w:sz w:val="20"/>
          <w:szCs w:val="20"/>
          <w:color w:val="auto"/>
        </w:rPr>
      </w:pPr>
      <w:r>
        <w:rPr>
          <w:rFonts w:ascii="Courier New" w:cs="Courier New" w:eastAsia="Courier New" w:hAnsi="Courier New"/>
          <w:sz w:val="18"/>
          <w:szCs w:val="18"/>
          <w:color w:val="auto"/>
        </w:rPr>
        <w:t>Atlantic Waste Disposal, Inc.</w:t>
      </w:r>
    </w:p>
    <w:p>
      <w:pPr>
        <w:spacing w:after="0" w:line="238" w:lineRule="auto"/>
        <w:rPr>
          <w:sz w:val="20"/>
          <w:szCs w:val="20"/>
          <w:color w:val="auto"/>
        </w:rPr>
      </w:pPr>
      <w:r>
        <w:rPr>
          <w:rFonts w:ascii="Courier New" w:cs="Courier New" w:eastAsia="Courier New" w:hAnsi="Courier New"/>
          <w:sz w:val="18"/>
          <w:szCs w:val="18"/>
          <w:color w:val="auto"/>
        </w:rPr>
        <w:t>Automated Salvage Transport Co., L.L.C.</w:t>
      </w:r>
    </w:p>
    <w:p>
      <w:pPr>
        <w:spacing w:after="0"/>
        <w:rPr>
          <w:sz w:val="20"/>
          <w:szCs w:val="20"/>
          <w:color w:val="auto"/>
        </w:rPr>
      </w:pPr>
      <w:r>
        <w:rPr>
          <w:rFonts w:ascii="Courier New" w:cs="Courier New" w:eastAsia="Courier New" w:hAnsi="Courier New"/>
          <w:sz w:val="18"/>
          <w:szCs w:val="18"/>
          <w:color w:val="auto"/>
        </w:rPr>
        <w:t>Auxiwaste Services SA</w:t>
      </w:r>
    </w:p>
    <w:p>
      <w:pPr>
        <w:spacing w:after="0" w:line="237" w:lineRule="auto"/>
        <w:rPr>
          <w:sz w:val="20"/>
          <w:szCs w:val="20"/>
          <w:color w:val="auto"/>
        </w:rPr>
      </w:pPr>
      <w:r>
        <w:rPr>
          <w:rFonts w:ascii="Courier New" w:cs="Courier New" w:eastAsia="Courier New" w:hAnsi="Courier New"/>
          <w:sz w:val="18"/>
          <w:szCs w:val="18"/>
          <w:color w:val="auto"/>
        </w:rPr>
        <w:t>Azusa Land Reclamation, Inc.</w:t>
      </w:r>
    </w:p>
    <w:p>
      <w:pPr>
        <w:spacing w:after="0"/>
        <w:rPr>
          <w:sz w:val="20"/>
          <w:szCs w:val="20"/>
          <w:color w:val="auto"/>
        </w:rPr>
      </w:pPr>
      <w:r>
        <w:rPr>
          <w:rFonts w:ascii="Courier New" w:cs="Courier New" w:eastAsia="Courier New" w:hAnsi="Courier New"/>
          <w:sz w:val="18"/>
          <w:szCs w:val="18"/>
          <w:color w:val="auto"/>
        </w:rPr>
        <w:t>B &amp; L Disposal Co.</w:t>
      </w:r>
    </w:p>
    <w:p>
      <w:pPr>
        <w:spacing w:after="0" w:line="237" w:lineRule="auto"/>
        <w:rPr>
          <w:sz w:val="20"/>
          <w:szCs w:val="20"/>
          <w:color w:val="auto"/>
        </w:rPr>
      </w:pPr>
      <w:r>
        <w:rPr>
          <w:rFonts w:ascii="Courier New" w:cs="Courier New" w:eastAsia="Courier New" w:hAnsi="Courier New"/>
          <w:sz w:val="18"/>
          <w:szCs w:val="18"/>
          <w:color w:val="auto"/>
        </w:rPr>
        <w:t>B&amp;B Landfill, Inc.</w:t>
      </w:r>
    </w:p>
    <w:p>
      <w:pPr>
        <w:spacing w:after="0"/>
        <w:rPr>
          <w:sz w:val="20"/>
          <w:szCs w:val="20"/>
          <w:color w:val="auto"/>
        </w:rPr>
      </w:pPr>
      <w:r>
        <w:rPr>
          <w:rFonts w:ascii="Courier New" w:cs="Courier New" w:eastAsia="Courier New" w:hAnsi="Courier New"/>
          <w:sz w:val="18"/>
          <w:szCs w:val="18"/>
          <w:color w:val="auto"/>
        </w:rPr>
        <w:t>Back Pressure Turbine, LLP</w:t>
      </w:r>
    </w:p>
    <w:p>
      <w:pPr>
        <w:spacing w:after="0" w:line="237" w:lineRule="auto"/>
        <w:rPr>
          <w:sz w:val="20"/>
          <w:szCs w:val="20"/>
          <w:color w:val="auto"/>
        </w:rPr>
      </w:pPr>
      <w:r>
        <w:rPr>
          <w:rFonts w:ascii="Courier New" w:cs="Courier New" w:eastAsia="Courier New" w:hAnsi="Courier New"/>
          <w:sz w:val="18"/>
          <w:szCs w:val="18"/>
          <w:color w:val="auto"/>
        </w:rPr>
        <w:t>Baltimore Environmental Recovery Group, Inc.</w:t>
      </w:r>
    </w:p>
    <w:p>
      <w:pPr>
        <w:spacing w:after="0" w:line="238" w:lineRule="auto"/>
        <w:rPr>
          <w:sz w:val="20"/>
          <w:szCs w:val="20"/>
          <w:color w:val="auto"/>
        </w:rPr>
      </w:pPr>
      <w:r>
        <w:rPr>
          <w:rFonts w:ascii="Courier New" w:cs="Courier New" w:eastAsia="Courier New" w:hAnsi="Courier New"/>
          <w:sz w:val="18"/>
          <w:szCs w:val="18"/>
          <w:color w:val="auto"/>
        </w:rPr>
        <w:t>Barre Landfill Gas Associates, L.P.</w:t>
      </w:r>
    </w:p>
    <w:p>
      <w:pPr>
        <w:spacing w:after="0"/>
        <w:rPr>
          <w:sz w:val="20"/>
          <w:szCs w:val="20"/>
          <w:color w:val="auto"/>
        </w:rPr>
      </w:pPr>
      <w:r>
        <w:rPr>
          <w:rFonts w:ascii="Courier New" w:cs="Courier New" w:eastAsia="Courier New" w:hAnsi="Courier New"/>
          <w:sz w:val="18"/>
          <w:szCs w:val="18"/>
          <w:color w:val="auto"/>
        </w:rPr>
        <w:t>Bayside of Marion, Inc.</w:t>
      </w:r>
    </w:p>
    <w:p>
      <w:pPr>
        <w:spacing w:after="0" w:line="237" w:lineRule="auto"/>
        <w:rPr>
          <w:sz w:val="20"/>
          <w:szCs w:val="20"/>
          <w:color w:val="auto"/>
        </w:rPr>
      </w:pPr>
      <w:r>
        <w:rPr>
          <w:rFonts w:ascii="Courier New" w:cs="Courier New" w:eastAsia="Courier New" w:hAnsi="Courier New"/>
          <w:sz w:val="18"/>
          <w:szCs w:val="18"/>
          <w:color w:val="auto"/>
        </w:rPr>
        <w:t>Beecher Development Company</w:t>
      </w:r>
    </w:p>
    <w:p>
      <w:pPr>
        <w:spacing w:after="0"/>
        <w:rPr>
          <w:sz w:val="20"/>
          <w:szCs w:val="20"/>
          <w:color w:val="auto"/>
        </w:rPr>
      </w:pPr>
      <w:r>
        <w:rPr>
          <w:rFonts w:ascii="Courier New" w:cs="Courier New" w:eastAsia="Courier New" w:hAnsi="Courier New"/>
          <w:sz w:val="18"/>
          <w:szCs w:val="18"/>
          <w:color w:val="auto"/>
        </w:rPr>
        <w:t>Bestan Inc.</w:t>
      </w:r>
    </w:p>
    <w:p>
      <w:pPr>
        <w:spacing w:after="0" w:line="237" w:lineRule="auto"/>
        <w:rPr>
          <w:sz w:val="20"/>
          <w:szCs w:val="20"/>
          <w:color w:val="auto"/>
        </w:rPr>
      </w:pPr>
      <w:r>
        <w:rPr>
          <w:rFonts w:ascii="Courier New" w:cs="Courier New" w:eastAsia="Courier New" w:hAnsi="Courier New"/>
          <w:sz w:val="18"/>
          <w:szCs w:val="18"/>
          <w:color w:val="auto"/>
        </w:rPr>
        <w:t>Big Dipper Enterprises, Inc.</w:t>
      </w:r>
    </w:p>
    <w:p>
      <w:pPr>
        <w:spacing w:after="0"/>
        <w:rPr>
          <w:sz w:val="20"/>
          <w:szCs w:val="20"/>
          <w:color w:val="auto"/>
        </w:rPr>
      </w:pPr>
      <w:r>
        <w:rPr>
          <w:rFonts w:ascii="Courier New" w:cs="Courier New" w:eastAsia="Courier New" w:hAnsi="Courier New"/>
          <w:sz w:val="18"/>
          <w:szCs w:val="18"/>
          <w:color w:val="auto"/>
        </w:rPr>
        <w:t>Bio-Energy Partners</w:t>
      </w:r>
    </w:p>
    <w:p>
      <w:pPr>
        <w:spacing w:after="0" w:line="237" w:lineRule="auto"/>
        <w:rPr>
          <w:sz w:val="20"/>
          <w:szCs w:val="20"/>
          <w:color w:val="auto"/>
        </w:rPr>
      </w:pPr>
      <w:r>
        <w:rPr>
          <w:rFonts w:ascii="Courier New" w:cs="Courier New" w:eastAsia="Courier New" w:hAnsi="Courier New"/>
          <w:sz w:val="18"/>
          <w:szCs w:val="18"/>
          <w:color w:val="auto"/>
        </w:rPr>
        <w:t>Bluegrass Containment, L.L.C.</w:t>
      </w:r>
    </w:p>
    <w:p>
      <w:pPr>
        <w:spacing w:after="0" w:line="238" w:lineRule="auto"/>
        <w:rPr>
          <w:sz w:val="20"/>
          <w:szCs w:val="20"/>
          <w:color w:val="auto"/>
        </w:rPr>
      </w:pPr>
      <w:r>
        <w:rPr>
          <w:rFonts w:ascii="Courier New" w:cs="Courier New" w:eastAsia="Courier New" w:hAnsi="Courier New"/>
          <w:sz w:val="18"/>
          <w:szCs w:val="18"/>
          <w:color w:val="auto"/>
        </w:rPr>
        <w:t>Brazoria County Recycling Center, Inc.</w:t>
      </w:r>
    </w:p>
    <w:p>
      <w:pPr>
        <w:spacing w:after="0"/>
        <w:rPr>
          <w:sz w:val="20"/>
          <w:szCs w:val="20"/>
          <w:color w:val="auto"/>
        </w:rPr>
      </w:pPr>
      <w:r>
        <w:rPr>
          <w:rFonts w:ascii="Courier New" w:cs="Courier New" w:eastAsia="Courier New" w:hAnsi="Courier New"/>
          <w:sz w:val="18"/>
          <w:szCs w:val="18"/>
          <w:color w:val="auto"/>
        </w:rPr>
        <w:t>Burnsville Sanitary Landfill, Inc.</w:t>
      </w:r>
    </w:p>
    <w:p>
      <w:pPr>
        <w:spacing w:after="0" w:line="237" w:lineRule="auto"/>
        <w:rPr>
          <w:sz w:val="20"/>
          <w:szCs w:val="20"/>
          <w:color w:val="auto"/>
        </w:rPr>
      </w:pPr>
      <w:r>
        <w:rPr>
          <w:rFonts w:ascii="Courier New" w:cs="Courier New" w:eastAsia="Courier New" w:hAnsi="Courier New"/>
          <w:sz w:val="18"/>
          <w:szCs w:val="18"/>
          <w:color w:val="auto"/>
        </w:rPr>
        <w:t>Buttrey Development Three, LLC</w:t>
      </w:r>
    </w:p>
    <w:p>
      <w:pPr>
        <w:spacing w:after="0"/>
        <w:rPr>
          <w:sz w:val="20"/>
          <w:szCs w:val="20"/>
          <w:color w:val="auto"/>
        </w:rPr>
      </w:pPr>
      <w:r>
        <w:rPr>
          <w:rFonts w:ascii="Courier New" w:cs="Courier New" w:eastAsia="Courier New" w:hAnsi="Courier New"/>
          <w:sz w:val="18"/>
          <w:szCs w:val="18"/>
          <w:color w:val="auto"/>
        </w:rPr>
        <w:t>Buttrey Development Two, LLC</w:t>
      </w:r>
    </w:p>
    <w:p>
      <w:pPr>
        <w:spacing w:after="0" w:line="237" w:lineRule="auto"/>
        <w:rPr>
          <w:sz w:val="20"/>
          <w:szCs w:val="20"/>
          <w:color w:val="auto"/>
        </w:rPr>
      </w:pPr>
      <w:r>
        <w:rPr>
          <w:rFonts w:ascii="Courier New" w:cs="Courier New" w:eastAsia="Courier New" w:hAnsi="Courier New"/>
          <w:sz w:val="18"/>
          <w:szCs w:val="18"/>
          <w:color w:val="auto"/>
        </w:rPr>
        <w:t>C.I.D. Landfill, Inc.</w:t>
      </w:r>
    </w:p>
    <w:p>
      <w:pPr>
        <w:spacing w:after="0"/>
        <w:rPr>
          <w:sz w:val="20"/>
          <w:szCs w:val="20"/>
          <w:color w:val="auto"/>
        </w:rPr>
      </w:pPr>
      <w:r>
        <w:rPr>
          <w:rFonts w:ascii="Courier New" w:cs="Courier New" w:eastAsia="Courier New" w:hAnsi="Courier New"/>
          <w:sz w:val="18"/>
          <w:szCs w:val="18"/>
          <w:color w:val="auto"/>
        </w:rPr>
        <w:t>CA Newco, L.L.C.</w:t>
      </w:r>
    </w:p>
    <w:p>
      <w:pPr>
        <w:spacing w:after="0" w:line="237" w:lineRule="auto"/>
        <w:rPr>
          <w:sz w:val="20"/>
          <w:szCs w:val="20"/>
          <w:color w:val="auto"/>
        </w:rPr>
      </w:pPr>
      <w:r>
        <w:rPr>
          <w:rFonts w:ascii="Courier New" w:cs="Courier New" w:eastAsia="Courier New" w:hAnsi="Courier New"/>
          <w:sz w:val="18"/>
          <w:szCs w:val="18"/>
          <w:color w:val="auto"/>
        </w:rPr>
        <w:t>Cal Sierra Disposal</w:t>
      </w:r>
    </w:p>
    <w:p>
      <w:pPr>
        <w:spacing w:after="0"/>
        <w:rPr>
          <w:sz w:val="20"/>
          <w:szCs w:val="20"/>
          <w:color w:val="auto"/>
        </w:rPr>
      </w:pPr>
      <w:r>
        <w:rPr>
          <w:rFonts w:ascii="Courier New" w:cs="Courier New" w:eastAsia="Courier New" w:hAnsi="Courier New"/>
          <w:sz w:val="18"/>
          <w:szCs w:val="18"/>
          <w:color w:val="auto"/>
        </w:rPr>
        <w:t>California Asbestos Monofill, Inc.</w:t>
      </w:r>
    </w:p>
    <w:p>
      <w:pPr>
        <w:spacing w:after="0" w:line="237" w:lineRule="auto"/>
        <w:rPr>
          <w:sz w:val="20"/>
          <w:szCs w:val="20"/>
          <w:color w:val="auto"/>
        </w:rPr>
      </w:pPr>
      <w:r>
        <w:rPr>
          <w:rFonts w:ascii="Courier New" w:cs="Courier New" w:eastAsia="Courier New" w:hAnsi="Courier New"/>
          <w:sz w:val="18"/>
          <w:szCs w:val="18"/>
          <w:color w:val="auto"/>
        </w:rPr>
        <w:t>Canadian Waste Services Holdings Inc.</w:t>
      </w:r>
    </w:p>
    <w:p>
      <w:pPr>
        <w:spacing w:after="0" w:line="238" w:lineRule="auto"/>
        <w:rPr>
          <w:sz w:val="20"/>
          <w:szCs w:val="20"/>
          <w:color w:val="auto"/>
        </w:rPr>
      </w:pPr>
      <w:r>
        <w:rPr>
          <w:rFonts w:ascii="Courier New" w:cs="Courier New" w:eastAsia="Courier New" w:hAnsi="Courier New"/>
          <w:sz w:val="18"/>
          <w:szCs w:val="18"/>
          <w:color w:val="auto"/>
        </w:rPr>
        <w:t>CAP/CRA, L.L.C.</w:t>
      </w:r>
    </w:p>
    <w:p>
      <w:pPr>
        <w:spacing w:after="0"/>
        <w:rPr>
          <w:sz w:val="20"/>
          <w:szCs w:val="20"/>
          <w:color w:val="auto"/>
        </w:rPr>
      </w:pPr>
      <w:r>
        <w:rPr>
          <w:rFonts w:ascii="Courier New" w:cs="Courier New" w:eastAsia="Courier New" w:hAnsi="Courier New"/>
          <w:sz w:val="18"/>
          <w:szCs w:val="18"/>
          <w:color w:val="auto"/>
        </w:rPr>
        <w:t>Capital Sanitation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Alberta</w:t>
      </w:r>
    </w:p>
    <w:p>
      <w:pPr>
        <w:spacing w:after="0" w:line="238" w:lineRule="auto"/>
        <w:rPr>
          <w:sz w:val="20"/>
          <w:szCs w:val="20"/>
          <w:color w:val="auto"/>
        </w:rPr>
      </w:pPr>
      <w:r>
        <w:rPr>
          <w:rFonts w:ascii="Courier New" w:cs="Courier New" w:eastAsia="Courier New" w:hAnsi="Courier New"/>
          <w:sz w:val="18"/>
          <w:szCs w:val="18"/>
          <w:color w:val="auto"/>
        </w:rPr>
        <w:t>Ontario</w:t>
      </w:r>
    </w:p>
    <w:p>
      <w:pPr>
        <w:spacing w:after="0"/>
        <w:rPr>
          <w:sz w:val="20"/>
          <w:szCs w:val="20"/>
          <w:color w:val="auto"/>
        </w:rPr>
      </w:pPr>
      <w:r>
        <w:rPr>
          <w:rFonts w:ascii="Courier New" w:cs="Courier New" w:eastAsia="Courier New" w:hAnsi="Courier New"/>
          <w:sz w:val="18"/>
          <w:szCs w:val="18"/>
          <w:color w:val="auto"/>
        </w:rPr>
        <w:t>Canada</w:t>
      </w:r>
    </w:p>
    <w:p>
      <w:pPr>
        <w:spacing w:after="0" w:line="237" w:lineRule="auto"/>
        <w:rPr>
          <w:sz w:val="20"/>
          <w:szCs w:val="20"/>
          <w:color w:val="auto"/>
        </w:rPr>
      </w:pPr>
      <w:r>
        <w:rPr>
          <w:rFonts w:ascii="Courier New" w:cs="Courier New" w:eastAsia="Courier New" w:hAnsi="Courier New"/>
          <w:sz w:val="18"/>
          <w:szCs w:val="18"/>
          <w:color w:val="auto"/>
        </w:rPr>
        <w:t>Ontario</w:t>
      </w:r>
    </w:p>
    <w:p>
      <w:pPr>
        <w:spacing w:after="0" w:line="238" w:lineRule="auto"/>
        <w:rPr>
          <w:sz w:val="20"/>
          <w:szCs w:val="20"/>
          <w:color w:val="auto"/>
        </w:rPr>
      </w:pPr>
      <w:r>
        <w:rPr>
          <w:rFonts w:ascii="Courier New" w:cs="Courier New" w:eastAsia="Courier New" w:hAnsi="Courier New"/>
          <w:sz w:val="18"/>
          <w:szCs w:val="18"/>
          <w:color w:val="auto"/>
        </w:rPr>
        <w:t>Mexico</w:t>
      </w:r>
    </w:p>
    <w:p>
      <w:pPr>
        <w:spacing w:after="0"/>
        <w:rPr>
          <w:sz w:val="20"/>
          <w:szCs w:val="20"/>
          <w:color w:val="auto"/>
        </w:rPr>
      </w:pPr>
      <w:r>
        <w:rPr>
          <w:rFonts w:ascii="Courier New" w:cs="Courier New" w:eastAsia="Courier New" w:hAnsi="Courier New"/>
          <w:sz w:val="18"/>
          <w:szCs w:val="18"/>
          <w:color w:val="auto"/>
        </w:rPr>
        <w:t>Mexico</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Alabama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Georgia</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France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Nevada</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Maryland</w:t>
      </w:r>
    </w:p>
    <w:p>
      <w:pPr>
        <w:spacing w:after="0"/>
        <w:rPr>
          <w:sz w:val="20"/>
          <w:szCs w:val="20"/>
          <w:color w:val="auto"/>
        </w:rPr>
      </w:pPr>
      <w:r>
        <w:rPr>
          <w:rFonts w:ascii="Courier New" w:cs="Courier New" w:eastAsia="Courier New" w:hAnsi="Courier New"/>
          <w:sz w:val="18"/>
          <w:szCs w:val="18"/>
          <w:color w:val="auto"/>
        </w:rPr>
        <w:t>Maryland</w:t>
      </w:r>
    </w:p>
    <w:p>
      <w:pPr>
        <w:spacing w:after="0" w:line="237"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Quebec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Dakota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Illinois</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rPr>
          <w:sz w:val="20"/>
          <w:szCs w:val="20"/>
          <w:color w:val="auto"/>
        </w:rPr>
      </w:pPr>
      <w:r>
        <w:rPr>
          <w:rFonts w:ascii="Courier New" w:cs="Courier New" w:eastAsia="Courier New" w:hAnsi="Courier New"/>
          <w:sz w:val="18"/>
          <w:szCs w:val="18"/>
          <w:color w:val="auto"/>
        </w:rPr>
        <w:t>Texas</w:t>
      </w:r>
    </w:p>
    <w:p>
      <w:pPr>
        <w:spacing w:after="0" w:line="237" w:lineRule="auto"/>
        <w:rPr>
          <w:sz w:val="20"/>
          <w:szCs w:val="20"/>
          <w:color w:val="auto"/>
        </w:rPr>
      </w:pPr>
      <w:r>
        <w:rPr>
          <w:rFonts w:ascii="Courier New" w:cs="Courier New" w:eastAsia="Courier New" w:hAnsi="Courier New"/>
          <w:sz w:val="18"/>
          <w:szCs w:val="18"/>
          <w:color w:val="auto"/>
        </w:rPr>
        <w:t>Minnesota</w:t>
      </w:r>
    </w:p>
    <w:p>
      <w:pPr>
        <w:spacing w:after="0" w:line="238" w:lineRule="auto"/>
        <w:rPr>
          <w:sz w:val="20"/>
          <w:szCs w:val="20"/>
          <w:color w:val="auto"/>
        </w:rPr>
      </w:pPr>
      <w:r>
        <w:rPr>
          <w:rFonts w:ascii="Courier New" w:cs="Courier New" w:eastAsia="Courier New" w:hAnsi="Courier New"/>
          <w:sz w:val="18"/>
          <w:szCs w:val="18"/>
          <w:color w:val="auto"/>
        </w:rPr>
        <w:t>Florida</w:t>
      </w:r>
    </w:p>
    <w:p>
      <w:pPr>
        <w:spacing w:after="0"/>
        <w:rPr>
          <w:sz w:val="20"/>
          <w:szCs w:val="20"/>
          <w:color w:val="auto"/>
        </w:rPr>
      </w:pPr>
      <w:r>
        <w:rPr>
          <w:rFonts w:ascii="Courier New" w:cs="Courier New" w:eastAsia="Courier New" w:hAnsi="Courier New"/>
          <w:sz w:val="18"/>
          <w:szCs w:val="18"/>
          <w:color w:val="auto"/>
        </w:rPr>
        <w:t>Florida</w:t>
      </w:r>
    </w:p>
    <w:p>
      <w:pPr>
        <w:spacing w:after="0" w:line="237" w:lineRule="auto"/>
        <w:rPr>
          <w:sz w:val="20"/>
          <w:szCs w:val="20"/>
          <w:color w:val="auto"/>
        </w:rPr>
      </w:pPr>
      <w:r>
        <w:rPr>
          <w:rFonts w:ascii="Courier New" w:cs="Courier New" w:eastAsia="Courier New" w:hAnsi="Courier New"/>
          <w:sz w:val="18"/>
          <w:szCs w:val="18"/>
          <w:color w:val="auto"/>
        </w:rPr>
        <w:t>New York</w:t>
      </w:r>
    </w:p>
    <w:p>
      <w:pPr>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California</w:t>
      </w:r>
    </w:p>
    <w:p>
      <w:pPr>
        <w:spacing w:after="0" w:line="237" w:lineRule="auto"/>
        <w:rPr>
          <w:sz w:val="20"/>
          <w:szCs w:val="20"/>
          <w:color w:val="auto"/>
        </w:rPr>
      </w:pPr>
      <w:r>
        <w:rPr>
          <w:rFonts w:ascii="Courier New" w:cs="Courier New" w:eastAsia="Courier New" w:hAnsi="Courier New"/>
          <w:sz w:val="18"/>
          <w:szCs w:val="18"/>
          <w:color w:val="auto"/>
        </w:rPr>
        <w:t>Ontario</w:t>
      </w:r>
    </w:p>
    <w:p>
      <w:pPr>
        <w:spacing w:after="0" w:line="238" w:lineRule="auto"/>
        <w:rPr>
          <w:sz w:val="20"/>
          <w:szCs w:val="20"/>
          <w:color w:val="auto"/>
        </w:rPr>
      </w:pPr>
      <w:r>
        <w:rPr>
          <w:rFonts w:ascii="Courier New" w:cs="Courier New" w:eastAsia="Courier New" w:hAnsi="Courier New"/>
          <w:sz w:val="18"/>
          <w:szCs w:val="18"/>
          <w:color w:val="auto"/>
        </w:rPr>
        <w:t>Illinois</w:t>
      </w:r>
    </w:p>
    <w:p>
      <w:pPr>
        <w:spacing w:after="0"/>
        <w:rPr>
          <w:sz w:val="20"/>
          <w:szCs w:val="20"/>
          <w:color w:val="auto"/>
        </w:rPr>
      </w:pPr>
      <w:r>
        <w:rPr>
          <w:rFonts w:ascii="Courier New" w:cs="Courier New" w:eastAsia="Courier New" w:hAnsi="Courier New"/>
          <w:sz w:val="18"/>
          <w:szCs w:val="18"/>
          <w:color w:val="auto"/>
        </w:rPr>
        <w:t>Nevada</w:t>
      </w:r>
    </w:p>
    <w:p>
      <w:pPr>
        <w:sectPr>
          <w:pgSz w:w="11900" w:h="16838" w:orient="portrait"/>
          <w:cols w:equalWidth="0" w:num="2">
            <w:col w:w="7720" w:space="720"/>
            <w:col w:w="1900"/>
          </w:cols>
          <w:pgMar w:left="240" w:top="345" w:right="1319" w:bottom="1440" w:gutter="0" w:footer="0" w:header="0"/>
          <w:type w:val="continuous"/>
        </w:sectPr>
      </w:pPr>
    </w:p>
    <w:bookmarkStart w:id="193" w:name="page194"/>
    <w:bookmarkEnd w:id="193"/>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previously filed Registration Statements on Form S-8 (Registration Nos. 333-45062, 333-110293,</w:t>
      </w:r>
    </w:p>
    <w:p>
      <w:pPr>
        <w:ind w:right="1779"/>
        <w:spacing w:after="0" w:line="237" w:lineRule="auto"/>
        <w:rPr>
          <w:sz w:val="20"/>
          <w:szCs w:val="20"/>
          <w:color w:val="auto"/>
        </w:rPr>
      </w:pPr>
      <w:r>
        <w:rPr>
          <w:rFonts w:ascii="Courier New" w:cs="Courier New" w:eastAsia="Courier New" w:hAnsi="Courier New"/>
          <w:sz w:val="18"/>
          <w:szCs w:val="18"/>
          <w:color w:val="auto"/>
        </w:rPr>
        <w:t>333-106223 and 333-45066), Form S-3 (Registration Nos. 333-80063 and 333-97697) and Form S-4 (Registration No. 333-32805), of our reports dated February 10, 2004 with respect to the consolidated financial statements and schedule of Waste Management, Inc. included in this Annual Report (Form 10-K) for the year ended December 31, 2003.</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19, 2004</w:t>
      </w:r>
    </w:p>
    <w:p>
      <w:pPr>
        <w:sectPr>
          <w:pgSz w:w="11900" w:h="16838" w:orient="portrait"/>
          <w:cols w:equalWidth="0" w:num="1">
            <w:col w:w="10219"/>
          </w:cols>
          <w:pgMar w:left="240" w:top="339" w:right="1440" w:bottom="1440" w:gutter="0" w:footer="0" w:header="0"/>
        </w:sectPr>
      </w:pPr>
    </w:p>
    <w:bookmarkStart w:id="194" w:name="page195"/>
    <w:bookmarkEnd w:id="194"/>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REGARDING CONSENT OF ARTHUR ANDERSEN LLP</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11(a) of the Securities Act of 1933, as amended (the "Securities Act"), provides that if part of a registration statement at the time it becomes effective contains an untrue statement of a material fact, or omits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assert a claim against, among others, an accountant who has consented to be named as having certified any part of the registration statement or as having prepared any report for use in connection with the registration statement.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of 2002, Arthur Andersen LLP ("Andersen") was convicted of obstructing justice, which is a felony offense. The SEC prohibits firms convicted of a felony from auditing public companies. Andersen is thus unable to consent to the incorporation by reference of the Company's previously filed Registration Statements on Form S-8 (Registration Nos. 333-45062, 333-110293,</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333-106223 and 333-45066), previously filed Registration Statements on Form S-3 (Registration Nos. 333-97697 and 333-80063), previously filed Registration Statements on Form S-4 (Registration No. 333-32805,) and Andersen's audit report with respect to Waste Management, Inc.'s consolidated financial statements as of December 31, 2001 and for the year then ended. Under these circumstances, Rule 437a under the Securities Act permits Waste Management, Inc. to file this Annual Report on Form 10-K, which is incorporated by reference into the Registration Statements, without a written consent from Andersen. As a result, with respect to transactions in Waste Management, Inc. securities pursuant to the Registration Statements that occur subsequent to the date this Annual Report on Form 10-K is filed with the Securities and Exchange Commission, Andersen will not have any liability under Section 11(a) of the Securities Act for any untrue statements of a material fact contained in the financial statements audited by Andersen or any omissions of a material fact required to be stated therein. Accordingly, you would be unable to assert a claim against Andersen under Section 11(a) of the Securities Act.</w:t>
      </w:r>
    </w:p>
    <w:p>
      <w:pPr>
        <w:sectPr>
          <w:pgSz w:w="11900" w:h="16838" w:orient="portrait"/>
          <w:cols w:equalWidth="0" w:num="1">
            <w:col w:w="10219"/>
          </w:cols>
          <w:pgMar w:left="240" w:top="744" w:right="1440" w:bottom="1440" w:gutter="0" w:footer="0" w:header="0"/>
        </w:sectPr>
      </w:pPr>
    </w:p>
    <w:bookmarkStart w:id="195" w:name="page196"/>
    <w:bookmarkEnd w:id="195"/>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302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 Maurice Myers, certify that:</w:t>
      </w:r>
    </w:p>
    <w:p>
      <w:pPr>
        <w:spacing w:after="0" w:line="207" w:lineRule="exact"/>
        <w:rPr>
          <w:sz w:val="20"/>
          <w:szCs w:val="20"/>
          <w:color w:val="auto"/>
        </w:rPr>
      </w:pPr>
    </w:p>
    <w:p>
      <w:pPr>
        <w:ind w:left="1060" w:right="1999" w:hanging="525"/>
        <w:spacing w:after="0" w:line="235" w:lineRule="auto"/>
        <w:tabs>
          <w:tab w:leader="none" w:pos="106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Waste Management, Inc.;</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 - (15e) and 15d - (15e)) for the registrant and have:</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1" w:lineRule="exact"/>
        <w:rPr>
          <w:rFonts w:ascii="Courier New" w:cs="Courier New" w:eastAsia="Courier New" w:hAnsi="Courier New"/>
          <w:sz w:val="18"/>
          <w:szCs w:val="18"/>
          <w:color w:val="auto"/>
        </w:rPr>
      </w:pPr>
    </w:p>
    <w:p>
      <w:pPr>
        <w:ind w:left="2120" w:right="1879" w:hanging="532"/>
        <w:spacing w:after="0" w:line="273" w:lineRule="auto"/>
        <w:tabs>
          <w:tab w:leader="none" w:pos="2120"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84" w:lineRule="exact"/>
        <w:rPr>
          <w:rFonts w:ascii="Courier New" w:cs="Courier New" w:eastAsia="Courier New" w:hAnsi="Courier New"/>
          <w:sz w:val="16"/>
          <w:szCs w:val="16"/>
          <w:color w:val="auto"/>
        </w:rPr>
      </w:pPr>
    </w:p>
    <w:p>
      <w:pPr>
        <w:ind w:left="2120" w:right="1779" w:hanging="532"/>
        <w:spacing w:after="0" w:line="237" w:lineRule="auto"/>
        <w:tabs>
          <w:tab w:leader="none" w:pos="2120"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2120" w:right="1779" w:hanging="532"/>
        <w:spacing w:after="0" w:line="279" w:lineRule="auto"/>
        <w:tabs>
          <w:tab w:leader="none" w:pos="2120"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19, 2004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A. Maurice Myers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A. Maurice Myers</w:t>
      </w: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1">
            <w:col w:w="10219"/>
          </w:cols>
          <w:pgMar w:left="240" w:top="947" w:right="1440" w:bottom="959" w:gutter="0" w:footer="0" w:header="0"/>
        </w:sectPr>
      </w:pPr>
    </w:p>
    <w:bookmarkStart w:id="196" w:name="page197"/>
    <w:bookmarkEnd w:id="196"/>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302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P. Steiner, certify that:</w:t>
      </w:r>
    </w:p>
    <w:p>
      <w:pPr>
        <w:spacing w:after="0" w:line="207" w:lineRule="exact"/>
        <w:rPr>
          <w:sz w:val="20"/>
          <w:szCs w:val="20"/>
          <w:color w:val="auto"/>
        </w:rPr>
      </w:pPr>
    </w:p>
    <w:p>
      <w:pPr>
        <w:ind w:left="1060" w:right="1999" w:hanging="525"/>
        <w:spacing w:after="0" w:line="235" w:lineRule="auto"/>
        <w:tabs>
          <w:tab w:leader="none" w:pos="106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Waste Management, Inc.;</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 - (15e) and 15d - (15e)) for the registrant and have:</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1" w:lineRule="exact"/>
        <w:rPr>
          <w:rFonts w:ascii="Courier New" w:cs="Courier New" w:eastAsia="Courier New" w:hAnsi="Courier New"/>
          <w:sz w:val="18"/>
          <w:szCs w:val="18"/>
          <w:color w:val="auto"/>
        </w:rPr>
      </w:pPr>
    </w:p>
    <w:p>
      <w:pPr>
        <w:ind w:left="2120" w:right="1879" w:hanging="532"/>
        <w:spacing w:after="0" w:line="273" w:lineRule="auto"/>
        <w:tabs>
          <w:tab w:leader="none" w:pos="212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84" w:lineRule="exact"/>
        <w:rPr>
          <w:rFonts w:ascii="Courier New" w:cs="Courier New" w:eastAsia="Courier New" w:hAnsi="Courier New"/>
          <w:sz w:val="16"/>
          <w:szCs w:val="16"/>
          <w:color w:val="auto"/>
        </w:rPr>
      </w:pPr>
    </w:p>
    <w:p>
      <w:pPr>
        <w:ind w:left="2120" w:right="1779" w:hanging="532"/>
        <w:spacing w:after="0" w:line="237" w:lineRule="auto"/>
        <w:tabs>
          <w:tab w:leader="none" w:pos="2120"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1060" w:right="1779" w:hanging="525"/>
        <w:spacing w:after="0" w:line="237" w:lineRule="auto"/>
        <w:tabs>
          <w:tab w:leader="none" w:pos="106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2120" w:right="1779" w:hanging="532"/>
        <w:spacing w:after="0" w:line="279" w:lineRule="auto"/>
        <w:tabs>
          <w:tab w:leader="none" w:pos="2120"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19, 2004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David P. Steiner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David P. Steiner</w:t>
      </w:r>
    </w:p>
    <w:p>
      <w:pPr>
        <w:ind w:left="454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44" w:right="1440" w:bottom="943" w:gutter="0" w:footer="0" w:header="0"/>
        </w:sectPr>
      </w:pPr>
    </w:p>
    <w:bookmarkStart w:id="197" w:name="page198"/>
    <w:bookmarkEnd w:id="197"/>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the Annual Report of Waste Management, Inc. (the "Company") on Form 10-K for the year ended December 31, 2003 as filed with the Securities and Exchange Commission on the date hereof (the "Report"), I, A. Maurice Myers, Chief Executive Officer of the Company, certify, pursuant to 18 U.S.C. Section 1350, as adopted pursuant to Section 906 of the Sarbanes-Oxley Act of 2002, that:</w:t>
      </w:r>
    </w:p>
    <w:p>
      <w:pPr>
        <w:spacing w:after="0" w:line="200" w:lineRule="exact"/>
        <w:rPr>
          <w:sz w:val="20"/>
          <w:szCs w:val="20"/>
          <w:color w:val="auto"/>
        </w:rPr>
      </w:pPr>
    </w:p>
    <w:p>
      <w:pPr>
        <w:spacing w:after="0" w:line="212" w:lineRule="exact"/>
        <w:rPr>
          <w:sz w:val="20"/>
          <w:szCs w:val="20"/>
          <w:color w:val="auto"/>
        </w:rPr>
      </w:pPr>
    </w:p>
    <w:p>
      <w:pPr>
        <w:ind w:right="2199" w:firstLine="535"/>
        <w:spacing w:after="0" w:line="235" w:lineRule="auto"/>
        <w:tabs>
          <w:tab w:leader="none" w:pos="948"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 Maurice Myers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 Maurice Myers</w:t>
      </w:r>
    </w:p>
    <w:p>
      <w:pPr>
        <w:ind w:left="54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19, 2004</w:t>
      </w:r>
    </w:p>
    <w:p>
      <w:pPr>
        <w:sectPr>
          <w:pgSz w:w="11900" w:h="16838" w:orient="portrait"/>
          <w:cols w:equalWidth="0" w:num="1">
            <w:col w:w="10219"/>
          </w:cols>
          <w:pgMar w:left="240" w:top="744" w:right="1440" w:bottom="1440" w:gutter="0" w:footer="0" w:header="0"/>
        </w:sectPr>
      </w:pPr>
    </w:p>
    <w:bookmarkStart w:id="198" w:name="page199"/>
    <w:bookmarkEnd w:id="198"/>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the Annual Report of Waste Management, Inc. (the "Company") on Form 10-K for the year ended December 31, 2003 as filed with the Securities and Exchange Commission on the date hereof (the "Report"), I, David P. Steiner, Chief Financial Officer of the Company, certify, pursuant to 18 U.S.C. Section 1350, as adopted pursuant to Section 906 of the Sarbanes-Oxley Act of 2002, that:</w:t>
      </w:r>
    </w:p>
    <w:p>
      <w:pPr>
        <w:spacing w:after="0" w:line="200" w:lineRule="exact"/>
        <w:rPr>
          <w:sz w:val="20"/>
          <w:szCs w:val="20"/>
          <w:color w:val="auto"/>
        </w:rPr>
      </w:pPr>
    </w:p>
    <w:p>
      <w:pPr>
        <w:spacing w:after="0" w:line="212" w:lineRule="exact"/>
        <w:rPr>
          <w:sz w:val="20"/>
          <w:szCs w:val="20"/>
          <w:color w:val="auto"/>
        </w:rPr>
      </w:pPr>
    </w:p>
    <w:p>
      <w:pPr>
        <w:ind w:right="2199" w:firstLine="535"/>
        <w:spacing w:after="0" w:line="235" w:lineRule="auto"/>
        <w:tabs>
          <w:tab w:leader="none" w:pos="948"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P. Steiner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P. Steiner</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19, 2004</w:t>
      </w:r>
    </w:p>
    <w:p>
      <w:pPr>
        <w:sectPr>
          <w:pgSz w:w="11900" w:h="16838" w:orient="portrait"/>
          <w:cols w:equalWidth="0" w:num="1">
            <w:col w:w="10219"/>
          </w:cols>
          <w:pgMar w:left="240" w:top="947" w:right="1440" w:bottom="1440" w:gutter="0" w:footer="0" w:header="0"/>
        </w:sectPr>
      </w:pPr>
    </w:p>
    <w:bookmarkStart w:id="199" w:name="page200"/>
    <w:bookmarkEnd w:id="1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o"/>
      <w:numFmt w:val="bullet"/>
      <w:start w:val="1"/>
    </w:lvl>
  </w:abstractNum>
  <w:abstractNum w:abstractNumId="2">
    <w:nsid w:val="34FD6B4F"/>
    <w:multiLevelType w:val="hybridMultilevel"/>
    <w:lvl w:ilvl="0">
      <w:lvlJc w:val="left"/>
      <w:lvlText w:val="(%1)"/>
      <w:numFmt w:val="lowerRoman"/>
      <w:start w:val="3"/>
    </w:lvl>
    <w:lvl w:ilvl="1">
      <w:lvlJc w:val="left"/>
      <w:lvlText w:val="•"/>
      <w:numFmt w:val="bullet"/>
      <w:start w:val="1"/>
    </w:lvl>
  </w:abstractNum>
  <w:abstractNum w:abstractNumId="3">
    <w:nsid w:val="5915FF32"/>
    <w:multiLevelType w:val="hybridMultilevel"/>
    <w:lvl w:ilvl="0">
      <w:lvlJc w:val="left"/>
      <w:lvlText w:val="•"/>
      <w:numFmt w:val="bullet"/>
      <w:start w:val="1"/>
    </w:lvl>
  </w:abstractNum>
  <w:abstractNum w:abstractNumId="4">
    <w:nsid w:val="56438D15"/>
    <w:multiLevelType w:val="hybridMultilevel"/>
    <w:lvl w:ilvl="0">
      <w:lvlJc w:val="left"/>
      <w:lvlText w:val="•"/>
      <w:numFmt w:val="bullet"/>
      <w:start w:val="1"/>
    </w:lvl>
  </w:abstractNum>
  <w:abstractNum w:abstractNumId="5">
    <w:nsid w:val="519E3149"/>
    <w:multiLevelType w:val="hybridMultilevel"/>
    <w:lvl w:ilvl="0">
      <w:lvlJc w:val="left"/>
      <w:lvlText w:val="(%1)"/>
      <w:numFmt w:val="lowerLetter"/>
      <w:start w:val="1"/>
    </w:lvl>
  </w:abstractNum>
  <w:abstractNum w:abstractNumId="6">
    <w:nsid w:val="2C6E4AFD"/>
    <w:multiLevelType w:val="hybridMultilevel"/>
    <w:lvl w:ilvl="0">
      <w:lvlJc w:val="left"/>
      <w:lvlText w:val="(%1)"/>
      <w:numFmt w:val="lowerLetter"/>
      <w:start w:val="1"/>
    </w:lvl>
  </w:abstractNum>
  <w:abstractNum w:abstractNumId="7">
    <w:nsid w:val="17A1B582"/>
    <w:multiLevelType w:val="hybridMultilevel"/>
    <w:lvl w:ilvl="0">
      <w:lvlJc w:val="left"/>
      <w:lvlText w:val="•"/>
      <w:numFmt w:val="bullet"/>
      <w:start w:val="1"/>
    </w:lvl>
  </w:abstractNum>
  <w:abstractNum w:abstractNumId="8">
    <w:nsid w:val="4DF72E4E"/>
    <w:multiLevelType w:val="hybridMultilevel"/>
    <w:lvl w:ilvl="0">
      <w:lvlJc w:val="left"/>
      <w:lvlText w:val="(%1)"/>
      <w:numFmt w:val="lowerLetter"/>
      <w:start w:val="1"/>
    </w:lvl>
  </w:abstractNum>
  <w:abstractNum w:abstractNumId="9">
    <w:nsid w:val="5046B5A9"/>
    <w:multiLevelType w:val="hybridMultilevel"/>
    <w:lvl w:ilvl="0">
      <w:lvlJc w:val="left"/>
      <w:lvlText w:val="•"/>
      <w:numFmt w:val="bullet"/>
      <w:start w:val="1"/>
    </w:lvl>
  </w:abstractNum>
  <w:abstractNum w:abstractNumId="10">
    <w:nsid w:val="5D888A08"/>
    <w:multiLevelType w:val="hybridMultilevel"/>
    <w:lvl w:ilvl="0">
      <w:lvlJc w:val="left"/>
      <w:lvlText w:val="•"/>
      <w:numFmt w:val="bullet"/>
      <w:start w:val="1"/>
    </w:lvl>
  </w:abstractNum>
  <w:abstractNum w:abstractNumId="11">
    <w:nsid w:val="2A082C70"/>
    <w:multiLevelType w:val="hybridMultilevel"/>
    <w:lvl w:ilvl="0">
      <w:lvlJc w:val="left"/>
      <w:lvlText w:val="•"/>
      <w:numFmt w:val="bullet"/>
      <w:start w:val="1"/>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1)"/>
      <w:numFmt w:val="lowerLetter"/>
      <w:start w:val="1"/>
    </w:lvl>
  </w:abstractNum>
  <w:abstractNum w:abstractNumId="14">
    <w:nsid w:val="75E0858A"/>
    <w:multiLevelType w:val="hybridMultilevel"/>
    <w:lvl w:ilvl="0">
      <w:lvlJc w:val="left"/>
      <w:lvlText w:val="(%1)"/>
      <w:numFmt w:val="lowerLetter"/>
      <w:start w:val="2"/>
    </w:lvl>
  </w:abstractNum>
  <w:abstractNum w:abstractNumId="15">
    <w:nsid w:val="57A61A29"/>
    <w:multiLevelType w:val="hybridMultilevel"/>
    <w:lvl w:ilvl="0">
      <w:lvlJc w:val="left"/>
      <w:lvlText w:val="•"/>
      <w:numFmt w:val="bullet"/>
      <w:start w:val="1"/>
    </w:lvl>
  </w:abstractNum>
  <w:abstractNum w:abstractNumId="16">
    <w:nsid w:val="5399C654"/>
    <w:multiLevelType w:val="hybridMultilevel"/>
    <w:lvl w:ilvl="0">
      <w:lvlJc w:val="left"/>
      <w:lvlText w:val="•"/>
      <w:numFmt w:val="bullet"/>
      <w:start w:val="1"/>
    </w:lvl>
  </w:abstractNum>
  <w:abstractNum w:abstractNumId="17">
    <w:nsid w:val="20EE1348"/>
    <w:multiLevelType w:val="hybridMultilevel"/>
    <w:lvl w:ilvl="0">
      <w:lvlJc w:val="left"/>
      <w:lvlText w:val="•"/>
      <w:numFmt w:val="bullet"/>
      <w:start w:val="1"/>
    </w:lvl>
  </w:abstractNum>
  <w:abstractNum w:abstractNumId="18">
    <w:nsid w:val="4427069A"/>
    <w:multiLevelType w:val="hybridMultilevel"/>
    <w:lvl w:ilvl="0">
      <w:lvlJc w:val="left"/>
      <w:lvlText w:val="•"/>
      <w:numFmt w:val="bullet"/>
      <w:start w:val="1"/>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
      <w:numFmt w:val="bullet"/>
      <w:start w:val="1"/>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
      <w:numFmt w:val="bullet"/>
      <w:start w:val="1"/>
    </w:lvl>
  </w:abstractNum>
  <w:abstractNum w:abstractNumId="23">
    <w:nsid w:val="BFFAE18"/>
    <w:multiLevelType w:val="hybridMultilevel"/>
    <w:lvl w:ilvl="0">
      <w:lvlJc w:val="left"/>
      <w:lvlText w:val="•"/>
      <w:numFmt w:val="bullet"/>
      <w:start w:val="1"/>
    </w:lvl>
  </w:abstractNum>
  <w:abstractNum w:abstractNumId="24">
    <w:nsid w:val="E3E47A8"/>
    <w:multiLevelType w:val="hybridMultilevel"/>
    <w:lvl w:ilvl="0">
      <w:lvlJc w:val="left"/>
      <w:lvlText w:val="(%1)"/>
      <w:numFmt w:val="lowerLetter"/>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1)"/>
      <w:numFmt w:val="lowerLetter"/>
      <w:start w:val="1"/>
    </w:lvl>
  </w:abstractNum>
  <w:abstractNum w:abstractNumId="27">
    <w:nsid w:val="4BEE5A5B"/>
    <w:multiLevelType w:val="hybridMultilevel"/>
    <w:lvl w:ilvl="0">
      <w:lvlJc w:val="left"/>
      <w:lvlText w:val="(%1)"/>
      <w:numFmt w:val="lowerLetter"/>
      <w:start w:val="1"/>
    </w:lvl>
  </w:abstractNum>
  <w:abstractNum w:abstractNumId="28">
    <w:nsid w:val="5551B9F3"/>
    <w:multiLevelType w:val="hybridMultilevel"/>
    <w:lvl w:ilvl="0">
      <w:lvlJc w:val="left"/>
      <w:lvlText w:val="(%1)"/>
      <w:numFmt w:val="lowerRoman"/>
      <w:start w:val="2"/>
    </w:lvl>
  </w:abstractNum>
  <w:abstractNum w:abstractNumId="29">
    <w:nsid w:val="24F6AB8E"/>
    <w:multiLevelType w:val="hybridMultilevel"/>
    <w:lvl w:ilvl="0">
      <w:lvlJc w:val="left"/>
      <w:lvlText w:val="(%1)"/>
      <w:numFmt w:val="lowerRoman"/>
      <w:start w:val="2"/>
    </w:lvl>
  </w:abstractNum>
  <w:abstractNum w:abstractNumId="30">
    <w:nsid w:val="634C574C"/>
    <w:multiLevelType w:val="hybridMultilevel"/>
    <w:lvl w:ilvl="0">
      <w:lvlJc w:val="left"/>
      <w:lvlText w:val="(%1)"/>
      <w:numFmt w:val="lowerRoman"/>
      <w:start w:val="1"/>
    </w:lvl>
  </w:abstractNum>
  <w:abstractNum w:abstractNumId="31">
    <w:nsid w:val="24E99DD7"/>
    <w:multiLevelType w:val="hybridMultilevel"/>
    <w:lvl w:ilvl="0">
      <w:lvlJc w:val="left"/>
      <w:lvlText w:val="(%1)"/>
      <w:numFmt w:val="lowerRoman"/>
      <w:start w:val="3"/>
    </w:lvl>
  </w:abstractNum>
  <w:abstractNum w:abstractNumId="32">
    <w:nsid w:val="2A31B62D"/>
    <w:multiLevelType w:val="hybridMultilevel"/>
    <w:lvl w:ilvl="0">
      <w:lvlJc w:val="left"/>
      <w:lvlText w:val="%1."/>
      <w:numFmt w:val="decimal"/>
      <w:start w:val="1"/>
    </w:lvl>
  </w:abstractNum>
  <w:abstractNum w:abstractNumId="33">
    <w:nsid w:val="1849C29B"/>
    <w:multiLevelType w:val="hybridMultilevel"/>
    <w:lvl w:ilvl="0">
      <w:lvlJc w:val="left"/>
      <w:lvlText w:val="%1."/>
      <w:numFmt w:val="decimal"/>
      <w:start w:val="2"/>
    </w:lvl>
  </w:abstractNum>
  <w:abstractNum w:abstractNumId="34">
    <w:nsid w:val="7DFF9D09"/>
    <w:multiLevelType w:val="hybridMultilevel"/>
    <w:lvl w:ilvl="0">
      <w:lvlJc w:val="left"/>
      <w:lvlText w:val="(%1)"/>
      <w:numFmt w:val="lowerLetter"/>
      <w:start w:val="1"/>
    </w:lvl>
  </w:abstractNum>
  <w:abstractNum w:abstractNumId="35">
    <w:nsid w:val="754342"/>
    <w:multiLevelType w:val="hybridMultilevel"/>
    <w:lvl w:ilvl="0">
      <w:lvlJc w:val="left"/>
      <w:lvlText w:val="•"/>
      <w:numFmt w:val="bullet"/>
      <w:start w:val="1"/>
    </w:lvl>
  </w:abstractNum>
  <w:abstractNum w:abstractNumId="36">
    <w:nsid w:val="69E7F3E5"/>
    <w:multiLevelType w:val="hybridMultilevel"/>
    <w:lvl w:ilvl="0">
      <w:lvlJc w:val="left"/>
      <w:lvlText w:val="•"/>
      <w:numFmt w:val="bullet"/>
      <w:start w:val="1"/>
    </w:lvl>
  </w:abstractNum>
  <w:abstractNum w:abstractNumId="37">
    <w:nsid w:val="2A6DE806"/>
    <w:multiLevelType w:val="hybridMultilevel"/>
    <w:lvl w:ilvl="0">
      <w:lvlJc w:val="left"/>
      <w:lvlText w:val="•"/>
      <w:numFmt w:val="bullet"/>
      <w:start w:val="1"/>
    </w:lvl>
  </w:abstractNum>
  <w:abstractNum w:abstractNumId="38">
    <w:nsid w:val="1816F8C4"/>
    <w:multiLevelType w:val="hybridMultilevel"/>
    <w:lvl w:ilvl="0">
      <w:lvlJc w:val="left"/>
      <w:lvlText w:val="%1."/>
      <w:numFmt w:val="decimal"/>
      <w:start w:val="3"/>
    </w:lvl>
  </w:abstractNum>
  <w:abstractNum w:abstractNumId="39">
    <w:nsid w:val="37DF2233"/>
    <w:multiLevelType w:val="hybridMultilevel"/>
    <w:lvl w:ilvl="0">
      <w:lvlJc w:val="left"/>
      <w:lvlText w:val="•"/>
      <w:numFmt w:val="bullet"/>
      <w:start w:val="1"/>
    </w:lvl>
  </w:abstractNum>
  <w:abstractNum w:abstractNumId="40">
    <w:nsid w:val="7AB49DAF"/>
    <w:multiLevelType w:val="hybridMultilevel"/>
    <w:lvl w:ilvl="0">
      <w:lvlJc w:val="left"/>
      <w:lvlText w:val="•"/>
      <w:numFmt w:val="bullet"/>
      <w:start w:val="1"/>
    </w:lvl>
  </w:abstractNum>
  <w:abstractNum w:abstractNumId="41">
    <w:nsid w:val="759F82CD"/>
    <w:multiLevelType w:val="hybridMultilevel"/>
    <w:lvl w:ilvl="0">
      <w:lvlJc w:val="left"/>
      <w:lvlText w:val="•"/>
      <w:numFmt w:val="bullet"/>
      <w:start w:val="1"/>
    </w:lvl>
  </w:abstractNum>
  <w:abstractNum w:abstractNumId="42">
    <w:nsid w:val="61E74EA3"/>
    <w:multiLevelType w:val="hybridMultilevel"/>
    <w:lvl w:ilvl="0">
      <w:lvlJc w:val="left"/>
      <w:lvlText w:val="%1."/>
      <w:numFmt w:val="decimal"/>
      <w:start w:val="4"/>
    </w:lvl>
  </w:abstractNum>
  <w:abstractNum w:abstractNumId="43">
    <w:nsid w:val="597B4D84"/>
    <w:multiLevelType w:val="hybridMultilevel"/>
    <w:lvl w:ilvl="0">
      <w:lvlJc w:val="left"/>
      <w:lvlText w:val="(%1)"/>
      <w:numFmt w:val="lowerLetter"/>
      <w:start w:val="1"/>
    </w:lvl>
  </w:abstractNum>
  <w:abstractNum w:abstractNumId="44">
    <w:nsid w:val="F819E7F"/>
    <w:multiLevelType w:val="hybridMultilevel"/>
    <w:lvl w:ilvl="0">
      <w:lvlJc w:val="left"/>
      <w:lvlText w:val="%1."/>
      <w:numFmt w:val="decimal"/>
      <w:start w:val="5"/>
    </w:lvl>
  </w:abstractNum>
  <w:abstractNum w:abstractNumId="45">
    <w:nsid w:val="57C7D42D"/>
    <w:multiLevelType w:val="hybridMultilevel"/>
    <w:lvl w:ilvl="0">
      <w:lvlJc w:val="left"/>
      <w:lvlText w:val="%1."/>
      <w:numFmt w:val="decimal"/>
      <w:start w:val="6"/>
    </w:lvl>
  </w:abstractNum>
  <w:abstractNum w:abstractNumId="46">
    <w:nsid w:val="312167AD"/>
    <w:multiLevelType w:val="hybridMultilevel"/>
    <w:lvl w:ilvl="0">
      <w:lvlJc w:val="left"/>
      <w:lvlText w:val="(%1)"/>
      <w:numFmt w:val="lowerLetter"/>
      <w:start w:val="1"/>
    </w:lvl>
  </w:abstractNum>
  <w:abstractNum w:abstractNumId="47">
    <w:nsid w:val="631B64D4"/>
    <w:multiLevelType w:val="hybridMultilevel"/>
    <w:lvl w:ilvl="0">
      <w:lvlJc w:val="left"/>
      <w:lvlText w:val="(%1)"/>
      <w:numFmt w:val="lowerLetter"/>
      <w:start w:val="1"/>
    </w:lvl>
  </w:abstractNum>
  <w:abstractNum w:abstractNumId="48">
    <w:nsid w:val="78B5E776"/>
    <w:multiLevelType w:val="hybridMultilevel"/>
    <w:lvl w:ilvl="0">
      <w:lvlJc w:val="left"/>
      <w:lvlText w:val="(%1)"/>
      <w:numFmt w:val="lowerRoman"/>
      <w:start w:val="2"/>
    </w:lvl>
  </w:abstractNum>
  <w:abstractNum w:abstractNumId="49">
    <w:nsid w:val="75486E47"/>
    <w:multiLevelType w:val="hybridMultilevel"/>
    <w:lvl w:ilvl="0">
      <w:lvlJc w:val="left"/>
      <w:lvlText w:val="(%1)"/>
      <w:numFmt w:val="lowerLetter"/>
      <w:start w:val="1"/>
    </w:lvl>
  </w:abstractNum>
  <w:abstractNum w:abstractNumId="50">
    <w:nsid w:val="6E534CDE"/>
    <w:multiLevelType w:val="hybridMultilevel"/>
    <w:lvl w:ilvl="0">
      <w:lvlJc w:val="left"/>
      <w:lvlText w:val="(%1)"/>
      <w:numFmt w:val="lowerLetter"/>
      <w:start w:val="1"/>
    </w:lvl>
  </w:abstractNum>
  <w:abstractNum w:abstractNumId="51">
    <w:nsid w:val="1A0DDE32"/>
    <w:multiLevelType w:val="hybridMultilevel"/>
    <w:lvl w:ilvl="0">
      <w:lvlJc w:val="left"/>
      <w:lvlText w:val="%1."/>
      <w:numFmt w:val="decimal"/>
      <w:start w:val="8"/>
    </w:lvl>
  </w:abstractNum>
  <w:abstractNum w:abstractNumId="52">
    <w:nsid w:val="65968C1C"/>
    <w:multiLevelType w:val="hybridMultilevel"/>
    <w:lvl w:ilvl="0">
      <w:lvlJc w:val="left"/>
      <w:lvlText w:val="%1."/>
      <w:numFmt w:val="decimal"/>
      <w:start w:val="9"/>
    </w:lvl>
  </w:abstractNum>
  <w:abstractNum w:abstractNumId="53">
    <w:nsid w:val="46263DEC"/>
    <w:multiLevelType w:val="hybridMultilevel"/>
    <w:lvl w:ilvl="0">
      <w:lvlJc w:val="left"/>
      <w:lvlText w:val="%1."/>
      <w:numFmt w:val="decimal"/>
      <w:start w:val="10"/>
    </w:lvl>
  </w:abstractNum>
  <w:abstractNum w:abstractNumId="54">
    <w:nsid w:val="260D8C4A"/>
    <w:multiLevelType w:val="hybridMultilevel"/>
    <w:lvl w:ilvl="0">
      <w:lvlJc w:val="left"/>
      <w:lvlText w:val="•"/>
      <w:numFmt w:val="bullet"/>
      <w:start w:val="1"/>
    </w:lvl>
  </w:abstractNum>
  <w:abstractNum w:abstractNumId="55">
    <w:nsid w:val="73D4D3C4"/>
    <w:multiLevelType w:val="hybridMultilevel"/>
    <w:lvl w:ilvl="0">
      <w:lvlJc w:val="left"/>
      <w:lvlText w:val="•"/>
      <w:numFmt w:val="bullet"/>
      <w:start w:val="1"/>
    </w:lvl>
  </w:abstractNum>
  <w:abstractNum w:abstractNumId="56">
    <w:nsid w:val="746F2E30"/>
    <w:multiLevelType w:val="hybridMultilevel"/>
    <w:lvl w:ilvl="0">
      <w:lvlJc w:val="left"/>
      <w:lvlText w:val="•"/>
      <w:numFmt w:val="bullet"/>
      <w:start w:val="1"/>
    </w:lvl>
  </w:abstractNum>
  <w:abstractNum w:abstractNumId="57">
    <w:nsid w:val="6FDE8AF6"/>
    <w:multiLevelType w:val="hybridMultilevel"/>
    <w:lvl w:ilvl="0">
      <w:lvlJc w:val="left"/>
      <w:lvlText w:val="•"/>
      <w:numFmt w:val="bullet"/>
      <w:start w:val="1"/>
    </w:lvl>
  </w:abstractNum>
  <w:abstractNum w:abstractNumId="58">
    <w:nsid w:val="3FC32E20"/>
    <w:multiLevelType w:val="hybridMultilevel"/>
    <w:lvl w:ilvl="0">
      <w:lvlJc w:val="left"/>
      <w:lvlText w:val="%1."/>
      <w:numFmt w:val="decimal"/>
      <w:start w:val="11"/>
    </w:lvl>
  </w:abstractNum>
  <w:abstractNum w:abstractNumId="59">
    <w:nsid w:val="49C0E823"/>
    <w:multiLevelType w:val="hybridMultilevel"/>
    <w:lvl w:ilvl="0">
      <w:lvlJc w:val="left"/>
      <w:lvlText w:val="%1."/>
      <w:numFmt w:val="decimal"/>
      <w:start w:val="12"/>
    </w:lvl>
  </w:abstractNum>
  <w:abstractNum w:abstractNumId="60">
    <w:nsid w:val="14D53685"/>
    <w:multiLevelType w:val="hybridMultilevel"/>
    <w:lvl w:ilvl="0">
      <w:lvlJc w:val="left"/>
      <w:lvlText w:val="(%1)"/>
      <w:numFmt w:val="lowerLetter"/>
      <w:start w:val="1"/>
    </w:lvl>
  </w:abstractNum>
  <w:abstractNum w:abstractNumId="61">
    <w:nsid w:val="230F856C"/>
    <w:multiLevelType w:val="hybridMultilevel"/>
    <w:lvl w:ilvl="0">
      <w:lvlJc w:val="left"/>
      <w:lvlText w:val="%1."/>
      <w:numFmt w:val="decimal"/>
      <w:start w:val="13"/>
    </w:lvl>
  </w:abstractNum>
  <w:abstractNum w:abstractNumId="62">
    <w:nsid w:val="6EAA85FB"/>
    <w:multiLevelType w:val="hybridMultilevel"/>
    <w:lvl w:ilvl="0">
      <w:lvlJc w:val="left"/>
      <w:lvlText w:val="%1."/>
      <w:numFmt w:val="decimal"/>
      <w:start w:val="14"/>
    </w:lvl>
  </w:abstractNum>
  <w:abstractNum w:abstractNumId="63">
    <w:nsid w:val="3F06ECB2"/>
    <w:multiLevelType w:val="hybridMultilevel"/>
    <w:lvl w:ilvl="0">
      <w:lvlJc w:val="left"/>
      <w:lvlText w:val="(%1)"/>
      <w:numFmt w:val="lowerLetter"/>
      <w:start w:val="1"/>
    </w:lvl>
  </w:abstractNum>
  <w:abstractNum w:abstractNumId="64">
    <w:nsid w:val="3B594807"/>
    <w:multiLevelType w:val="hybridMultilevel"/>
    <w:lvl w:ilvl="0">
      <w:lvlJc w:val="left"/>
      <w:lvlText w:val="%1."/>
      <w:numFmt w:val="decimal"/>
      <w:start w:val="15"/>
    </w:lvl>
  </w:abstractNum>
  <w:abstractNum w:abstractNumId="65">
    <w:nsid w:val="6CAA2304"/>
    <w:multiLevelType w:val="hybridMultilevel"/>
    <w:lvl w:ilvl="0">
      <w:lvlJc w:val="left"/>
      <w:lvlText w:val="%1."/>
      <w:numFmt w:val="decimal"/>
      <w:start w:val="16"/>
    </w:lvl>
  </w:abstractNum>
  <w:abstractNum w:abstractNumId="66">
    <w:nsid w:val="3F7C2FF4"/>
    <w:multiLevelType w:val="hybridMultilevel"/>
    <w:lvl w:ilvl="0">
      <w:lvlJc w:val="left"/>
      <w:lvlText w:val="%1."/>
      <w:numFmt w:val="decimal"/>
      <w:start w:val="17"/>
    </w:lvl>
  </w:abstractNum>
  <w:abstractNum w:abstractNumId="67">
    <w:nsid w:val="25413BEC"/>
    <w:multiLevelType w:val="hybridMultilevel"/>
    <w:lvl w:ilvl="0">
      <w:lvlJc w:val="left"/>
      <w:lvlText w:val="%1."/>
      <w:numFmt w:val="decimal"/>
      <w:start w:val="18"/>
    </w:lvl>
  </w:abstractNum>
  <w:abstractNum w:abstractNumId="68">
    <w:nsid w:val="17180B0B"/>
    <w:multiLevelType w:val="hybridMultilevel"/>
    <w:lvl w:ilvl="0">
      <w:lvlJc w:val="left"/>
      <w:lvlText w:val="%1."/>
      <w:numFmt w:val="decimal"/>
      <w:start w:val="19"/>
    </w:lvl>
  </w:abstractNum>
  <w:abstractNum w:abstractNumId="69">
    <w:nsid w:val="579328B9"/>
    <w:multiLevelType w:val="hybridMultilevel"/>
    <w:lvl w:ilvl="0">
      <w:lvlJc w:val="left"/>
      <w:lvlText w:val="(%1)"/>
      <w:numFmt w:val="lowerLetter"/>
      <w:start w:val="1"/>
    </w:lvl>
  </w:abstractNum>
  <w:abstractNum w:abstractNumId="70">
    <w:nsid w:val="5D205E20"/>
    <w:multiLevelType w:val="hybridMultilevel"/>
    <w:lvl w:ilvl="0">
      <w:lvlJc w:val="left"/>
      <w:lvlText w:val="(%1)"/>
      <w:numFmt w:val="lowerRoman"/>
      <w:start w:val="2"/>
    </w:lvl>
  </w:abstractNum>
  <w:abstractNum w:abstractNumId="71">
    <w:nsid w:val="11CCA8BA"/>
    <w:multiLevelType w:val="hybridMultilevel"/>
    <w:lvl w:ilvl="0">
      <w:lvlJc w:val="left"/>
      <w:lvlText w:val="%1."/>
      <w:numFmt w:val="decimal"/>
      <w:start w:val="20"/>
    </w:lvl>
  </w:abstractNum>
  <w:abstractNum w:abstractNumId="72">
    <w:nsid w:val="4D32AB86"/>
    <w:multiLevelType w:val="hybridMultilevel"/>
    <w:lvl w:ilvl="0">
      <w:lvlJc w:val="left"/>
      <w:lvlText w:val="(%1)"/>
      <w:numFmt w:val="lowerLetter"/>
      <w:start w:val="1"/>
    </w:lvl>
  </w:abstractNum>
  <w:abstractNum w:abstractNumId="73">
    <w:nsid w:val="3F07ACC3"/>
    <w:multiLevelType w:val="hybridMultilevel"/>
    <w:lvl w:ilvl="0">
      <w:lvlJc w:val="left"/>
      <w:lvlText w:val="(%1)"/>
      <w:numFmt w:val="lowerLetter"/>
      <w:start w:val="7"/>
    </w:lvl>
  </w:abstractNum>
  <w:abstractNum w:abstractNumId="74">
    <w:nsid w:val="6B47F63E"/>
    <w:multiLevelType w:val="hybridMultilevel"/>
    <w:lvl w:ilvl="0">
      <w:lvlJc w:val="left"/>
      <w:lvlText w:val="(%1)"/>
      <w:numFmt w:val="lowerLetter"/>
      <w:start w:val="8"/>
    </w:lvl>
  </w:abstractNum>
  <w:abstractNum w:abstractNumId="75">
    <w:nsid w:val="5CB44A05"/>
    <w:multiLevelType w:val="hybridMultilevel"/>
    <w:lvl w:ilvl="0">
      <w:lvlJc w:val="left"/>
      <w:lvlText w:val="(%1)"/>
      <w:numFmt w:val="lowerLetter"/>
      <w:start w:val="1"/>
    </w:lvl>
  </w:abstractNum>
  <w:abstractNum w:abstractNumId="76">
    <w:nsid w:val="16CF80F1"/>
    <w:multiLevelType w:val="hybridMultilevel"/>
    <w:lvl w:ilvl="0">
      <w:lvlJc w:val="left"/>
      <w:lvlText w:val="%1."/>
      <w:numFmt w:val="decimal"/>
      <w:start w:val="21"/>
    </w:lvl>
  </w:abstractNum>
  <w:abstractNum w:abstractNumId="77">
    <w:nsid w:val="1C695DEC"/>
    <w:multiLevelType w:val="hybridMultilevel"/>
    <w:lvl w:ilvl="0">
      <w:lvlJc w:val="left"/>
      <w:lvlText w:val="(%1)"/>
      <w:numFmt w:val="lowerLetter"/>
      <w:start w:val="1"/>
    </w:lvl>
  </w:abstractNum>
  <w:abstractNum w:abstractNumId="78">
    <w:nsid w:val="3FCFAED9"/>
    <w:multiLevelType w:val="hybridMultilevel"/>
    <w:lvl w:ilvl="0">
      <w:lvlJc w:val="left"/>
      <w:lvlText w:val="%1"/>
      <w:numFmt w:val="decimal"/>
      <w:start w:val="18"/>
    </w:lvl>
  </w:abstractNum>
  <w:abstractNum w:abstractNumId="79">
    <w:nsid w:val="F856867"/>
    <w:multiLevelType w:val="hybridMultilevel"/>
    <w:lvl w:ilvl="0">
      <w:lvlJc w:val="left"/>
      <w:lvlText w:val="*"/>
      <w:numFmt w:val="bullet"/>
      <w:start w:val="1"/>
    </w:lvl>
    <w:lvl w:ilvl="1">
      <w:lvlJc w:val="left"/>
      <w:lvlText w:val="(%2)"/>
      <w:numFmt w:val="lowerLetter"/>
      <w:start w:val="1"/>
    </w:lvl>
  </w:abstractNum>
  <w:abstractNum w:abstractNumId="80">
    <w:nsid w:val="11B1CC33"/>
    <w:multiLevelType w:val="hybridMultilevel"/>
    <w:lvl w:ilvl="0">
      <w:lvlJc w:val="left"/>
      <w:lvlText w:val="(%1)"/>
      <w:numFmt w:val="upperLetter"/>
      <w:start w:val="1"/>
    </w:lvl>
  </w:abstractNum>
  <w:abstractNum w:abstractNumId="81">
    <w:nsid w:val="2E22FBB7"/>
    <w:multiLevelType w:val="hybridMultilevel"/>
    <w:lvl w:ilvl="0">
      <w:lvlJc w:val="left"/>
      <w:lvlText w:val="%1"/>
      <w:numFmt w:val="decimal"/>
      <w:start w:val="18"/>
    </w:lvl>
  </w:abstractNum>
  <w:abstractNum w:abstractNumId="82">
    <w:nsid w:val="29934699"/>
    <w:multiLevelType w:val="hybridMultilevel"/>
    <w:lvl w:ilvl="0">
      <w:lvlJc w:val="left"/>
      <w:lvlText w:val="(%1)"/>
      <w:numFmt w:val="lowerRoman"/>
      <w:start w:val="2"/>
    </w:lvl>
  </w:abstractNum>
  <w:abstractNum w:abstractNumId="83">
    <w:nsid w:val="77485850"/>
    <w:multiLevelType w:val="hybridMultilevel"/>
    <w:lvl w:ilvl="0">
      <w:lvlJc w:val="left"/>
      <w:lvlText w:val="(%1)"/>
      <w:numFmt w:val="lowerLetter"/>
      <w:start w:val="1"/>
    </w:lvl>
  </w:abstractNum>
  <w:abstractNum w:abstractNumId="84">
    <w:nsid w:val="744939A3"/>
    <w:multiLevelType w:val="hybridMultilevel"/>
    <w:lvl w:ilvl="0">
      <w:lvlJc w:val="left"/>
      <w:lvlText w:val="(%1)"/>
      <w:numFmt w:val="decimal"/>
      <w:start w:val="5"/>
    </w:lvl>
  </w:abstractNum>
  <w:abstractNum w:abstractNumId="85">
    <w:nsid w:val="4FA0D2E3"/>
    <w:multiLevelType w:val="hybridMultilevel"/>
    <w:lvl w:ilvl="0">
      <w:lvlJc w:val="left"/>
      <w:lvlText w:val="(%1)"/>
      <w:numFmt w:val="lowerLetter"/>
      <w:start w:val="1"/>
    </w:lvl>
  </w:abstractNum>
  <w:abstractNum w:abstractNumId="86">
    <w:nsid w:val="6B1D2C14"/>
    <w:multiLevelType w:val="hybridMultilevel"/>
    <w:lvl w:ilvl="0">
      <w:lvlJc w:val="left"/>
      <w:lvlText w:val="(%1)"/>
      <w:numFmt w:val="lowerRoman"/>
      <w:start w:val="1"/>
    </w:lvl>
  </w:abstractNum>
  <w:abstractNum w:abstractNumId="87">
    <w:nsid w:val="68B867D3"/>
    <w:multiLevelType w:val="hybridMultilevel"/>
    <w:lvl w:ilvl="0">
      <w:lvlJc w:val="left"/>
      <w:lvlText w:val="(%1)"/>
      <w:numFmt w:val="lowerRoman"/>
      <w:start w:val="5"/>
    </w:lvl>
  </w:abstractNum>
  <w:abstractNum w:abstractNumId="88">
    <w:nsid w:val="3F7F5DD9"/>
    <w:multiLevelType w:val="hybridMultilevel"/>
    <w:lvl w:ilvl="0">
      <w:lvlJc w:val="left"/>
      <w:lvlText w:val="(%1)"/>
      <w:numFmt w:val="lowerLetter"/>
      <w:start w:val="1"/>
    </w:lvl>
  </w:abstractNum>
  <w:abstractNum w:abstractNumId="89">
    <w:nsid w:val="2AE05A34"/>
    <w:multiLevelType w:val="hybridMultilevel"/>
    <w:lvl w:ilvl="0">
      <w:lvlJc w:val="left"/>
      <w:lvlText w:val="(%1)"/>
      <w:numFmt w:val="lowerLetter"/>
      <w:start w:val="6"/>
    </w:lvl>
  </w:abstractNum>
  <w:abstractNum w:abstractNumId="90">
    <w:nsid w:val="32794FF7"/>
    <w:multiLevelType w:val="hybridMultilevel"/>
    <w:lvl w:ilvl="0">
      <w:lvlJc w:val="left"/>
      <w:lvlText w:val="(%1)"/>
      <w:numFmt w:val="lowerLetter"/>
      <w:start w:val="8"/>
    </w:lvl>
    <w:lvl w:ilvl="1">
      <w:lvlJc w:val="left"/>
      <w:lvlText w:val="(%2)"/>
      <w:numFmt w:val="lowerRoman"/>
      <w:start w:val="1"/>
    </w:lvl>
  </w:abstractNum>
  <w:abstractNum w:abstractNumId="91">
    <w:nsid w:val="5454945E"/>
    <w:multiLevelType w:val="hybridMultilevel"/>
    <w:lvl w:ilvl="0">
      <w:lvlJc w:val="left"/>
      <w:lvlText w:val="(%1)"/>
      <w:numFmt w:val="lowerRoman"/>
      <w:start w:val="1"/>
    </w:lvl>
  </w:abstractNum>
  <w:abstractNum w:abstractNumId="92">
    <w:nsid w:val="4DEFDFA0"/>
    <w:multiLevelType w:val="hybridMultilevel"/>
    <w:lvl w:ilvl="0">
      <w:lvlJc w:val="left"/>
      <w:lvlText w:val="(%1)"/>
      <w:numFmt w:val="lowerLetter"/>
      <w:start w:val="1"/>
    </w:lvl>
  </w:abstractNum>
  <w:abstractNum w:abstractNumId="93">
    <w:nsid w:val="2123D5F2"/>
    <w:multiLevelType w:val="hybridMultilevel"/>
    <w:lvl w:ilvl="0">
      <w:lvlJc w:val="left"/>
      <w:lvlText w:val="(%1)"/>
      <w:numFmt w:val="lowerLetter"/>
      <w:start w:val="2"/>
    </w:lvl>
  </w:abstractNum>
  <w:abstractNum w:abstractNumId="94">
    <w:nsid w:val="135B8110"/>
    <w:multiLevelType w:val="hybridMultilevel"/>
    <w:lvl w:ilvl="0">
      <w:lvlJc w:val="left"/>
      <w:lvlText w:val="(%1)"/>
      <w:numFmt w:val="lowerRoman"/>
      <w:start w:val="1"/>
    </w:lvl>
  </w:abstractNum>
  <w:abstractNum w:abstractNumId="95">
    <w:nsid w:val="94927A8"/>
    <w:multiLevelType w:val="hybridMultilevel"/>
    <w:lvl w:ilvl="0">
      <w:lvlJc w:val="left"/>
      <w:lvlText w:val="(%1)"/>
      <w:numFmt w:val="lowerRoman"/>
      <w:start w:val="2"/>
    </w:lvl>
  </w:abstractNum>
  <w:abstractNum w:abstractNumId="96">
    <w:nsid w:val="DCDF8F6"/>
    <w:multiLevelType w:val="hybridMultilevel"/>
    <w:lvl w:ilvl="0">
      <w:lvlJc w:val="left"/>
      <w:lvlText w:val="%1"/>
      <w:numFmt w:val="lowerRoman"/>
      <w:start w:val="1"/>
    </w:lvl>
    <w:lvl w:ilvl="1">
      <w:lvlJc w:val="left"/>
      <w:lvlText w:val="(%2)"/>
      <w:numFmt w:val="decimal"/>
      <w:start w:val="1"/>
    </w:lvl>
  </w:abstractNum>
  <w:abstractNum w:abstractNumId="97">
    <w:nsid w:val="52D7B105"/>
    <w:multiLevelType w:val="hybridMultilevel"/>
    <w:lvl w:ilvl="0">
      <w:lvlJc w:val="left"/>
      <w:lvlText w:val="(%1)"/>
      <w:numFmt w:val="lowerRoman"/>
      <w:start w:val="1"/>
    </w:lvl>
    <w:lvl w:ilvl="1">
      <w:lvlJc w:val="left"/>
      <w:lvlText w:val="%2"/>
      <w:numFmt w:val="decimal"/>
      <w:start w:val="1"/>
    </w:lvl>
  </w:abstractNum>
  <w:abstractNum w:abstractNumId="98">
    <w:nsid w:val="2E8A6394"/>
    <w:multiLevelType w:val="hybridMultilevel"/>
    <w:lvl w:ilvl="0">
      <w:lvlJc w:val="left"/>
      <w:lvlText w:val="(%1)"/>
      <w:numFmt w:val="decimal"/>
      <w:start w:val="2"/>
    </w:lvl>
  </w:abstractNum>
  <w:abstractNum w:abstractNumId="99">
    <w:nsid w:val="24E60401"/>
    <w:multiLevelType w:val="hybridMultilevel"/>
    <w:lvl w:ilvl="0">
      <w:lvlJc w:val="left"/>
      <w:lvlText w:val="(%1)"/>
      <w:numFmt w:val="decimal"/>
      <w:start w:val="10"/>
    </w:lvl>
  </w:abstractNum>
  <w:abstractNum w:abstractNumId="100">
    <w:nsid w:val="2A6AD9BE"/>
    <w:multiLevelType w:val="hybridMultilevel"/>
    <w:lvl w:ilvl="0">
      <w:lvlJc w:val="left"/>
      <w:lvlText w:val="(%1)"/>
      <w:numFmt w:val="lowerLetter"/>
      <w:start w:val="2"/>
    </w:lvl>
  </w:abstractNum>
  <w:abstractNum w:abstractNumId="101">
    <w:nsid w:val="BAAC1B4"/>
    <w:multiLevelType w:val="hybridMultilevel"/>
    <w:lvl w:ilvl="0">
      <w:lvlJc w:val="left"/>
      <w:lvlText w:val="(%1)"/>
      <w:numFmt w:val="lowerLetter"/>
      <w:start w:val="3"/>
    </w:lvl>
  </w:abstractNum>
  <w:abstractNum w:abstractNumId="102">
    <w:nsid w:val="36B2ACBC"/>
    <w:multiLevelType w:val="hybridMultilevel"/>
    <w:lvl w:ilvl="0">
      <w:lvlJc w:val="left"/>
      <w:lvlText w:val="(%1)"/>
      <w:numFmt w:val="decimal"/>
      <w:start w:val="1"/>
    </w:lvl>
  </w:abstractNum>
  <w:abstractNum w:abstractNumId="103">
    <w:nsid w:val="779D8544"/>
    <w:multiLevelType w:val="hybridMultilevel"/>
    <w:lvl w:ilvl="0">
      <w:lvlJc w:val="left"/>
      <w:lvlText w:val="(%1)"/>
      <w:numFmt w:val="lowerLetter"/>
      <w:start w:val="1"/>
    </w:lvl>
  </w:abstractNum>
  <w:abstractNum w:abstractNumId="104">
    <w:nsid w:val="4AB26E78"/>
    <w:multiLevelType w:val="hybridMultilevel"/>
    <w:lvl w:ilvl="0">
      <w:lvlJc w:val="left"/>
      <w:lvlText w:val="(%1)"/>
      <w:numFmt w:val="lowerLetter"/>
      <w:start w:val="1"/>
    </w:lvl>
  </w:abstractNum>
  <w:abstractNum w:abstractNumId="105">
    <w:nsid w:val="21FAA2FA"/>
    <w:multiLevelType w:val="hybridMultilevel"/>
    <w:lvl w:ilvl="0">
      <w:lvlJc w:val="left"/>
      <w:lvlText w:val="(%1)"/>
      <w:numFmt w:val="lowerLetter"/>
      <w:start w:val="1"/>
    </w:lvl>
  </w:abstractNum>
  <w:abstractNum w:abstractNumId="106">
    <w:nsid w:val="5451CF49"/>
    <w:multiLevelType w:val="hybridMultilevel"/>
    <w:lvl w:ilvl="0">
      <w:lvlJc w:val="left"/>
      <w:lvlText w:val="(%1)"/>
      <w:numFmt w:val="lowerLetter"/>
      <w:start w:val="1"/>
    </w:lvl>
  </w:abstractNum>
  <w:abstractNum w:abstractNumId="107">
    <w:nsid w:val="6181EF69"/>
    <w:multiLevelType w:val="hybridMultilevel"/>
    <w:lvl w:ilvl="0">
      <w:lvlJc w:val="left"/>
      <w:lvlText w:val="(%1)"/>
      <w:numFmt w:val="lowerLetter"/>
      <w:start w:val="2"/>
    </w:lvl>
  </w:abstractNum>
  <w:abstractNum w:abstractNumId="108">
    <w:nsid w:val="3E6400E6"/>
    <w:multiLevelType w:val="hybridMultilevel"/>
    <w:lvl w:ilvl="0">
      <w:lvlJc w:val="left"/>
      <w:lvlText w:val="(%1)"/>
      <w:numFmt w:val="lowerLetter"/>
      <w:start w:val="1"/>
    </w:lvl>
  </w:abstractNum>
  <w:abstractNum w:abstractNumId="109">
    <w:nsid w:val="14217E23"/>
    <w:multiLevelType w:val="hybridMultilevel"/>
    <w:lvl w:ilvl="0">
      <w:lvlJc w:val="left"/>
      <w:lvlText w:val="(%1)"/>
      <w:numFmt w:val="lowerLetter"/>
      <w:start w:val="1"/>
    </w:lvl>
  </w:abstractNum>
  <w:abstractNum w:abstractNumId="110">
    <w:nsid w:val="710757D0"/>
    <w:multiLevelType w:val="hybridMultilevel"/>
    <w:lvl w:ilvl="0">
      <w:lvlJc w:val="left"/>
      <w:lvlText w:val="(%1)"/>
      <w:numFmt w:val="lowerLetter"/>
      <w:start w:val="1"/>
    </w:lvl>
  </w:abstractNum>
  <w:abstractNum w:abstractNumId="111">
    <w:nsid w:val="5015CD1A"/>
    <w:multiLevelType w:val="hybridMultilevel"/>
    <w:lvl w:ilvl="0">
      <w:lvlJc w:val="left"/>
      <w:lvlText w:val="(%1)"/>
      <w:numFmt w:val="lowerLetter"/>
      <w:start w:val="5"/>
    </w:lvl>
  </w:abstractNum>
  <w:abstractNum w:abstractNumId="112">
    <w:nsid w:val="424479DA"/>
    <w:multiLevelType w:val="hybridMultilevel"/>
    <w:lvl w:ilvl="0">
      <w:lvlJc w:val="left"/>
      <w:lvlText w:val="%1."/>
      <w:numFmt w:val="decimal"/>
      <w:start w:val="1"/>
    </w:lvl>
  </w:abstractNum>
  <w:abstractNum w:abstractNumId="113">
    <w:nsid w:val="1A9A9E69"/>
    <w:multiLevelType w:val="hybridMultilevel"/>
    <w:lvl w:ilvl="0">
      <w:lvlJc w:val="left"/>
      <w:lvlText w:val="%1."/>
      <w:numFmt w:val="decimal"/>
      <w:start w:val="2"/>
    </w:lvl>
  </w:abstractNum>
  <w:abstractNum w:abstractNumId="114">
    <w:nsid w:val="475E256A"/>
    <w:multiLevelType w:val="hybridMultilevel"/>
    <w:lvl w:ilvl="0">
      <w:lvlJc w:val="left"/>
      <w:lvlText w:val="%1."/>
      <w:numFmt w:val="decimal"/>
      <w:start w:val="3"/>
    </w:lvl>
  </w:abstractNum>
  <w:abstractNum w:abstractNumId="115">
    <w:nsid w:val="368DB37E"/>
    <w:multiLevelType w:val="hybridMultilevel"/>
    <w:lvl w:ilvl="0">
      <w:lvlJc w:val="left"/>
      <w:lvlText w:val="(%1)"/>
      <w:numFmt w:val="lowerLetter"/>
      <w:start w:val="1"/>
    </w:lvl>
  </w:abstractNum>
  <w:abstractNum w:abstractNumId="116">
    <w:nsid w:val="6A3B714C"/>
    <w:multiLevelType w:val="hybridMultilevel"/>
    <w:lvl w:ilvl="0">
      <w:lvlJc w:val="left"/>
      <w:lvlText w:val="%1."/>
      <w:numFmt w:val="decimal"/>
      <w:start w:val="4"/>
    </w:lvl>
  </w:abstractNum>
  <w:abstractNum w:abstractNumId="117">
    <w:nsid w:val="327B517E"/>
    <w:multiLevelType w:val="hybridMultilevel"/>
    <w:lvl w:ilvl="0">
      <w:lvlJc w:val="left"/>
      <w:lvlText w:val="(%1)"/>
      <w:numFmt w:val="lowerLetter"/>
      <w:start w:val="1"/>
    </w:lvl>
  </w:abstractNum>
  <w:abstractNum w:abstractNumId="118">
    <w:nsid w:val="1F461B51"/>
    <w:multiLevelType w:val="hybridMultilevel"/>
    <w:lvl w:ilvl="0">
      <w:lvlJc w:val="left"/>
      <w:lvlText w:val="(%1)"/>
      <w:numFmt w:val="lowerLetter"/>
      <w:start w:val="2"/>
    </w:lvl>
  </w:abstractNum>
  <w:abstractNum w:abstractNumId="119">
    <w:nsid w:val="29BACF25"/>
    <w:multiLevelType w:val="hybridMultilevel"/>
    <w:lvl w:ilvl="0">
      <w:lvlJc w:val="left"/>
      <w:lvlText w:val="(%1)"/>
      <w:numFmt w:val="lowerLetter"/>
      <w:start w:val="4"/>
    </w:lvl>
  </w:abstractNum>
  <w:abstractNum w:abstractNumId="120">
    <w:nsid w:val="5D5BABB3"/>
    <w:multiLevelType w:val="hybridMultilevel"/>
    <w:lvl w:ilvl="0">
      <w:lvlJc w:val="left"/>
      <w:lvlText w:val="(%1)"/>
      <w:numFmt w:val="lowerLetter"/>
      <w:start w:val="5"/>
    </w:lvl>
  </w:abstractNum>
  <w:abstractNum w:abstractNumId="121">
    <w:nsid w:val="51BF6B48"/>
    <w:multiLevelType w:val="hybridMultilevel"/>
    <w:lvl w:ilvl="0">
      <w:lvlJc w:val="left"/>
      <w:lvlText w:val="(%1)"/>
      <w:numFmt w:val="lowerLetter"/>
      <w:start w:val="6"/>
    </w:lvl>
    <w:lvl w:ilvl="1">
      <w:lvlJc w:val="left"/>
      <w:lvlText w:val="%2."/>
      <w:numFmt w:val="decimal"/>
      <w:start w:val="1"/>
    </w:lvl>
  </w:abstractNum>
  <w:abstractNum w:abstractNumId="122">
    <w:nsid w:val="7E0F6384"/>
    <w:multiLevelType w:val="hybridMultilevel"/>
    <w:lvl w:ilvl="0">
      <w:lvlJc w:val="left"/>
      <w:lvlText w:val="%1."/>
      <w:numFmt w:val="decimal"/>
      <w:start w:val="5"/>
    </w:lvl>
  </w:abstractNum>
  <w:abstractNum w:abstractNumId="123">
    <w:nsid w:val="2B4B8B53"/>
    <w:multiLevelType w:val="hybridMultilevel"/>
    <w:lvl w:ilvl="0">
      <w:lvlJc w:val="left"/>
      <w:lvlText w:val="(%1)"/>
      <w:numFmt w:val="lowerLetter"/>
      <w:start w:val="1"/>
    </w:lvl>
  </w:abstractNum>
  <w:abstractNum w:abstractNumId="124">
    <w:nsid w:val="72E3413A"/>
    <w:multiLevelType w:val="hybridMultilevel"/>
    <w:lvl w:ilvl="0">
      <w:lvlJc w:val="left"/>
      <w:lvlText w:val="(%1)"/>
      <w:numFmt w:val="lowerRoman"/>
      <w:start w:val="1"/>
    </w:lvl>
  </w:abstractNum>
  <w:abstractNum w:abstractNumId="125">
    <w:nsid w:val="116AE494"/>
    <w:multiLevelType w:val="hybridMultilevel"/>
    <w:lvl w:ilvl="0">
      <w:lvlJc w:val="left"/>
      <w:lvlText w:val="%1"/>
      <w:numFmt w:val="lowerRoman"/>
      <w:start w:val="1"/>
    </w:lvl>
    <w:lvl w:ilvl="1">
      <w:lvlJc w:val="left"/>
      <w:lvlText w:val="(%2)"/>
      <w:numFmt w:val="upperLetter"/>
      <w:start w:val="3"/>
    </w:lvl>
  </w:abstractNum>
  <w:abstractNum w:abstractNumId="126">
    <w:nsid w:val="3494B2FB"/>
    <w:multiLevelType w:val="hybridMultilevel"/>
    <w:lvl w:ilvl="0">
      <w:lvlJc w:val="left"/>
      <w:lvlText w:val="(%1)"/>
      <w:numFmt w:val="lowerRoman"/>
      <w:start w:val="2"/>
    </w:lvl>
    <w:lvl w:ilvl="1">
      <w:lvlJc w:val="left"/>
      <w:lvlText w:val="%2"/>
      <w:numFmt w:val="upperLetter"/>
      <w:start w:val="1"/>
    </w:lvl>
  </w:abstractNum>
  <w:abstractNum w:abstractNumId="127">
    <w:nsid w:val="B13A31"/>
    <w:multiLevelType w:val="hybridMultilevel"/>
    <w:lvl w:ilvl="0">
      <w:lvlJc w:val="left"/>
      <w:lvlText w:val="(%1)"/>
      <w:numFmt w:val="lowerLetter"/>
      <w:start w:val="4"/>
    </w:lvl>
  </w:abstractNum>
  <w:abstractNum w:abstractNumId="128">
    <w:nsid w:val="64429599"/>
    <w:multiLevelType w:val="hybridMultilevel"/>
    <w:lvl w:ilvl="0">
      <w:lvlJc w:val="left"/>
      <w:lvlText w:val="(%1)"/>
      <w:numFmt w:val="lowerRoman"/>
      <w:start w:val="1"/>
    </w:lvl>
  </w:abstractNum>
  <w:abstractNum w:abstractNumId="129">
    <w:nsid w:val="631F1690"/>
    <w:multiLevelType w:val="hybridMultilevel"/>
    <w:lvl w:ilvl="0">
      <w:lvlJc w:val="left"/>
      <w:lvlText w:val="(%1)"/>
      <w:numFmt w:val="lowerRoman"/>
      <w:start w:val="2"/>
    </w:lvl>
  </w:abstractNum>
  <w:abstractNum w:abstractNumId="130">
    <w:nsid w:val="25973E32"/>
    <w:multiLevelType w:val="hybridMultilevel"/>
    <w:lvl w:ilvl="0">
      <w:lvlJc w:val="left"/>
      <w:lvlText w:val="(%1)"/>
      <w:numFmt w:val="lowerLetter"/>
      <w:start w:val="5"/>
    </w:lvl>
  </w:abstractNum>
  <w:abstractNum w:abstractNumId="131">
    <w:nsid w:val="EAD6F57"/>
    <w:multiLevelType w:val="hybridMultilevel"/>
    <w:lvl w:ilvl="0">
      <w:lvlJc w:val="left"/>
      <w:lvlText w:val="%1."/>
      <w:numFmt w:val="decimal"/>
      <w:start w:val="6"/>
    </w:lvl>
  </w:abstractNum>
  <w:abstractNum w:abstractNumId="132">
    <w:nsid w:val="6EC9D844"/>
    <w:multiLevelType w:val="hybridMultilevel"/>
    <w:lvl w:ilvl="0">
      <w:lvlJc w:val="left"/>
      <w:lvlText w:val="(%1)"/>
      <w:numFmt w:val="lowerLetter"/>
      <w:start w:val="1"/>
    </w:lvl>
  </w:abstractNum>
  <w:abstractNum w:abstractNumId="133">
    <w:nsid w:val="5C49EAEE"/>
    <w:multiLevelType w:val="hybridMultilevel"/>
    <w:lvl w:ilvl="0">
      <w:lvlJc w:val="left"/>
      <w:lvlText w:val="(%1)"/>
      <w:numFmt w:val="lowerRoman"/>
      <w:start w:val="1"/>
    </w:lvl>
  </w:abstractNum>
  <w:abstractNum w:abstractNumId="134">
    <w:nsid w:val="64AF49B"/>
    <w:multiLevelType w:val="hybridMultilevel"/>
    <w:lvl w:ilvl="0">
      <w:lvlJc w:val="left"/>
      <w:lvlText w:val="(%1)"/>
      <w:numFmt w:val="lowerRoman"/>
      <w:start w:val="3"/>
    </w:lvl>
  </w:abstractNum>
  <w:abstractNum w:abstractNumId="135">
    <w:nsid w:val="397C46BC"/>
    <w:multiLevelType w:val="hybridMultilevel"/>
    <w:lvl w:ilvl="0">
      <w:lvlJc w:val="left"/>
      <w:lvlText w:val="(%1)"/>
      <w:numFmt w:val="lowerLetter"/>
      <w:start w:val="2"/>
    </w:lvl>
  </w:abstractNum>
  <w:abstractNum w:abstractNumId="136">
    <w:nsid w:val="7E448DE9"/>
    <w:multiLevelType w:val="hybridMultilevel"/>
    <w:lvl w:ilvl="0">
      <w:lvlJc w:val="left"/>
      <w:lvlText w:val="(%1)"/>
      <w:numFmt w:val="lowerRoman"/>
      <w:start w:val="1"/>
    </w:lvl>
  </w:abstractNum>
  <w:abstractNum w:abstractNumId="137">
    <w:nsid w:val="5A9CC3E5"/>
    <w:multiLevelType w:val="hybridMultilevel"/>
    <w:lvl w:ilvl="0">
      <w:lvlJc w:val="left"/>
      <w:lvlText w:val="(%1)"/>
      <w:numFmt w:val="lowerLetter"/>
      <w:start w:val="3"/>
    </w:lvl>
  </w:abstractNum>
  <w:abstractNum w:abstractNumId="138">
    <w:nsid w:val="1AFE3625"/>
    <w:multiLevelType w:val="hybridMultilevel"/>
    <w:lvl w:ilvl="0">
      <w:lvlJc w:val="left"/>
      <w:lvlText w:val="(%1)"/>
      <w:numFmt w:val="lowerRoman"/>
      <w:start w:val="1"/>
    </w:lvl>
  </w:abstractNum>
  <w:abstractNum w:abstractNumId="139">
    <w:nsid w:val="3CA88ECF"/>
    <w:multiLevelType w:val="hybridMultilevel"/>
    <w:lvl w:ilvl="0">
      <w:lvlJc w:val="left"/>
      <w:lvlText w:val="(%1)"/>
      <w:numFmt w:val="lowerLetter"/>
      <w:start w:val="4"/>
    </w:lvl>
  </w:abstractNum>
  <w:abstractNum w:abstractNumId="140">
    <w:nsid w:val="6EBE4208"/>
    <w:multiLevelType w:val="hybridMultilevel"/>
    <w:lvl w:ilvl="0">
      <w:lvlJc w:val="left"/>
      <w:lvlText w:val="(%1)"/>
      <w:numFmt w:val="lowerRoman"/>
      <w:start w:val="1"/>
    </w:lvl>
  </w:abstractNum>
  <w:abstractNum w:abstractNumId="141">
    <w:nsid w:val="C058DF5"/>
    <w:multiLevelType w:val="hybridMultilevel"/>
    <w:lvl w:ilvl="0">
      <w:lvlJc w:val="left"/>
      <w:lvlText w:val="(%1)"/>
      <w:numFmt w:val="lowerLetter"/>
      <w:start w:val="5"/>
    </w:lvl>
  </w:abstractNum>
  <w:abstractNum w:abstractNumId="142">
    <w:nsid w:val="CBE5BE9"/>
    <w:multiLevelType w:val="hybridMultilevel"/>
    <w:lvl w:ilvl="0">
      <w:lvlJc w:val="left"/>
      <w:lvlText w:val="(%1)"/>
      <w:numFmt w:val="lowerRoman"/>
      <w:start w:val="1"/>
    </w:lvl>
  </w:abstractNum>
  <w:abstractNum w:abstractNumId="143">
    <w:nsid w:val="3102BBE2"/>
    <w:multiLevelType w:val="hybridMultilevel"/>
    <w:lvl w:ilvl="0">
      <w:lvlJc w:val="left"/>
      <w:lvlText w:val="(%1)"/>
      <w:numFmt w:val="lowerLetter"/>
      <w:start w:val="6"/>
    </w:lvl>
  </w:abstractNum>
  <w:abstractNum w:abstractNumId="144">
    <w:nsid w:val="26A02C5E"/>
    <w:multiLevelType w:val="hybridMultilevel"/>
    <w:lvl w:ilvl="0">
      <w:lvlJc w:val="left"/>
      <w:lvlText w:val="%1."/>
      <w:numFmt w:val="decimal"/>
      <w:start w:val="7"/>
    </w:lvl>
  </w:abstractNum>
  <w:abstractNum w:abstractNumId="145">
    <w:nsid w:val="541C8153"/>
    <w:multiLevelType w:val="hybridMultilevel"/>
    <w:lvl w:ilvl="0">
      <w:lvlJc w:val="left"/>
      <w:lvlText w:val="%1"/>
      <w:numFmt w:val="decimal"/>
      <w:start w:val="1"/>
    </w:lvl>
    <w:lvl w:ilvl="1">
      <w:lvlJc w:val="left"/>
      <w:lvlText w:val="(%2)"/>
      <w:numFmt w:val="lowerLetter"/>
      <w:start w:val="1"/>
    </w:lvl>
  </w:abstractNum>
  <w:abstractNum w:abstractNumId="146">
    <w:nsid w:val="67906F60"/>
    <w:multiLevelType w:val="hybridMultilevel"/>
    <w:lvl w:ilvl="0">
      <w:lvlJc w:val="left"/>
      <w:lvlText w:val="(%1)"/>
      <w:numFmt w:val="decimal"/>
      <w:start w:val="6"/>
    </w:lvl>
    <w:lvl w:ilvl="1">
      <w:lvlJc w:val="left"/>
      <w:lvlText w:val="(%2)"/>
      <w:numFmt w:val="lowerLetter"/>
      <w:start w:val="9"/>
    </w:lvl>
  </w:abstractNum>
  <w:abstractNum w:abstractNumId="147">
    <w:nsid w:val="10DB9DAA"/>
    <w:multiLevelType w:val="hybridMultilevel"/>
    <w:lvl w:ilvl="0">
      <w:lvlJc w:val="left"/>
      <w:lvlText w:val="(%1)"/>
      <w:numFmt w:val="lowerRoman"/>
      <w:start w:val="2"/>
    </w:lvl>
  </w:abstractNum>
  <w:abstractNum w:abstractNumId="148">
    <w:nsid w:val="697D2D2"/>
    <w:multiLevelType w:val="hybridMultilevel"/>
    <w:lvl w:ilvl="0">
      <w:lvlJc w:val="left"/>
      <w:lvlText w:val="(%1)"/>
      <w:numFmt w:val="lowerLetter"/>
      <w:start w:val="2"/>
    </w:lvl>
  </w:abstractNum>
  <w:abstractNum w:abstractNumId="149">
    <w:nsid w:val="6D68AB2"/>
    <w:multiLevelType w:val="hybridMultilevel"/>
    <w:lvl w:ilvl="0">
      <w:lvlJc w:val="left"/>
      <w:lvlText w:val="(%1)"/>
      <w:numFmt w:val="lowerRoman"/>
      <w:start w:val="1"/>
    </w:lvl>
  </w:abstractNum>
  <w:abstractNum w:abstractNumId="150">
    <w:nsid w:val="3A966CD0"/>
    <w:multiLevelType w:val="hybridMultilevel"/>
    <w:lvl w:ilvl="0">
      <w:lvlJc w:val="left"/>
      <w:lvlText w:val="(%1)"/>
      <w:numFmt w:val="lowerRoman"/>
      <w:start w:val="4"/>
    </w:lvl>
  </w:abstractNum>
  <w:abstractNum w:abstractNumId="151">
    <w:nsid w:val="63F37E85"/>
    <w:multiLevelType w:val="hybridMultilevel"/>
    <w:lvl w:ilvl="0">
      <w:lvlJc w:val="left"/>
      <w:lvlText w:val="(%1)"/>
      <w:numFmt w:val="lowerRoman"/>
      <w:start w:val="6"/>
    </w:lvl>
  </w:abstractNum>
  <w:abstractNum w:abstractNumId="152">
    <w:nsid w:val="5895F5FA"/>
    <w:multiLevelType w:val="hybridMultilevel"/>
    <w:lvl w:ilvl="0">
      <w:lvlJc w:val="left"/>
      <w:lvlText w:val="(%1)"/>
      <w:numFmt w:val="lowerLetter"/>
      <w:start w:val="3"/>
    </w:lvl>
  </w:abstractNum>
  <w:abstractNum w:abstractNumId="153">
    <w:nsid w:val="38A5D054"/>
    <w:multiLevelType w:val="hybridMultilevel"/>
    <w:lvl w:ilvl="0">
      <w:lvlJc w:val="left"/>
      <w:lvlText w:val="(%1)"/>
      <w:numFmt w:val="lowerRoman"/>
      <w:start w:val="1"/>
    </w:lvl>
    <w:lvl w:ilvl="1">
      <w:lvlJc w:val="left"/>
      <w:lvlText w:val="(%2)"/>
      <w:numFmt w:val="upperLetter"/>
      <w:start w:val="2"/>
    </w:lvl>
  </w:abstractNum>
  <w:abstractNum w:abstractNumId="154">
    <w:nsid w:val="F3F09D8"/>
    <w:multiLevelType w:val="hybridMultilevel"/>
    <w:lvl w:ilvl="0">
      <w:lvlJc w:val="left"/>
      <w:lvlText w:val="(%1)"/>
      <w:numFmt w:val="lowerRoman"/>
      <w:start w:val="4"/>
    </w:lvl>
  </w:abstractNum>
  <w:abstractNum w:abstractNumId="155">
    <w:nsid w:val="4B793735"/>
    <w:multiLevelType w:val="hybridMultilevel"/>
    <w:lvl w:ilvl="0">
      <w:lvlJc w:val="left"/>
      <w:lvlText w:val="%1"/>
      <w:numFmt w:val="decimal"/>
      <w:start w:val="1"/>
    </w:lvl>
    <w:lvl w:ilvl="1">
      <w:lvlJc w:val="left"/>
      <w:lvlText w:val="(%2)"/>
      <w:numFmt w:val="lowerRoman"/>
      <w:start w:val="1"/>
    </w:lvl>
  </w:abstractNum>
  <w:abstractNum w:abstractNumId="156">
    <w:nsid w:val="4A10B4E8"/>
    <w:multiLevelType w:val="hybridMultilevel"/>
    <w:lvl w:ilvl="0">
      <w:lvlJc w:val="left"/>
      <w:lvlText w:val="%1."/>
      <w:numFmt w:val="decimal"/>
      <w:start w:val="8"/>
    </w:lvl>
    <w:lvl w:ilvl="1">
      <w:lvlJc w:val="left"/>
      <w:lvlText w:val="%2"/>
      <w:numFmt w:val="lowerRoman"/>
      <w:start w:val="1"/>
    </w:lvl>
  </w:abstractNum>
  <w:abstractNum w:abstractNumId="157">
    <w:nsid w:val="43D3BCD4"/>
    <w:multiLevelType w:val="hybridMultilevel"/>
    <w:lvl w:ilvl="0">
      <w:lvlJc w:val="left"/>
      <w:lvlText w:val="(%1)"/>
      <w:numFmt w:val="lowerLetter"/>
      <w:start w:val="1"/>
    </w:lvl>
  </w:abstractNum>
  <w:abstractNum w:abstractNumId="158">
    <w:nsid w:val="4C2A7166"/>
    <w:multiLevelType w:val="hybridMultilevel"/>
    <w:lvl w:ilvl="0">
      <w:lvlJc w:val="left"/>
      <w:lvlText w:val="(%1)"/>
      <w:numFmt w:val="lowerLetter"/>
      <w:start w:val="3"/>
    </w:lvl>
  </w:abstractNum>
  <w:abstractNum w:abstractNumId="159">
    <w:nsid w:val="2E534A82"/>
    <w:multiLevelType w:val="hybridMultilevel"/>
    <w:lvl w:ilvl="0">
      <w:lvlJc w:val="left"/>
      <w:lvlText w:val="(%1)"/>
      <w:numFmt w:val="lowerLetter"/>
      <w:start w:val="4"/>
    </w:lvl>
  </w:abstractNum>
  <w:abstractNum w:abstractNumId="160">
    <w:nsid w:val="26F2D364"/>
    <w:multiLevelType w:val="hybridMultilevel"/>
    <w:lvl w:ilvl="0">
      <w:lvlJc w:val="left"/>
      <w:lvlText w:val="%1."/>
      <w:numFmt w:val="decimal"/>
      <w:start w:val="9"/>
    </w:lvl>
  </w:abstractNum>
  <w:abstractNum w:abstractNumId="161">
    <w:nsid w:val="71C1AF98"/>
    <w:multiLevelType w:val="hybridMultilevel"/>
    <w:lvl w:ilvl="0">
      <w:lvlJc w:val="left"/>
      <w:lvlText w:val="%1"/>
      <w:numFmt w:val="upperLetter"/>
      <w:start w:val="1"/>
    </w:lvl>
    <w:lvl w:ilvl="1">
      <w:lvlJc w:val="left"/>
      <w:lvlText w:val="(%2)"/>
      <w:numFmt w:val="lowerLetter"/>
      <w:start w:val="1"/>
    </w:lvl>
  </w:abstractNum>
  <w:abstractNum w:abstractNumId="162">
    <w:nsid w:val="3D00B9D9"/>
    <w:multiLevelType w:val="hybridMultilevel"/>
    <w:lvl w:ilvl="0">
      <w:lvlJc w:val="left"/>
      <w:lvlText w:val="(%1)"/>
      <w:numFmt w:val="upperLetter"/>
      <w:start w:val="1"/>
    </w:lvl>
    <w:lvl w:ilvl="1">
      <w:lvlJc w:val="left"/>
      <w:lvlText w:val="%2"/>
      <w:numFmt w:val="lowerLetter"/>
      <w:start w:val="1"/>
    </w:lvl>
  </w:abstractNum>
  <w:abstractNum w:abstractNumId="163">
    <w:nsid w:val="15BCABA8"/>
    <w:multiLevelType w:val="hybridMultilevel"/>
    <w:lvl w:ilvl="0">
      <w:lvlJc w:val="left"/>
      <w:lvlText w:val="(%1)"/>
      <w:numFmt w:val="lowerLetter"/>
      <w:start w:val="3"/>
    </w:lvl>
  </w:abstractNum>
  <w:abstractNum w:abstractNumId="164">
    <w:nsid w:val="4E0B9A87"/>
    <w:multiLevelType w:val="hybridMultilevel"/>
    <w:lvl w:ilvl="0">
      <w:lvlJc w:val="left"/>
      <w:lvlText w:val="%1."/>
      <w:numFmt w:val="decimal"/>
      <w:start w:val="10"/>
    </w:lvl>
  </w:abstractNum>
  <w:abstractNum w:abstractNumId="165">
    <w:nsid w:val="434BAE75"/>
    <w:multiLevelType w:val="hybridMultilevel"/>
    <w:lvl w:ilvl="0">
      <w:lvlJc w:val="left"/>
      <w:lvlText w:val="%1."/>
      <w:numFmt w:val="decimal"/>
      <w:start w:val="11"/>
    </w:lvl>
  </w:abstractNum>
  <w:abstractNum w:abstractNumId="166">
    <w:nsid w:val="4F38F265"/>
    <w:multiLevelType w:val="hybridMultilevel"/>
    <w:lvl w:ilvl="0">
      <w:lvlJc w:val="left"/>
      <w:lvlText w:val="%1."/>
      <w:numFmt w:val="decimal"/>
      <w:start w:val="12"/>
    </w:lvl>
  </w:abstractNum>
  <w:abstractNum w:abstractNumId="167">
    <w:nsid w:val="4C502870"/>
    <w:multiLevelType w:val="hybridMultilevel"/>
    <w:lvl w:ilvl="0">
      <w:lvlJc w:val="left"/>
      <w:lvlText w:val="%1."/>
      <w:numFmt w:val="decimal"/>
      <w:start w:val="13"/>
    </w:lvl>
  </w:abstractNum>
  <w:abstractNum w:abstractNumId="168">
    <w:nsid w:val="1DE8725A"/>
    <w:multiLevelType w:val="hybridMultilevel"/>
    <w:lvl w:ilvl="0">
      <w:lvlJc w:val="left"/>
      <w:lvlText w:val="%1."/>
      <w:numFmt w:val="decimal"/>
      <w:start w:val="14"/>
    </w:lvl>
  </w:abstractNum>
  <w:abstractNum w:abstractNumId="169">
    <w:nsid w:val="6A37288A"/>
    <w:multiLevelType w:val="hybridMultilevel"/>
    <w:lvl w:ilvl="0">
      <w:lvlJc w:val="left"/>
      <w:lvlText w:val="%1."/>
      <w:numFmt w:val="decimal"/>
      <w:start w:val="15"/>
    </w:lvl>
  </w:abstractNum>
  <w:abstractNum w:abstractNumId="170">
    <w:nsid w:val="8F8B73F"/>
    <w:multiLevelType w:val="hybridMultilevel"/>
    <w:lvl w:ilvl="0">
      <w:lvlJc w:val="left"/>
      <w:lvlText w:val="%1."/>
      <w:numFmt w:val="decimal"/>
      <w:start w:val="16"/>
    </w:lvl>
  </w:abstractNum>
  <w:abstractNum w:abstractNumId="171">
    <w:nsid w:val="CA6B462"/>
    <w:multiLevelType w:val="hybridMultilevel"/>
    <w:lvl w:ilvl="0">
      <w:lvlJc w:val="left"/>
      <w:lvlText w:val="%1."/>
      <w:numFmt w:val="decimal"/>
      <w:start w:val="17"/>
    </w:lvl>
  </w:abstractNum>
  <w:abstractNum w:abstractNumId="172">
    <w:nsid w:val="763CB680"/>
    <w:multiLevelType w:val="hybridMultilevel"/>
    <w:lvl w:ilvl="0">
      <w:lvlJc w:val="left"/>
      <w:lvlText w:val="%1."/>
      <w:numFmt w:val="decimal"/>
      <w:start w:val="18"/>
    </w:lvl>
  </w:abstractNum>
  <w:abstractNum w:abstractNumId="173">
    <w:nsid w:val="15B71329"/>
    <w:multiLevelType w:val="hybridMultilevel"/>
    <w:lvl w:ilvl="0">
      <w:lvlJc w:val="left"/>
      <w:lvlText w:val="%1."/>
      <w:numFmt w:val="decimal"/>
      <w:start w:val="19"/>
    </w:lvl>
  </w:abstractNum>
  <w:abstractNum w:abstractNumId="174">
    <w:nsid w:val="3DA97044"/>
    <w:multiLevelType w:val="hybridMultilevel"/>
    <w:lvl w:ilvl="0">
      <w:lvlJc w:val="left"/>
      <w:lvlText w:val="(%1)"/>
      <w:numFmt w:val="lowerLetter"/>
      <w:start w:val="1"/>
    </w:lvl>
  </w:abstractNum>
  <w:abstractNum w:abstractNumId="175">
    <w:nsid w:val="1CDCE2DE"/>
    <w:multiLevelType w:val="hybridMultilevel"/>
    <w:lvl w:ilvl="0">
      <w:lvlJc w:val="left"/>
      <w:lvlText w:val="(%1)"/>
      <w:numFmt w:val="lowerLetter"/>
      <w:start w:val="5"/>
    </w:lvl>
  </w:abstractNum>
  <w:abstractNum w:abstractNumId="176">
    <w:nsid w:val="69D3947C"/>
    <w:multiLevelType w:val="hybridMultilevel"/>
    <w:lvl w:ilvl="0">
      <w:lvlJc w:val="left"/>
      <w:lvlText w:val="%1."/>
      <w:numFmt w:val="decimal"/>
      <w:start w:val="1"/>
    </w:lvl>
  </w:abstractNum>
  <w:abstractNum w:abstractNumId="177">
    <w:nsid w:val="2539DFA5"/>
    <w:multiLevelType w:val="hybridMultilevel"/>
    <w:lvl w:ilvl="0">
      <w:lvlJc w:val="left"/>
      <w:lvlText w:val="%1."/>
      <w:numFmt w:val="decimal"/>
      <w:start w:val="2"/>
    </w:lvl>
  </w:abstractNum>
  <w:abstractNum w:abstractNumId="178">
    <w:nsid w:val="2DB88089"/>
    <w:multiLevelType w:val="hybridMultilevel"/>
    <w:lvl w:ilvl="0">
      <w:lvlJc w:val="left"/>
      <w:lvlText w:val="%1."/>
      <w:numFmt w:val="decimal"/>
      <w:start w:val="3"/>
    </w:lvl>
  </w:abstractNum>
  <w:abstractNum w:abstractNumId="179">
    <w:nsid w:val="706B674E"/>
    <w:multiLevelType w:val="hybridMultilevel"/>
    <w:lvl w:ilvl="0">
      <w:lvlJc w:val="left"/>
      <w:lvlText w:val="(%1)"/>
      <w:numFmt w:val="lowerLetter"/>
      <w:start w:val="1"/>
    </w:lvl>
  </w:abstractNum>
  <w:abstractNum w:abstractNumId="180">
    <w:nsid w:val="2C106A57"/>
    <w:multiLevelType w:val="hybridMultilevel"/>
    <w:lvl w:ilvl="0">
      <w:lvlJc w:val="left"/>
      <w:lvlText w:val="%1."/>
      <w:numFmt w:val="decimal"/>
      <w:start w:val="4"/>
    </w:lvl>
  </w:abstractNum>
  <w:abstractNum w:abstractNumId="181">
    <w:nsid w:val="684EED59"/>
    <w:multiLevelType w:val="hybridMultilevel"/>
    <w:lvl w:ilvl="0">
      <w:lvlJc w:val="left"/>
      <w:lvlText w:val="(%1)"/>
      <w:numFmt w:val="lowerLetter"/>
      <w:start w:val="1"/>
    </w:lvl>
  </w:abstractNum>
  <w:abstractNum w:abstractNumId="182">
    <w:nsid w:val="545EE5D3"/>
    <w:multiLevelType w:val="hybridMultilevel"/>
    <w:lvl w:ilvl="0">
      <w:lvlJc w:val="left"/>
      <w:lvlText w:val="(%1)"/>
      <w:numFmt w:val="lowerLetter"/>
      <w:start w:val="2"/>
    </w:lvl>
  </w:abstractNum>
  <w:abstractNum w:abstractNumId="183">
    <w:nsid w:val="4A66051"/>
    <w:multiLevelType w:val="hybridMultilevel"/>
    <w:lvl w:ilvl="0">
      <w:lvlJc w:val="left"/>
      <w:lvlText w:val="(%1)"/>
      <w:numFmt w:val="lowerLetter"/>
      <w:start w:val="4"/>
    </w:lvl>
  </w:abstractNum>
  <w:abstractNum w:abstractNumId="184">
    <w:nsid w:val="20F4BDAD"/>
    <w:multiLevelType w:val="hybridMultilevel"/>
    <w:lvl w:ilvl="0">
      <w:lvlJc w:val="left"/>
      <w:lvlText w:val="(%1)"/>
      <w:numFmt w:val="lowerLetter"/>
      <w:start w:val="6"/>
    </w:lvl>
    <w:lvl w:ilvl="1">
      <w:lvlJc w:val="left"/>
      <w:lvlText w:val="%2."/>
      <w:numFmt w:val="decimal"/>
      <w:start w:val="1"/>
    </w:lvl>
  </w:abstractNum>
  <w:abstractNum w:abstractNumId="185">
    <w:nsid w:val="639DEFAC"/>
    <w:multiLevelType w:val="hybridMultilevel"/>
    <w:lvl w:ilvl="0">
      <w:lvlJc w:val="left"/>
      <w:lvlText w:val="%1."/>
      <w:numFmt w:val="decimal"/>
      <w:start w:val="5"/>
    </w:lvl>
  </w:abstractNum>
  <w:abstractNum w:abstractNumId="186">
    <w:nsid w:val="501F9786"/>
    <w:multiLevelType w:val="hybridMultilevel"/>
    <w:lvl w:ilvl="0">
      <w:lvlJc w:val="left"/>
      <w:lvlText w:val="(%1)"/>
      <w:numFmt w:val="lowerLetter"/>
      <w:start w:val="1"/>
    </w:lvl>
  </w:abstractNum>
  <w:abstractNum w:abstractNumId="187">
    <w:nsid w:val="6B057295"/>
    <w:multiLevelType w:val="hybridMultilevel"/>
    <w:lvl w:ilvl="0">
      <w:lvlJc w:val="left"/>
      <w:lvlText w:val="(%1)"/>
      <w:numFmt w:val="lowerRoman"/>
      <w:start w:val="1"/>
    </w:lvl>
  </w:abstractNum>
  <w:abstractNum w:abstractNumId="188">
    <w:nsid w:val="2771AC80"/>
    <w:multiLevelType w:val="hybridMultilevel"/>
    <w:lvl w:ilvl="0">
      <w:lvlJc w:val="left"/>
      <w:lvlText w:val="(%1)"/>
      <w:numFmt w:val="lowerLetter"/>
      <w:start w:val="4"/>
    </w:lvl>
  </w:abstractNum>
  <w:abstractNum w:abstractNumId="189">
    <w:nsid w:val="1C4A08EC"/>
    <w:multiLevelType w:val="hybridMultilevel"/>
    <w:lvl w:ilvl="0">
      <w:lvlJc w:val="left"/>
      <w:lvlText w:val="(%1)"/>
      <w:numFmt w:val="lowerRoman"/>
      <w:start w:val="1"/>
    </w:lvl>
  </w:abstractNum>
  <w:abstractNum w:abstractNumId="190">
    <w:nsid w:val="1958BD17"/>
    <w:multiLevelType w:val="hybridMultilevel"/>
    <w:lvl w:ilvl="0">
      <w:lvlJc w:val="left"/>
      <w:lvlText w:val="%1"/>
      <w:numFmt w:val="lowerRoman"/>
      <w:start w:val="1"/>
    </w:lvl>
    <w:lvl w:ilvl="1">
      <w:lvlJc w:val="left"/>
      <w:lvlText w:val="(%2)"/>
      <w:numFmt w:val="upperLetter"/>
      <w:start w:val="4"/>
    </w:lvl>
  </w:abstractNum>
  <w:abstractNum w:abstractNumId="191">
    <w:nsid w:val="4E647FE4"/>
    <w:multiLevelType w:val="hybridMultilevel"/>
    <w:lvl w:ilvl="0">
      <w:lvlJc w:val="left"/>
      <w:lvlText w:val="(%1)"/>
      <w:numFmt w:val="lowerRoman"/>
      <w:start w:val="2"/>
    </w:lvl>
    <w:lvl w:ilvl="1">
      <w:lvlJc w:val="left"/>
      <w:lvlText w:val="%2"/>
      <w:numFmt w:val="upperLetter"/>
      <w:start w:val="1"/>
    </w:lvl>
  </w:abstractNum>
  <w:abstractNum w:abstractNumId="192">
    <w:nsid w:val="E0BB885"/>
    <w:multiLevelType w:val="hybridMultilevel"/>
    <w:lvl w:ilvl="0">
      <w:lvlJc w:val="left"/>
      <w:lvlText w:val="(%1)"/>
      <w:numFmt w:val="lowerLetter"/>
      <w:start w:val="5"/>
    </w:lvl>
  </w:abstractNum>
  <w:abstractNum w:abstractNumId="193">
    <w:nsid w:val="565976F1"/>
    <w:multiLevelType w:val="hybridMultilevel"/>
    <w:lvl w:ilvl="0">
      <w:lvlJc w:val="left"/>
      <w:lvlText w:val="%1."/>
      <w:numFmt w:val="decimal"/>
      <w:start w:val="6"/>
    </w:lvl>
  </w:abstractNum>
  <w:abstractNum w:abstractNumId="194">
    <w:nsid w:val="64212B8C"/>
    <w:multiLevelType w:val="hybridMultilevel"/>
    <w:lvl w:ilvl="0">
      <w:lvlJc w:val="left"/>
      <w:lvlText w:val="(%1)"/>
      <w:numFmt w:val="lowerLetter"/>
      <w:start w:val="1"/>
    </w:lvl>
  </w:abstractNum>
  <w:abstractNum w:abstractNumId="195">
    <w:nsid w:val="5C17530C"/>
    <w:multiLevelType w:val="hybridMultilevel"/>
    <w:lvl w:ilvl="0">
      <w:lvlJc w:val="left"/>
      <w:lvlText w:val="(%1)"/>
      <w:numFmt w:val="lowerRoman"/>
      <w:start w:val="1"/>
    </w:lvl>
  </w:abstractNum>
  <w:abstractNum w:abstractNumId="196">
    <w:nsid w:val="19A52566"/>
    <w:multiLevelType w:val="hybridMultilevel"/>
    <w:lvl w:ilvl="0">
      <w:lvlJc w:val="left"/>
      <w:lvlText w:val="(%1)"/>
      <w:numFmt w:val="lowerRoman"/>
      <w:start w:val="2"/>
    </w:lvl>
  </w:abstractNum>
  <w:abstractNum w:abstractNumId="197">
    <w:nsid w:val="335A1DF1"/>
    <w:multiLevelType w:val="hybridMultilevel"/>
    <w:lvl w:ilvl="0">
      <w:lvlJc w:val="left"/>
      <w:lvlText w:val="(%1)"/>
      <w:numFmt w:val="lowerLetter"/>
      <w:start w:val="2"/>
    </w:lvl>
  </w:abstractNum>
  <w:abstractNum w:abstractNumId="198">
    <w:nsid w:val="28677B7C"/>
    <w:multiLevelType w:val="hybridMultilevel"/>
    <w:lvl w:ilvl="0">
      <w:lvlJc w:val="left"/>
      <w:lvlText w:val="(%1)"/>
      <w:numFmt w:val="lowerRoman"/>
      <w:start w:val="1"/>
    </w:lvl>
  </w:abstractNum>
  <w:abstractNum w:abstractNumId="199">
    <w:nsid w:val="378D97C0"/>
    <w:multiLevelType w:val="hybridMultilevel"/>
    <w:lvl w:ilvl="0">
      <w:lvlJc w:val="left"/>
      <w:lvlText w:val="(%1)"/>
      <w:numFmt w:val="lowerRoman"/>
      <w:start w:val="4"/>
    </w:lvl>
  </w:abstractNum>
  <w:abstractNum w:abstractNumId="200">
    <w:nsid w:val="1D91467C"/>
    <w:multiLevelType w:val="hybridMultilevel"/>
    <w:lvl w:ilvl="0">
      <w:lvlJc w:val="left"/>
      <w:lvlText w:val="(%1)"/>
      <w:numFmt w:val="lowerLetter"/>
      <w:start w:val="3"/>
    </w:lvl>
  </w:abstractNum>
  <w:abstractNum w:abstractNumId="201">
    <w:nsid w:val="316032BB"/>
    <w:multiLevelType w:val="hybridMultilevel"/>
    <w:lvl w:ilvl="0">
      <w:lvlJc w:val="left"/>
      <w:lvlText w:val="(%1)"/>
      <w:numFmt w:val="lowerRoman"/>
      <w:start w:val="1"/>
    </w:lvl>
  </w:abstractNum>
  <w:abstractNum w:abstractNumId="202">
    <w:nsid w:val="44344C22"/>
    <w:multiLevelType w:val="hybridMultilevel"/>
    <w:lvl w:ilvl="0">
      <w:lvlJc w:val="left"/>
      <w:lvlText w:val="(%1)"/>
      <w:numFmt w:val="lowerLetter"/>
      <w:start w:val="4"/>
    </w:lvl>
  </w:abstractNum>
  <w:abstractNum w:abstractNumId="203">
    <w:nsid w:val="13CDFCFC"/>
    <w:multiLevelType w:val="hybridMultilevel"/>
    <w:lvl w:ilvl="0">
      <w:lvlJc w:val="left"/>
      <w:lvlText w:val="(%1)"/>
      <w:numFmt w:val="lowerRoman"/>
      <w:start w:val="1"/>
    </w:lvl>
  </w:abstractNum>
  <w:abstractNum w:abstractNumId="204">
    <w:nsid w:val="471745E4"/>
    <w:multiLevelType w:val="hybridMultilevel"/>
    <w:lvl w:ilvl="0">
      <w:lvlJc w:val="left"/>
      <w:lvlText w:val="(%1)"/>
      <w:numFmt w:val="lowerLetter"/>
      <w:start w:val="5"/>
    </w:lvl>
  </w:abstractNum>
  <w:abstractNum w:abstractNumId="205">
    <w:nsid w:val="1DDBC66"/>
    <w:multiLevelType w:val="hybridMultilevel"/>
    <w:lvl w:ilvl="0">
      <w:lvlJc w:val="left"/>
      <w:lvlText w:val="(%1)"/>
      <w:numFmt w:val="lowerRoman"/>
      <w:start w:val="1"/>
    </w:lvl>
  </w:abstractNum>
  <w:abstractNum w:abstractNumId="206">
    <w:nsid w:val="30AADFDA"/>
    <w:multiLevelType w:val="hybridMultilevel"/>
    <w:lvl w:ilvl="0">
      <w:lvlJc w:val="left"/>
      <w:lvlText w:val="(%1)"/>
      <w:numFmt w:val="lowerRoman"/>
      <w:start w:val="6"/>
    </w:lvl>
  </w:abstractNum>
  <w:abstractNum w:abstractNumId="207">
    <w:nsid w:val="30EADA61"/>
    <w:multiLevelType w:val="hybridMultilevel"/>
    <w:lvl w:ilvl="0">
      <w:lvlJc w:val="left"/>
      <w:lvlText w:val="(%1)"/>
      <w:numFmt w:val="lowerLetter"/>
      <w:start w:val="6"/>
    </w:lvl>
  </w:abstractNum>
  <w:abstractNum w:abstractNumId="208">
    <w:nsid w:val="27179C0B"/>
    <w:multiLevelType w:val="hybridMultilevel"/>
    <w:lvl w:ilvl="0">
      <w:lvlJc w:val="left"/>
      <w:lvlText w:val="%1."/>
      <w:numFmt w:val="decimal"/>
      <w:start w:val="7"/>
    </w:lvl>
  </w:abstractNum>
  <w:abstractNum w:abstractNumId="209">
    <w:nsid w:val="5E636063"/>
    <w:multiLevelType w:val="hybridMultilevel"/>
    <w:lvl w:ilvl="0">
      <w:lvlJc w:val="left"/>
      <w:lvlText w:val="%1"/>
      <w:numFmt w:val="decimal"/>
      <w:start w:val="1"/>
    </w:lvl>
    <w:lvl w:ilvl="1">
      <w:lvlJc w:val="left"/>
      <w:lvlText w:val="(%2)"/>
      <w:numFmt w:val="lowerLetter"/>
      <w:start w:val="1"/>
    </w:lvl>
  </w:abstractNum>
  <w:abstractNum w:abstractNumId="210">
    <w:nsid w:val="215641AF"/>
    <w:multiLevelType w:val="hybridMultilevel"/>
    <w:lvl w:ilvl="0">
      <w:lvlJc w:val="left"/>
      <w:lvlText w:val="(%1)"/>
      <w:numFmt w:val="decimal"/>
      <w:start w:val="6"/>
    </w:lvl>
    <w:lvl w:ilvl="1">
      <w:lvlJc w:val="left"/>
      <w:lvlText w:val="(%2)"/>
      <w:numFmt w:val="lowerLetter"/>
      <w:start w:val="9"/>
    </w:lvl>
  </w:abstractNum>
  <w:abstractNum w:abstractNumId="211">
    <w:nsid w:val="53280662"/>
    <w:multiLevelType w:val="hybridMultilevel"/>
    <w:lvl w:ilvl="0">
      <w:lvlJc w:val="left"/>
      <w:lvlText w:val="(%1)"/>
      <w:numFmt w:val="lowerRoman"/>
      <w:start w:val="2"/>
    </w:lvl>
  </w:abstractNum>
  <w:abstractNum w:abstractNumId="212">
    <w:nsid w:val="46B24DBC"/>
    <w:multiLevelType w:val="hybridMultilevel"/>
    <w:lvl w:ilvl="0">
      <w:lvlJc w:val="left"/>
      <w:lvlText w:val="(%1)"/>
      <w:numFmt w:val="lowerLetter"/>
      <w:start w:val="2"/>
    </w:lvl>
  </w:abstractNum>
  <w:abstractNum w:abstractNumId="213">
    <w:nsid w:val="75B52783"/>
    <w:multiLevelType w:val="hybridMultilevel"/>
    <w:lvl w:ilvl="0">
      <w:lvlJc w:val="left"/>
      <w:lvlText w:val="(%1)"/>
      <w:numFmt w:val="lowerRoman"/>
      <w:start w:val="1"/>
    </w:lvl>
  </w:abstractNum>
  <w:abstractNum w:abstractNumId="214">
    <w:nsid w:val="57CE66B4"/>
    <w:multiLevelType w:val="hybridMultilevel"/>
    <w:lvl w:ilvl="0">
      <w:lvlJc w:val="left"/>
      <w:lvlText w:val="(%1)"/>
      <w:numFmt w:val="lowerRoman"/>
      <w:start w:val="3"/>
    </w:lvl>
  </w:abstractNum>
  <w:abstractNum w:abstractNumId="215">
    <w:nsid w:val="67A70B69"/>
    <w:multiLevelType w:val="hybridMultilevel"/>
    <w:lvl w:ilvl="0">
      <w:lvlJc w:val="left"/>
      <w:lvlText w:val="(%1)"/>
      <w:numFmt w:val="lowerRoman"/>
      <w:start w:val="5"/>
    </w:lvl>
  </w:abstractNum>
  <w:abstractNum w:abstractNumId="216">
    <w:nsid w:val="5953172F"/>
    <w:multiLevelType w:val="hybridMultilevel"/>
    <w:lvl w:ilvl="0">
      <w:lvlJc w:val="left"/>
      <w:lvlText w:val="(%1)"/>
      <w:numFmt w:val="lowerLetter"/>
      <w:start w:val="3"/>
    </w:lvl>
  </w:abstractNum>
  <w:abstractNum w:abstractNumId="217">
    <w:nsid w:val="27EDFE3A"/>
    <w:multiLevelType w:val="hybridMultilevel"/>
    <w:lvl w:ilvl="0">
      <w:lvlJc w:val="left"/>
      <w:lvlText w:val="(%1)"/>
      <w:numFmt w:val="lowerRoman"/>
      <w:start w:val="1"/>
    </w:lvl>
  </w:abstractNum>
  <w:abstractNum w:abstractNumId="218">
    <w:nsid w:val="52AC7DFF"/>
    <w:multiLevelType w:val="hybridMultilevel"/>
    <w:lvl w:ilvl="0">
      <w:lvlJc w:val="left"/>
      <w:lvlText w:val="(%1)"/>
      <w:numFmt w:val="lowerRoman"/>
      <w:start w:val="4"/>
    </w:lvl>
  </w:abstractNum>
  <w:abstractNum w:abstractNumId="219">
    <w:nsid w:val="C4C3AF"/>
    <w:multiLevelType w:val="hybridMultilevel"/>
    <w:lvl w:ilvl="0">
      <w:lvlJc w:val="left"/>
      <w:lvlText w:val="(%1)"/>
      <w:numFmt w:val="lowerRoman"/>
      <w:start w:val="1"/>
    </w:lvl>
  </w:abstractNum>
  <w:abstractNum w:abstractNumId="220">
    <w:nsid w:val="44380727"/>
    <w:multiLevelType w:val="hybridMultilevel"/>
    <w:lvl w:ilvl="0">
      <w:lvlJc w:val="left"/>
      <w:lvlText w:val="%1."/>
      <w:numFmt w:val="decimal"/>
      <w:start w:val="8"/>
    </w:lvl>
  </w:abstractNum>
  <w:abstractNum w:abstractNumId="221">
    <w:nsid w:val="6C053B16"/>
    <w:multiLevelType w:val="hybridMultilevel"/>
    <w:lvl w:ilvl="0">
      <w:lvlJc w:val="left"/>
      <w:lvlText w:val="(%1)"/>
      <w:numFmt w:val="lowerLetter"/>
      <w:start w:val="1"/>
    </w:lvl>
  </w:abstractNum>
  <w:abstractNum w:abstractNumId="222">
    <w:nsid w:val="4F294393"/>
    <w:multiLevelType w:val="hybridMultilevel"/>
    <w:lvl w:ilvl="0">
      <w:lvlJc w:val="left"/>
      <w:lvlText w:val="(%1)"/>
      <w:numFmt w:val="lowerLetter"/>
      <w:start w:val="2"/>
    </w:lvl>
  </w:abstractNum>
  <w:abstractNum w:abstractNumId="223">
    <w:nsid w:val="5243BFAC"/>
    <w:multiLevelType w:val="hybridMultilevel"/>
    <w:lvl w:ilvl="0">
      <w:lvlJc w:val="left"/>
      <w:lvlText w:val="(%1)"/>
      <w:numFmt w:val="lowerLetter"/>
      <w:start w:val="3"/>
    </w:lvl>
  </w:abstractNum>
  <w:abstractNum w:abstractNumId="224">
    <w:nsid w:val="425EB207"/>
    <w:multiLevelType w:val="hybridMultilevel"/>
    <w:lvl w:ilvl="0">
      <w:lvlJc w:val="left"/>
      <w:lvlText w:val="(%1)"/>
      <w:numFmt w:val="lowerLetter"/>
      <w:start w:val="4"/>
    </w:lvl>
  </w:abstractNum>
  <w:abstractNum w:abstractNumId="225">
    <w:nsid w:val="334A6F1F"/>
    <w:multiLevelType w:val="hybridMultilevel"/>
    <w:lvl w:ilvl="0">
      <w:lvlJc w:val="left"/>
      <w:lvlText w:val="%1."/>
      <w:numFmt w:val="decimal"/>
      <w:start w:val="9"/>
    </w:lvl>
  </w:abstractNum>
  <w:abstractNum w:abstractNumId="226">
    <w:nsid w:val="2E5B12B8"/>
    <w:multiLevelType w:val="hybridMultilevel"/>
    <w:lvl w:ilvl="0">
      <w:lvlJc w:val="left"/>
      <w:lvlText w:val="(%1)"/>
      <w:numFmt w:val="lowerLetter"/>
      <w:start w:val="1"/>
    </w:lvl>
  </w:abstractNum>
  <w:abstractNum w:abstractNumId="227">
    <w:nsid w:val="5C03D76D"/>
    <w:multiLevelType w:val="hybridMultilevel"/>
    <w:lvl w:ilvl="0">
      <w:lvlJc w:val="left"/>
      <w:lvlText w:val="(%1)"/>
      <w:numFmt w:val="lowerLetter"/>
      <w:start w:val="3"/>
    </w:lvl>
  </w:abstractNum>
  <w:abstractNum w:abstractNumId="228">
    <w:nsid w:val="66A48D11"/>
    <w:multiLevelType w:val="hybridMultilevel"/>
    <w:lvl w:ilvl="0">
      <w:lvlJc w:val="left"/>
      <w:lvlText w:val="%1."/>
      <w:numFmt w:val="decimal"/>
      <w:start w:val="10"/>
    </w:lvl>
  </w:abstractNum>
  <w:abstractNum w:abstractNumId="229">
    <w:nsid w:val="56C28E34"/>
    <w:multiLevelType w:val="hybridMultilevel"/>
    <w:lvl w:ilvl="0">
      <w:lvlJc w:val="left"/>
      <w:lvlText w:val="%1."/>
      <w:numFmt w:val="decimal"/>
      <w:start w:val="11"/>
    </w:lvl>
  </w:abstractNum>
  <w:abstractNum w:abstractNumId="230">
    <w:nsid w:val="13916F2D"/>
    <w:multiLevelType w:val="hybridMultilevel"/>
    <w:lvl w:ilvl="0">
      <w:lvlJc w:val="left"/>
      <w:lvlText w:val="%1."/>
      <w:numFmt w:val="decimal"/>
      <w:start w:val="12"/>
    </w:lvl>
  </w:abstractNum>
  <w:abstractNum w:abstractNumId="231">
    <w:nsid w:val="435D38D"/>
    <w:multiLevelType w:val="hybridMultilevel"/>
    <w:lvl w:ilvl="0">
      <w:lvlJc w:val="left"/>
      <w:lvlText w:val="%1."/>
      <w:numFmt w:val="decimal"/>
      <w:start w:val="13"/>
    </w:lvl>
  </w:abstractNum>
  <w:abstractNum w:abstractNumId="232">
    <w:nsid w:val="822C0EF"/>
    <w:multiLevelType w:val="hybridMultilevel"/>
    <w:lvl w:ilvl="0">
      <w:lvlJc w:val="left"/>
      <w:lvlText w:val="%1."/>
      <w:numFmt w:val="decimal"/>
      <w:start w:val="14"/>
    </w:lvl>
  </w:abstractNum>
  <w:abstractNum w:abstractNumId="233">
    <w:nsid w:val="57C5BB4F"/>
    <w:multiLevelType w:val="hybridMultilevel"/>
    <w:lvl w:ilvl="0">
      <w:lvlJc w:val="left"/>
      <w:lvlText w:val="%1."/>
      <w:numFmt w:val="decimal"/>
      <w:start w:val="15"/>
    </w:lvl>
  </w:abstractNum>
  <w:abstractNum w:abstractNumId="234">
    <w:nsid w:val="1803D089"/>
    <w:multiLevelType w:val="hybridMultilevel"/>
    <w:lvl w:ilvl="0">
      <w:lvlJc w:val="left"/>
      <w:lvlText w:val="%1."/>
      <w:numFmt w:val="decimal"/>
      <w:start w:val="16"/>
    </w:lvl>
  </w:abstractNum>
  <w:abstractNum w:abstractNumId="235">
    <w:nsid w:val="4F3A06D4"/>
    <w:multiLevelType w:val="hybridMultilevel"/>
    <w:lvl w:ilvl="0">
      <w:lvlJc w:val="left"/>
      <w:lvlText w:val="%1."/>
      <w:numFmt w:val="decimal"/>
      <w:start w:val="17"/>
    </w:lvl>
  </w:abstractNum>
  <w:abstractNum w:abstractNumId="236">
    <w:nsid w:val="59A377B6"/>
    <w:multiLevelType w:val="hybridMultilevel"/>
    <w:lvl w:ilvl="0">
      <w:lvlJc w:val="left"/>
      <w:lvlText w:val="%1."/>
      <w:numFmt w:val="decimal"/>
      <w:start w:val="18"/>
    </w:lvl>
  </w:abstractNum>
  <w:abstractNum w:abstractNumId="237">
    <w:nsid w:val="48AEB063"/>
    <w:multiLevelType w:val="hybridMultilevel"/>
    <w:lvl w:ilvl="0">
      <w:lvlJc w:val="left"/>
      <w:lvlText w:val="%1."/>
      <w:numFmt w:val="decimal"/>
      <w:start w:val="19"/>
    </w:lvl>
  </w:abstractNum>
  <w:abstractNum w:abstractNumId="238">
    <w:nsid w:val="24E135"/>
    <w:multiLevelType w:val="hybridMultilevel"/>
    <w:lvl w:ilvl="0">
      <w:lvlJc w:val="left"/>
      <w:lvlText w:val="(%1)"/>
      <w:numFmt w:val="lowerLetter"/>
      <w:start w:val="1"/>
    </w:lvl>
  </w:abstractNum>
  <w:abstractNum w:abstractNumId="239">
    <w:nsid w:val="BB13C1"/>
    <w:multiLevelType w:val="hybridMultilevel"/>
    <w:lvl w:ilvl="0">
      <w:lvlJc w:val="left"/>
      <w:lvlText w:val="(%1)"/>
      <w:numFmt w:val="lowerLetter"/>
      <w:start w:val="3"/>
    </w:lvl>
  </w:abstractNum>
  <w:abstractNum w:abstractNumId="240">
    <w:nsid w:val="271210C7"/>
    <w:multiLevelType w:val="hybridMultilevel"/>
    <w:lvl w:ilvl="0">
      <w:lvlJc w:val="left"/>
      <w:lvlText w:val="&amp;"/>
      <w:numFmt w:val="bullet"/>
      <w:start w:val="1"/>
    </w:lvl>
  </w:abstractNum>
  <w:abstractNum w:abstractNumId="241">
    <w:nsid w:val="217B22E4"/>
    <w:multiLevelType w:val="hybridMultilevel"/>
    <w:lvl w:ilvl="0">
      <w:lvlJc w:val="left"/>
      <w:lvlText w:val="%1."/>
      <w:numFmt w:val="decimal"/>
      <w:start w:val="1"/>
    </w:lvl>
    <w:lvl w:ilvl="1">
      <w:lvlJc w:val="left"/>
      <w:lvlText w:val="%2."/>
      <w:numFmt w:val="lowerLetter"/>
      <w:start w:val="1"/>
    </w:lvl>
  </w:abstractNum>
  <w:abstractNum w:abstractNumId="242">
    <w:nsid w:val="53E31A24"/>
    <w:multiLevelType w:val="hybridMultilevel"/>
    <w:lvl w:ilvl="0">
      <w:lvlJc w:val="left"/>
      <w:lvlText w:val="%1."/>
      <w:numFmt w:val="decimal"/>
      <w:start w:val="1"/>
    </w:lvl>
    <w:lvl w:ilvl="1">
      <w:lvlJc w:val="left"/>
      <w:lvlText w:val="%2."/>
      <w:numFmt w:val="lowerLetter"/>
      <w:start w:val="1"/>
    </w:lvl>
  </w:abstractNum>
  <w:abstractNum w:abstractNumId="243">
    <w:nsid w:val="6DC45E83"/>
    <w:multiLevelType w:val="hybridMultilevel"/>
    <w:lvl w:ilvl="0">
      <w:lvlJc w:val="left"/>
      <w:lvlText w:val="%1."/>
      <w:numFmt w:val="decimal"/>
      <w:start w:val="2"/>
    </w:lvl>
    <w:lvl w:ilvl="1">
      <w:lvlJc w:val="left"/>
      <w:lvlText w:val="%2."/>
      <w:numFmt w:val="lowerLetter"/>
      <w:start w:val="1"/>
    </w:lvl>
  </w:abstractNum>
  <w:abstractNum w:abstractNumId="244">
    <w:nsid w:val="17304A67"/>
    <w:multiLevelType w:val="hybridMultilevel"/>
    <w:lvl w:ilvl="0">
      <w:lvlJc w:val="left"/>
      <w:lvlText w:val="(%1)"/>
      <w:numFmt w:val="decimal"/>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2019-12-11T21:16:20Z</dcterms:created>
  <dcterms:modified xsi:type="dcterms:W3CDTF">2019-12-11T21:16:20Z</dcterms:modified>
</cp:coreProperties>
</file>