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jc w:val="right"/>
        <w:ind w:right="1899"/>
        <w:spacing w:after="0"/>
        <w:rPr>
          <w:sz w:val="20"/>
          <w:szCs w:val="20"/>
          <w:color w:val="auto"/>
        </w:rPr>
      </w:pPr>
      <w:r>
        <w:rPr>
          <w:rFonts w:ascii="Courier New" w:cs="Courier New" w:eastAsia="Courier New" w:hAnsi="Courier New"/>
          <w:sz w:val="17"/>
          <w:szCs w:val="17"/>
          <w:color w:val="auto"/>
        </w:rPr>
        <w:t>PRELIMINARY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820"/>
        <w:spacing w:after="0"/>
        <w:tabs>
          <w:tab w:leader="none" w:pos="4660" w:val="left"/>
        </w:tabs>
        <w:rPr>
          <w:sz w:val="20"/>
          <w:szCs w:val="20"/>
          <w:color w:val="auto"/>
        </w:rPr>
      </w:pPr>
      <w:r>
        <w:rPr>
          <w:rFonts w:ascii="Courier New" w:cs="Courier New" w:eastAsia="Courier New" w:hAnsi="Courier New"/>
          <w:sz w:val="17"/>
          <w:szCs w:val="17"/>
          <w:color w:val="auto"/>
        </w:rPr>
        <w:t>Washington, D.C.</w:t>
        <w:tab/>
        <w:t>20549</w:t>
      </w:r>
    </w:p>
    <w:p>
      <w:pPr>
        <w:spacing w:after="0" w:line="20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FORM 8-K/A, AMENDMENT NO. 2</w:t>
      </w:r>
    </w:p>
    <w:p>
      <w:pPr>
        <w:spacing w:after="0" w:line="20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PURSUANT TO SECTION 13 OR 15 (d) OF THE SECURITIES EXCHANGE ACT OF 1934</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DATE OF REPORT (date of earliest event reported): May 7, 1996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1-12154</w:t>
      </w:r>
    </w:p>
    <w:p>
      <w:pPr>
        <w:sectPr>
          <w:pgSz w:w="11900" w:h="16838" w:orient="portrait"/>
          <w:cols w:equalWidth="0" w:num="1">
            <w:col w:w="10219"/>
          </w:cols>
          <w:pgMar w:left="240" w:top="248" w:right="1440" w:bottom="1440" w:gutter="0" w:footer="0" w:header="0"/>
        </w:sectPr>
      </w:pPr>
    </w:p>
    <w:p>
      <w:pPr>
        <w:spacing w:after="0" w:line="200" w:lineRule="exact"/>
        <w:rPr>
          <w:sz w:val="24"/>
          <w:szCs w:val="24"/>
          <w:color w:val="auto"/>
        </w:rPr>
      </w:pPr>
    </w:p>
    <w:p>
      <w:pPr>
        <w:spacing w:after="0" w:line="20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(State or other jurisdiction of</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73-1309529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8"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5400 LBJ FREEWAY, SUITE 300 - TOWER ONE</w:t>
      </w:r>
    </w:p>
    <w:p>
      <w:pPr>
        <w:spacing w:after="0" w:line="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DALLAS, TEXAS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75240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5320" w:space="720"/>
            <w:col w:w="4179"/>
          </w:cols>
          <w:pgMar w:left="240" w:top="248"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(214) 383-7900</w:t>
      </w:r>
    </w:p>
    <w:p>
      <w:pPr>
        <w:sectPr>
          <w:pgSz w:w="11900" w:h="16838" w:orient="portrait"/>
          <w:cols w:equalWidth="0" w:num="2">
            <w:col w:w="5300" w:space="220"/>
            <w:col w:w="469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FINANCIAL STATEMENTS AND EXHIBITS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 Financial Statements of Businesses Acquired</w:t>
      </w:r>
    </w:p>
    <w:p>
      <w:pPr>
        <w:spacing w:after="0" w:line="207" w:lineRule="exact"/>
        <w:rPr>
          <w:sz w:val="20"/>
          <w:szCs w:val="20"/>
          <w:color w:val="auto"/>
        </w:rPr>
      </w:pPr>
    </w:p>
    <w:p>
      <w:pPr>
        <w:ind w:left="420" w:right="2099"/>
        <w:spacing w:after="0" w:line="249" w:lineRule="auto"/>
        <w:rPr>
          <w:sz w:val="20"/>
          <w:szCs w:val="20"/>
          <w:color w:val="auto"/>
        </w:rPr>
      </w:pPr>
      <w:r>
        <w:rPr>
          <w:rFonts w:ascii="Courier New" w:cs="Courier New" w:eastAsia="Courier New" w:hAnsi="Courier New"/>
          <w:sz w:val="17"/>
          <w:szCs w:val="17"/>
          <w:color w:val="auto"/>
        </w:rPr>
        <w:t>The following statements of Western Waste Industries ("Western") are incorporated by reference herein: (i) the audited consolidated balance sheets as of June 30, 1995 and 1994, and the related consolidated statements of operations, stockholders' equity, and cash flows for each of the three years in the period ended June 30, 1995, together with the notes thereto and the report of independent auditors dated August 25, 1995.</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 Supplemental Consolidated Financial Statements</w:t>
      </w:r>
    </w:p>
    <w:p>
      <w:pPr>
        <w:spacing w:after="0" w:line="207" w:lineRule="exact"/>
        <w:rPr>
          <w:sz w:val="20"/>
          <w:szCs w:val="20"/>
          <w:color w:val="auto"/>
        </w:rPr>
      </w:pPr>
    </w:p>
    <w:p>
      <w:pPr>
        <w:ind w:left="420" w:right="1999"/>
        <w:spacing w:after="0" w:line="249" w:lineRule="auto"/>
        <w:rPr>
          <w:sz w:val="20"/>
          <w:szCs w:val="20"/>
          <w:color w:val="auto"/>
        </w:rPr>
      </w:pPr>
      <w:r>
        <w:rPr>
          <w:rFonts w:ascii="Courier New" w:cs="Courier New" w:eastAsia="Courier New" w:hAnsi="Courier New"/>
          <w:sz w:val="17"/>
          <w:szCs w:val="17"/>
          <w:color w:val="auto"/>
        </w:rPr>
        <w:t>The supplemental consolidated financial statements and supplemental condensed consolidated financial statements of the Company listed below have been prepared to give retroactive effect to the merger with Western, which has been accounted for by the pooling of interests method as described in Notes 1 and 2 to the supplemental consolidated financial statements. The supplemental consolidated balance sheets are as of December 31, 1995 and 1994, and the related supplemental consolidated statements of operations, stockholders' equity, and cash flows are for each of the three years in the period ended December 31, 1995. The supplemental condensed consolidated balance sheets are as of March 31, 1996 and December 31, 1995, the related supplemental condensed consolidated statements of operations are for the three months ended March 31, 1996 and 1995, the related supplemental condensed consolidated statement of stockholders' equity is for the three months ended March 31, 1996, and the related supplemental condensed consolidated statements of cash flows are for the three months ended March 31, 1996 and 1995.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combinations are issued.</w:t>
      </w:r>
    </w:p>
    <w:p>
      <w:pPr>
        <w:spacing w:after="0" w:line="4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 Exhibits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23.1 Consent of Independent Accountants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23.2 Consent of Independent Auditors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23.3 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INDEX TO</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SUPPLEMENTAL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Page</w:t>
            </w:r>
          </w:p>
        </w:tc>
      </w:tr>
      <w:tr>
        <w:trPr>
          <w:trHeight w:val="200"/>
        </w:trPr>
        <w:tc>
          <w:tcPr>
            <w:tcW w:w="30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(1) 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Financial Statements:</w:t>
            </w:r>
          </w:p>
        </w:tc>
        <w:tc>
          <w:tcPr>
            <w:tcW w:w="480" w:type="dxa"/>
            <w:vAlign w:val="bottom"/>
          </w:tcPr>
          <w:p>
            <w:pPr>
              <w:spacing w:after="0"/>
              <w:rPr>
                <w:sz w:val="24"/>
                <w:szCs w:val="24"/>
                <w:color w:val="auto"/>
              </w:rPr>
            </w:pP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of Independent Accountants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4</w:t>
            </w: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of Independent Auditors  . .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5</w:t>
            </w: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of Independent Auditors  . .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6</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Balance Sheets as of</w:t>
            </w:r>
          </w:p>
        </w:tc>
        <w:tc>
          <w:tcPr>
            <w:tcW w:w="480" w:type="dxa"/>
            <w:vAlign w:val="bottom"/>
          </w:tcPr>
          <w:p>
            <w:pPr>
              <w:spacing w:after="0"/>
              <w:rPr>
                <w:sz w:val="24"/>
                <w:szCs w:val="24"/>
                <w:color w:val="auto"/>
              </w:rPr>
            </w:pPr>
          </w:p>
        </w:tc>
      </w:tr>
      <w:tr>
        <w:trPr>
          <w:trHeight w:val="2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 1995 and 1994 . .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7</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Statements of Operations for the</w:t>
            </w:r>
          </w:p>
        </w:tc>
        <w:tc>
          <w:tcPr>
            <w:tcW w:w="480" w:type="dxa"/>
            <w:vAlign w:val="bottom"/>
          </w:tcPr>
          <w:p>
            <w:pPr>
              <w:spacing w:after="0"/>
              <w:rPr>
                <w:sz w:val="24"/>
                <w:szCs w:val="24"/>
                <w:color w:val="auto"/>
              </w:rPr>
            </w:pPr>
          </w:p>
        </w:tc>
      </w:tr>
      <w:tr>
        <w:trPr>
          <w:trHeight w:val="2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Years Ended December</w:t>
            </w:r>
          </w:p>
        </w:tc>
        <w:tc>
          <w:tcPr>
            <w:tcW w:w="5180" w:type="dxa"/>
            <w:vAlign w:val="bottom"/>
          </w:tcPr>
          <w:p>
            <w:pPr>
              <w:jc w:val="right"/>
              <w:spacing w:after="0"/>
              <w:rPr>
                <w:sz w:val="20"/>
                <w:szCs w:val="20"/>
                <w:color w:val="auto"/>
              </w:rPr>
            </w:pPr>
            <w:r>
              <w:rPr>
                <w:rFonts w:ascii="Courier New" w:cs="Courier New" w:eastAsia="Courier New" w:hAnsi="Courier New"/>
                <w:sz w:val="17"/>
                <w:szCs w:val="17"/>
                <w:color w:val="auto"/>
              </w:rPr>
              <w:t>31, 1995, 1994, and 1993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8</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Statements of Stockholders' Equity for the</w:t>
            </w:r>
          </w:p>
        </w:tc>
        <w:tc>
          <w:tcPr>
            <w:tcW w:w="480" w:type="dxa"/>
            <w:vAlign w:val="bottom"/>
          </w:tcPr>
          <w:p>
            <w:pPr>
              <w:spacing w:after="0"/>
              <w:rPr>
                <w:sz w:val="24"/>
                <w:szCs w:val="24"/>
                <w:color w:val="auto"/>
              </w:rPr>
            </w:pPr>
          </w:p>
        </w:tc>
      </w:tr>
      <w:tr>
        <w:trPr>
          <w:trHeight w:val="2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Years Ended December</w:t>
            </w:r>
          </w:p>
        </w:tc>
        <w:tc>
          <w:tcPr>
            <w:tcW w:w="5180" w:type="dxa"/>
            <w:vAlign w:val="bottom"/>
          </w:tcPr>
          <w:p>
            <w:pPr>
              <w:jc w:val="right"/>
              <w:spacing w:after="0"/>
              <w:rPr>
                <w:sz w:val="20"/>
                <w:szCs w:val="20"/>
                <w:color w:val="auto"/>
              </w:rPr>
            </w:pPr>
            <w:r>
              <w:rPr>
                <w:rFonts w:ascii="Courier New" w:cs="Courier New" w:eastAsia="Courier New" w:hAnsi="Courier New"/>
                <w:sz w:val="17"/>
                <w:szCs w:val="17"/>
                <w:color w:val="auto"/>
              </w:rPr>
              <w:t>31, 1995, 1994, and 1993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9</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Statements of Cash Flows for the</w:t>
            </w:r>
          </w:p>
        </w:tc>
        <w:tc>
          <w:tcPr>
            <w:tcW w:w="480" w:type="dxa"/>
            <w:vAlign w:val="bottom"/>
          </w:tcPr>
          <w:p>
            <w:pPr>
              <w:spacing w:after="0"/>
              <w:rPr>
                <w:sz w:val="24"/>
                <w:szCs w:val="24"/>
                <w:color w:val="auto"/>
              </w:rPr>
            </w:pPr>
          </w:p>
        </w:tc>
      </w:tr>
      <w:tr>
        <w:trPr>
          <w:trHeight w:val="2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Years Ended December</w:t>
            </w:r>
          </w:p>
        </w:tc>
        <w:tc>
          <w:tcPr>
            <w:tcW w:w="5180" w:type="dxa"/>
            <w:vAlign w:val="bottom"/>
          </w:tcPr>
          <w:p>
            <w:pPr>
              <w:jc w:val="right"/>
              <w:spacing w:after="0"/>
              <w:rPr>
                <w:sz w:val="20"/>
                <w:szCs w:val="20"/>
                <w:color w:val="auto"/>
              </w:rPr>
            </w:pPr>
            <w:r>
              <w:rPr>
                <w:rFonts w:ascii="Courier New" w:cs="Courier New" w:eastAsia="Courier New" w:hAnsi="Courier New"/>
                <w:sz w:val="17"/>
                <w:szCs w:val="17"/>
                <w:color w:val="auto"/>
              </w:rPr>
              <w:t>31, 1995, 1994, and 1993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w w:val="97"/>
              </w:rPr>
              <w:t>11</w:t>
            </w: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 to Supplemental Consolidated Financial Statements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w w:val="97"/>
              </w:rPr>
              <w:t>13</w:t>
            </w:r>
          </w:p>
        </w:tc>
      </w:tr>
    </w:tbl>
    <w:p>
      <w:pPr>
        <w:spacing w:after="0" w:line="205" w:lineRule="exact"/>
        <w:rPr>
          <w:sz w:val="20"/>
          <w:szCs w:val="20"/>
          <w:color w:val="auto"/>
        </w:rPr>
      </w:pPr>
    </w:p>
    <w:p>
      <w:pPr>
        <w:ind w:left="420" w:hanging="413"/>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Financial Statements:</w:t>
      </w:r>
    </w:p>
    <w:p>
      <w:pPr>
        <w:spacing w:after="0" w:line="207"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Balance Sheets (unaudited)</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of March 31, 1996 and December 31, 1995 . . . . . . . . . . . . . .   32</w:t>
      </w:r>
    </w:p>
    <w:p>
      <w:pPr>
        <w:spacing w:after="0" w:line="207"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Statements of Operations</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for the Three Months Ended March 31, 1996 and 1995 . . . .   33</w:t>
      </w:r>
    </w:p>
    <w:p>
      <w:pPr>
        <w:spacing w:after="0" w:line="207" w:lineRule="exact"/>
        <w:rPr>
          <w:rFonts w:ascii="Courier New" w:cs="Courier New" w:eastAsia="Courier New" w:hAnsi="Courier New"/>
          <w:sz w:val="17"/>
          <w:szCs w:val="17"/>
          <w:color w:val="auto"/>
        </w:rPr>
      </w:pPr>
    </w:p>
    <w:p>
      <w:pPr>
        <w:ind w:left="940" w:right="1479" w:hanging="5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Statement of Stockholders' Equity (unaudited) for the Three Months Ended March 31, 1996 . . . . . . . . 34</w:t>
      </w:r>
    </w:p>
    <w:p>
      <w:pPr>
        <w:spacing w:after="0" w:line="196"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Statements of Cash Flows</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for the Three Months Ended March 31, 1996 and 1995 . . . .   35</w:t>
      </w:r>
    </w:p>
    <w:p>
      <w:pPr>
        <w:spacing w:after="0" w:line="207"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Notes to Supplemental Condensed Consolidated Financial</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Statements (unaudited) . . . . . . . . . . . . . . . . . . . . . . . .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have audited the supplemental consolidated balance sheets of USA Waste Services, Inc. and subsidiaries (the "Company") as of December 31, 1995 and 1994, and the related supplemental consolidated statements of operations, stockholders' equity, and cash flows for each of the years in the three-year period ended December 31, 1995. These supplemental consolidated financial statements are the responsibility of the Company's management. Our responsibility is to express an opinion on these supplemental consolidated financial statements based on our audits. We did not audit the financial statements of Western Waste Industries or Chambers Development Company, Inc., both wholly-owned subsidiaries, which statements reflect 73 percent of supplemental consolidated total assets as of December 31, 1994, and 75 percent and 85 percent in 1994 and 1993, respectively, of supplemental consolidated total revenues. Those statements were audited by other auditors whose reports have been furnished to us, and our opinion, insofar as it relates to the amounts included for Western Waste Industries and Chambers Development Company, Inc., is based solely on the reports of the other auditors.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supplemental consolidated financial statements give retroactive effect to the merger of USA Waste Services, Inc. and Western Waste Industries on May 7, 1996, which has been accounted for as a pooling of interests as described in Notes 1 and 2 to the supplemental consolidated financial statements.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our opinion, based on our audits and the reports of other auditors, the supplemental consolidated financial statements referred to above present fairly, in all material respects, the consolidated financial position of the Company as of December 31, 1995 and 1994, and the consolidated results of their operations and their cash flows for each of the years in the three-year period ended December 31, 1995 in conformity with generally accepted accounting principles applicable after financial statements are issued for a period which includes the date of consummation of the business combination.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23, 1996, except for Note 16,</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as to which the date is June 22, 1996</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5"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 of Western Waste Industries: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have audited the consolidated balance sheets of Western Waste Industries and subsidiaries ("Western") as of June 30, 1995 and 1994, and the related consolidated statements of income, shareholders' equity, and cash flows for the years then ended (not presented separately herein). These financial statements are the responsibility of Western's management. Our responsibility is to express an opinion on these financial statements based on our audits.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consolidated financial position of Western at June 30, 1995 and 1994, and the consolidated results of their operations and their cash flows for the years then ended, in conformity with generally accepted accounting principles.</w:t>
      </w:r>
    </w:p>
    <w:p>
      <w:pPr>
        <w:spacing w:after="0" w:line="200" w:lineRule="exact"/>
        <w:rPr>
          <w:sz w:val="20"/>
          <w:szCs w:val="20"/>
          <w:color w:val="auto"/>
        </w:rPr>
      </w:pPr>
    </w:p>
    <w:p>
      <w:pPr>
        <w:jc w:val="both"/>
        <w:ind w:right="2099"/>
        <w:spacing w:after="0" w:line="249" w:lineRule="auto"/>
        <w:rPr>
          <w:sz w:val="20"/>
          <w:szCs w:val="20"/>
          <w:color w:val="auto"/>
        </w:rPr>
      </w:pPr>
      <w:r>
        <w:rPr>
          <w:rFonts w:ascii="Courier New" w:cs="Courier New" w:eastAsia="Courier New" w:hAnsi="Courier New"/>
          <w:sz w:val="17"/>
          <w:szCs w:val="17"/>
          <w:color w:val="auto"/>
        </w:rPr>
        <w:t>As discussed in Note 8 to Western's consolidated financial statements, in 1994 Western changed its method of accounting for income taxes, and as discussed in Note 1 of Western's consolidated financial statements, in 1995 Western changed its method of accounting for 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ERNST &amp; YOUNG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 Beach,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25, 1995, except for Note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to which the date is September 12,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To the Board of Directors and Stockholders of Chambers Development Company, Inc:</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We have audited the consolidated balance sheets of Chambers Development Company, Inc. ("Chambers") and subsidiaries as of December 31, 1994, and the related consolidated statements of operations, stockholders' equity, and cash flows for the years ended December 31, 1994 and 1993 (not presented separately herein). These consolidated financial statements are the responsibility of Chambers' management. Our responsibility is to express an opinion on these consolidated financial statements based on our audits.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our opinion, such consolidated financial statements present fairly, in all material respects, the financial position of Chambers and subsidiaries as of December 31, 1994, and the results of their operations and their cash flows for the years ended December 31, 1994 and 1993, in conformity with generally accepted accounting principles.</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As discussed in Note B to Chambers' consolidated financial statements, Chambers changed its method of accounting for contributions effective January 1, 1994.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SUPPLEMENTAL CONSOLIDATED BALANCE SHEETS</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(In Thousands, Except Share and Par Value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gridSpan w:val="3"/>
          </w:tcPr>
          <w:p>
            <w:pPr>
              <w:jc w:val="right"/>
              <w:ind w:right="633"/>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6960" w:type="dxa"/>
            <w:vAlign w:val="bottom"/>
          </w:tcPr>
          <w:p>
            <w:pPr>
              <w:spacing w:after="0"/>
              <w:rPr>
                <w:sz w:val="17"/>
                <w:szCs w:val="17"/>
                <w:color w:val="auto"/>
              </w:rPr>
            </w:pPr>
          </w:p>
        </w:tc>
        <w:tc>
          <w:tcPr>
            <w:tcW w:w="37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1995</w:t>
            </w:r>
          </w:p>
        </w:tc>
        <w:tc>
          <w:tcPr>
            <w:tcW w:w="460" w:type="dxa"/>
            <w:vAlign w:val="bottom"/>
          </w:tcPr>
          <w:p>
            <w:pPr>
              <w:spacing w:after="0"/>
              <w:rPr>
                <w:sz w:val="17"/>
                <w:szCs w:val="17"/>
                <w:color w:val="auto"/>
              </w:rPr>
            </w:pPr>
          </w:p>
        </w:tc>
        <w:tc>
          <w:tcPr>
            <w:tcW w:w="9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18,223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36,645</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net of allowance for doubtful</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accounts of $6,430 and $5,490, respectively</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90,427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78,361</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Notes and other receivables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13,802</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19,245</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20,101</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4,101</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26,110</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28,226</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168,663</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166,578</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1000" w:type="dxa"/>
            <w:vAlign w:val="bottom"/>
          </w:tcPr>
          <w:p>
            <w:pPr>
              <w:spacing w:after="0"/>
              <w:rPr>
                <w:sz w:val="24"/>
                <w:szCs w:val="24"/>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11,704</w:t>
            </w:r>
          </w:p>
        </w:tc>
        <w:tc>
          <w:tcPr>
            <w:tcW w:w="46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7,621</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799,512</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720,529</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 businesses, net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108,664</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86,877</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34,127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31,592</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67,694</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62,311</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assets</w:t>
            </w: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$1,190,364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$1,075,508</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40,333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34,071</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Accrued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48,618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59,053</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Accrued shareholder litigation settlement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Deferred revenues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6,030</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4,664</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Current maturities of long-term debt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40,157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48,103</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current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135,138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155,891</w:t>
            </w:r>
          </w:p>
        </w:tc>
      </w:tr>
      <w:tr>
        <w:trPr>
          <w:trHeight w:val="599"/>
        </w:trPr>
        <w:tc>
          <w:tcPr>
            <w:tcW w:w="696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1000" w:type="dxa"/>
            <w:vAlign w:val="bottom"/>
          </w:tcPr>
          <w:p>
            <w:pPr>
              <w:spacing w:after="0"/>
              <w:rPr>
                <w:sz w:val="24"/>
                <w:szCs w:val="24"/>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410,683</w:t>
            </w:r>
          </w:p>
        </w:tc>
        <w:tc>
          <w:tcPr>
            <w:tcW w:w="46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442,801</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Accrued shareholder litigation settlement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75,300</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84,438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76,731</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2,718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3,696</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632,977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754,419</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$1.00 par value;</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10,000,000 shares authorized; none issued</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Common stock, $.01 par value;</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150,000,000 shares authorized;</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87,030,697 and 72,476,473 shares issued, respectively</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870</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725</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paid-in capital</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796,236</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598,703</w:t>
            </w:r>
          </w:p>
        </w:tc>
      </w:tr>
      <w:tr>
        <w:trPr>
          <w:trHeight w:val="4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Accumulated deficit</w:t>
            </w:r>
          </w:p>
        </w:tc>
        <w:tc>
          <w:tcPr>
            <w:tcW w:w="1000" w:type="dxa"/>
            <w:vAlign w:val="bottom"/>
          </w:tcPr>
          <w:p>
            <w:pPr>
              <w:spacing w:after="0"/>
              <w:rPr>
                <w:sz w:val="24"/>
                <w:szCs w:val="24"/>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(237,900)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(276,378)</w:t>
            </w:r>
          </w:p>
        </w:tc>
      </w:tr>
      <w:tr>
        <w:trPr>
          <w:trHeight w:val="4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Less treasury stock at cost, 138,810 and 149,285 shares,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respectively</w:t>
            </w:r>
          </w:p>
        </w:tc>
        <w:tc>
          <w:tcPr>
            <w:tcW w:w="100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(1,819)</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Total stockholders' equity</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557,387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321,089</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$1,190,364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$1,075,508</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700"/>
          </w:cols>
          <w:pgMar w:left="240" w:top="315" w:right="9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00"/>
          </w:cols>
          <w:pgMar w:left="240" w:top="315" w:right="959" w:bottom="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SUPPLEMENTAL CONSOLIDATED STATEMENTS OF OPERATIONS</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Years Ended December 31,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c>
          <w:tcPr>
            <w:tcW w:w="270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$731,000</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$705,165</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$639,239</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Operating</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428,331</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428,701</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388,727</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General and administrative</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101,268</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108,885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104,121</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83,519</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83,044</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74,223</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Merger costs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25,073</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3,782</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Unusual items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4,733</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8,863</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2,672</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642,924</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633,275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569,743</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7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88,076</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71,890</w:t>
            </w:r>
          </w:p>
        </w:tc>
        <w:tc>
          <w:tcPr>
            <w:tcW w:w="2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69,496</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Shareholder litigation settlement</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and other litigation related costs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(79,400)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(5,500)</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Interest expense:</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Nonrecurring interest</w:t>
            </w:r>
          </w:p>
        </w:tc>
        <w:tc>
          <w:tcPr>
            <w:tcW w:w="7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(10,994)</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(1,254)</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7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(35,437)</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(38,153)</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(39,809)</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Interest income</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4,222</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4,183</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4,338</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Other income, net</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3,220</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1,249</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1,148</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(38,989)</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(113,375)</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(39,823)</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7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49,087</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(41,485)</w:t>
            </w:r>
          </w:p>
        </w:tc>
        <w:tc>
          <w:tcPr>
            <w:tcW w:w="2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29,673</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1,744</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17,610</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16,112</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47,343</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(59,095)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13,561</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565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582</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$ 47,343</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$(59,660)</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$ 12,979</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.60</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(0.82)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0.19</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common equivalent shares outstanding</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78,912</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72,968</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68,457</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820"/>
          </w:cols>
          <w:pgMar w:left="240" w:top="31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20"/>
          </w:cols>
          <w:pgMar w:left="240" w:top="315" w:right="8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4"/>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9</w:t>
            </w: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99"/>
        </w:trPr>
        <w:tc>
          <w:tcPr>
            <w:tcW w:w="5400" w:type="dxa"/>
            <w:vAlign w:val="bottom"/>
            <w:gridSpan w:val="2"/>
          </w:tcPr>
          <w:p>
            <w:pPr>
              <w:jc w:val="center"/>
              <w:ind w:left="2833"/>
              <w:spacing w:after="0"/>
              <w:rPr>
                <w:sz w:val="20"/>
                <w:szCs w:val="20"/>
                <w:color w:val="auto"/>
              </w:rPr>
            </w:pPr>
            <w:r>
              <w:rPr>
                <w:rFonts w:ascii="Courier New" w:cs="Courier New" w:eastAsia="Courier New" w:hAnsi="Courier New"/>
                <w:sz w:val="17"/>
                <w:szCs w:val="17"/>
                <w:color w:val="auto"/>
              </w:rPr>
              <w:t>USA WASTE SERVICES, INC.</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8420" w:type="dxa"/>
            <w:vAlign w:val="bottom"/>
            <w:gridSpan w:val="5"/>
          </w:tcPr>
          <w:p>
            <w:pPr>
              <w:jc w:val="center"/>
              <w:ind w:right="13"/>
              <w:spacing w:after="0"/>
              <w:rPr>
                <w:sz w:val="20"/>
                <w:szCs w:val="20"/>
                <w:color w:val="auto"/>
              </w:rPr>
            </w:pPr>
            <w:r>
              <w:rPr>
                <w:rFonts w:ascii="Courier New" w:cs="Courier New" w:eastAsia="Courier New" w:hAnsi="Courier New"/>
                <w:sz w:val="17"/>
                <w:szCs w:val="17"/>
                <w:color w:val="auto"/>
              </w:rPr>
              <w:t>SUPPLEMENTAL CONSOLIDATED STATEMENTS OF STOCKHOLDERS' EQUITY</w:t>
            </w: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jc w:val="center"/>
              <w:ind w:left="3353"/>
              <w:spacing w:after="0"/>
              <w:rPr>
                <w:sz w:val="20"/>
                <w:szCs w:val="20"/>
                <w:color w:val="auto"/>
              </w:rPr>
            </w:pPr>
            <w:r>
              <w:rPr>
                <w:rFonts w:ascii="Courier New" w:cs="Courier New" w:eastAsia="Courier New" w:hAnsi="Courier New"/>
                <w:sz w:val="17"/>
                <w:szCs w:val="17"/>
                <w:color w:val="auto"/>
              </w:rPr>
              <w:t>(In Thousands)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99"/>
        </w:trPr>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Additional</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Common</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Paid-in</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Accumulated</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Treasury</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Capital</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Deficit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Balance, January 1, 1993</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$ 658</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$560,900</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$(225,757)</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$(1,526)</w:t>
            </w:r>
          </w:p>
        </w:tc>
      </w:tr>
      <w:tr>
        <w:trPr>
          <w:trHeight w:val="4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520" w:type="dxa"/>
            <w:vAlign w:val="bottom"/>
          </w:tcPr>
          <w:p>
            <w:pPr>
              <w:spacing w:after="0"/>
              <w:rPr>
                <w:sz w:val="24"/>
                <w:szCs w:val="24"/>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4,246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qualified defined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520"/>
              <w:spacing w:after="0"/>
              <w:rPr>
                <w:sz w:val="20"/>
                <w:szCs w:val="20"/>
                <w:color w:val="auto"/>
              </w:rPr>
            </w:pPr>
            <w:r>
              <w:rPr>
                <w:rFonts w:ascii="Courier New" w:cs="Courier New" w:eastAsia="Courier New" w:hAnsi="Courier New"/>
                <w:sz w:val="17"/>
                <w:szCs w:val="17"/>
                <w:color w:val="auto"/>
              </w:rPr>
              <w:t>contribution plan</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565</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4,786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purchased for treasury</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(1,332)</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subscriptions collected</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private placement</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4,742</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Series D Preferred Stock issued</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5,212</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warrants granted as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520"/>
              <w:spacing w:after="0"/>
              <w:rPr>
                <w:sz w:val="20"/>
                <w:szCs w:val="20"/>
                <w:color w:val="auto"/>
              </w:rPr>
            </w:pPr>
            <w:r>
              <w:rPr>
                <w:rFonts w:ascii="Courier New" w:cs="Courier New" w:eastAsia="Courier New" w:hAnsi="Courier New"/>
                <w:sz w:val="17"/>
                <w:szCs w:val="17"/>
                <w:color w:val="auto"/>
              </w:rPr>
              <w:t>compensation</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preferred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520"/>
              <w:spacing w:after="0"/>
              <w:rPr>
                <w:sz w:val="20"/>
                <w:szCs w:val="20"/>
                <w:color w:val="auto"/>
              </w:rPr>
            </w:pPr>
            <w:r>
              <w:rPr>
                <w:rFonts w:ascii="Courier New" w:cs="Courier New" w:eastAsia="Courier New" w:hAnsi="Courier New"/>
                <w:sz w:val="17"/>
                <w:szCs w:val="17"/>
                <w:color w:val="auto"/>
              </w:rPr>
              <w:t>stock dividends</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154</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(582)</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Change in Envirofil fiscal year</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3,060</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Cancellation of common stock</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(969)</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Effect of elimination of purchase</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640"/>
              <w:spacing w:after="0"/>
              <w:rPr>
                <w:sz w:val="20"/>
                <w:szCs w:val="20"/>
                <w:color w:val="auto"/>
              </w:rPr>
            </w:pPr>
            <w:r>
              <w:rPr>
                <w:rFonts w:ascii="Courier New" w:cs="Courier New" w:eastAsia="Courier New" w:hAnsi="Courier New"/>
                <w:sz w:val="17"/>
                <w:szCs w:val="17"/>
                <w:color w:val="auto"/>
              </w:rPr>
              <w:t>of hauling company</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(722)</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(7,000)</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13,561</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Balance, December 31, 1993</w:t>
            </w:r>
          </w:p>
        </w:tc>
        <w:tc>
          <w:tcPr>
            <w:tcW w:w="520" w:type="dxa"/>
            <w:vAlign w:val="bottom"/>
          </w:tcPr>
          <w:p>
            <w:pPr>
              <w:spacing w:after="0"/>
              <w:rPr>
                <w:sz w:val="24"/>
                <w:szCs w:val="24"/>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681</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579,033</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(216,718)</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(2,858)</w:t>
            </w:r>
          </w:p>
        </w:tc>
      </w:tr>
      <w:tr>
        <w:trPr>
          <w:trHeight w:val="4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52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3,486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warrants exercised</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qualified defined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640"/>
              <w:spacing w:after="0"/>
              <w:rPr>
                <w:sz w:val="20"/>
                <w:szCs w:val="20"/>
                <w:color w:val="auto"/>
              </w:rPr>
            </w:pPr>
            <w:r>
              <w:rPr>
                <w:rFonts w:ascii="Courier New" w:cs="Courier New" w:eastAsia="Courier New" w:hAnsi="Courier New"/>
                <w:sz w:val="17"/>
                <w:szCs w:val="17"/>
                <w:color w:val="auto"/>
              </w:rPr>
              <w:t>contribution plan</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659</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14,506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exercise of stock options</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(597)</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897</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preferred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stock dividends</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1,390</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Conversion of preferred stock into</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common stock</w:t>
            </w:r>
          </w:p>
        </w:tc>
        <w:tc>
          <w:tcPr>
            <w:tcW w:w="520" w:type="dxa"/>
            <w:vAlign w:val="bottom"/>
          </w:tcPr>
          <w:p>
            <w:pPr>
              <w:spacing w:after="0"/>
              <w:rPr>
                <w:sz w:val="17"/>
                <w:szCs w:val="17"/>
                <w:color w:val="auto"/>
              </w:rPr>
            </w:pP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(14)</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directors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as compensation</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83</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Net loss</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(59,095)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738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920"/>
          </w:cols>
          <w:pgMar w:left="240" w:top="315" w:right="7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4"/>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99"/>
        </w:trPr>
        <w:tc>
          <w:tcPr>
            <w:tcW w:w="6040" w:type="dxa"/>
            <w:vAlign w:val="bottom"/>
            <w:gridSpan w:val="3"/>
          </w:tcPr>
          <w:p>
            <w:pPr>
              <w:ind w:left="2920"/>
              <w:spacing w:after="0"/>
              <w:rPr>
                <w:sz w:val="20"/>
                <w:szCs w:val="20"/>
                <w:color w:val="auto"/>
              </w:rPr>
            </w:pPr>
            <w:r>
              <w:rPr>
                <w:rFonts w:ascii="Courier New" w:cs="Courier New" w:eastAsia="Courier New" w:hAnsi="Courier New"/>
                <w:sz w:val="17"/>
                <w:szCs w:val="17"/>
                <w:color w:val="auto"/>
              </w:rPr>
              <w:t>USA WASTE SERVICES, INC.</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8360" w:type="dxa"/>
            <w:vAlign w:val="bottom"/>
            <w:gridSpan w:val="5"/>
          </w:tcPr>
          <w:p>
            <w:pPr>
              <w:jc w:val="right"/>
              <w:ind w:right="473"/>
              <w:spacing w:after="0"/>
              <w:rPr>
                <w:sz w:val="20"/>
                <w:szCs w:val="20"/>
                <w:color w:val="auto"/>
              </w:rPr>
            </w:pPr>
            <w:r>
              <w:rPr>
                <w:rFonts w:ascii="Courier New" w:cs="Courier New" w:eastAsia="Courier New" w:hAnsi="Courier New"/>
                <w:sz w:val="17"/>
                <w:szCs w:val="17"/>
                <w:color w:val="auto"/>
              </w:rPr>
              <w:t>SUPPLEMENTAL CONSOLIDATED STATEMENTS OF STOCKHOLDERS' EQUITY, continued</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99"/>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Additional</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Common</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Paid-in</w:t>
            </w: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Accumulated</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Treasury</w:t>
            </w:r>
          </w:p>
        </w:tc>
      </w:tr>
      <w:tr>
        <w:trPr>
          <w:trHeight w:val="200"/>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Capital</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Deficit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w:t>
            </w:r>
          </w:p>
        </w:tc>
      </w:tr>
      <w:tr>
        <w:trPr>
          <w:trHeight w:val="200"/>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520" w:type="dxa"/>
            <w:vAlign w:val="bottom"/>
          </w:tcPr>
          <w:p>
            <w:pPr>
              <w:spacing w:after="0"/>
              <w:rPr>
                <w:sz w:val="20"/>
                <w:szCs w:val="20"/>
                <w:color w:val="auto"/>
              </w:rPr>
            </w:pPr>
            <w:r>
              <w:rPr>
                <w:rFonts w:ascii="Courier New" w:cs="Courier New" w:eastAsia="Courier New" w:hAnsi="Courier New"/>
                <w:sz w:val="17"/>
                <w:szCs w:val="17"/>
                <w:color w:val="auto"/>
              </w:rPr>
              <w:t>Balance, December 31, 1994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$ 725</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$598,703</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$(276,378)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4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36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2,822</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warrants exercised</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3,692</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37,916</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520"/>
              <w:spacing w:after="0"/>
              <w:rPr>
                <w:sz w:val="20"/>
                <w:szCs w:val="20"/>
                <w:color w:val="auto"/>
              </w:rPr>
            </w:pPr>
            <w:r>
              <w:rPr>
                <w:rFonts w:ascii="Courier New" w:cs="Courier New" w:eastAsia="Courier New" w:hAnsi="Courier New"/>
                <w:sz w:val="17"/>
                <w:szCs w:val="17"/>
                <w:color w:val="auto"/>
              </w:rPr>
              <w:t>upon exercise of stock options</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(89)</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142</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conversion of</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640"/>
              <w:spacing w:after="0"/>
              <w:rPr>
                <w:sz w:val="20"/>
                <w:szCs w:val="20"/>
                <w:color w:val="auto"/>
              </w:rPr>
            </w:pPr>
            <w:r>
              <w:rPr>
                <w:rFonts w:ascii="Courier New" w:cs="Courier New" w:eastAsia="Courier New" w:hAnsi="Courier New"/>
                <w:sz w:val="17"/>
                <w:szCs w:val="17"/>
                <w:color w:val="auto"/>
              </w:rPr>
              <w:t>subordinated debentures</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46,704</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public offering</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63</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117,785</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directors as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640"/>
              <w:spacing w:after="0"/>
              <w:rPr>
                <w:sz w:val="20"/>
                <w:szCs w:val="20"/>
                <w:color w:val="auto"/>
              </w:rPr>
            </w:pPr>
            <w:r>
              <w:rPr>
                <w:rFonts w:ascii="Courier New" w:cs="Courier New" w:eastAsia="Courier New" w:hAnsi="Courier New"/>
                <w:sz w:val="17"/>
                <w:szCs w:val="17"/>
                <w:color w:val="auto"/>
              </w:rPr>
              <w:t>compensation</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25</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Elimination of investment in Western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520"/>
              <w:spacing w:after="0"/>
              <w:rPr>
                <w:sz w:val="20"/>
                <w:szCs w:val="20"/>
                <w:color w:val="auto"/>
              </w:rPr>
            </w:pPr>
            <w:r>
              <w:rPr>
                <w:rFonts w:ascii="Courier New" w:cs="Courier New" w:eastAsia="Courier New" w:hAnsi="Courier New"/>
                <w:sz w:val="17"/>
                <w:szCs w:val="17"/>
                <w:color w:val="auto"/>
              </w:rPr>
              <w:t>common stock</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w:t>
            </w:r>
          </w:p>
        </w:tc>
        <w:tc>
          <w:tcPr>
            <w:tcW w:w="12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(11,322)</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Change in Western fiscal year</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(8,864)</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47,343</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spacing w:after="0"/>
              <w:rPr>
                <w:sz w:val="17"/>
                <w:szCs w:val="17"/>
                <w:color w:val="auto"/>
              </w:rPr>
            </w:pPr>
          </w:p>
        </w:tc>
        <w:tc>
          <w:tcPr>
            <w:tcW w:w="15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52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$ 870</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$796,236</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$(237,900)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$(1,819)</w:t>
            </w:r>
          </w:p>
        </w:tc>
      </w:tr>
      <w:tr>
        <w:trPr>
          <w:trHeight w:val="200"/>
        </w:trPr>
        <w:tc>
          <w:tcPr>
            <w:tcW w:w="4520" w:type="dxa"/>
            <w:vAlign w:val="bottom"/>
          </w:tcPr>
          <w:p>
            <w:pPr>
              <w:spacing w:after="0"/>
              <w:rPr>
                <w:sz w:val="17"/>
                <w:szCs w:val="17"/>
                <w:color w:val="auto"/>
              </w:rPr>
            </w:pPr>
          </w:p>
        </w:tc>
        <w:tc>
          <w:tcPr>
            <w:tcW w:w="15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920"/>
          </w:cols>
          <w:pgMar w:left="240" w:top="315" w:right="7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4"/>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11</w:t>
            </w: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99"/>
        </w:trPr>
        <w:tc>
          <w:tcPr>
            <w:tcW w:w="682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USA WASTE SERVICES, INC.</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SUPPLEMENTAL CONSOLIDATED STATEMENTS OF CASH FLOWS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(In Thousands)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99"/>
        </w:trPr>
        <w:tc>
          <w:tcPr>
            <w:tcW w:w="6820" w:type="dxa"/>
            <w:vAlign w:val="bottom"/>
          </w:tcPr>
          <w:p>
            <w:pPr>
              <w:spacing w:after="0"/>
              <w:rPr>
                <w:sz w:val="24"/>
                <w:szCs w:val="24"/>
                <w:color w:val="auto"/>
              </w:rPr>
            </w:pPr>
          </w:p>
        </w:tc>
        <w:tc>
          <w:tcPr>
            <w:tcW w:w="410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6820" w:type="dxa"/>
            <w:vAlign w:val="bottom"/>
          </w:tcPr>
          <w:p>
            <w:pPr>
              <w:spacing w:after="0"/>
              <w:rPr>
                <w:sz w:val="17"/>
                <w:szCs w:val="17"/>
                <w:color w:val="auto"/>
              </w:rPr>
            </w:pPr>
          </w:p>
        </w:tc>
        <w:tc>
          <w:tcPr>
            <w:tcW w:w="410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1995</w:t>
            </w:r>
          </w:p>
        </w:tc>
        <w:tc>
          <w:tcPr>
            <w:tcW w:w="15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$ 47,343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$(59,095)</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$13,561</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to net cash</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ind w:left="520"/>
              <w:spacing w:after="0"/>
              <w:rPr>
                <w:sz w:val="20"/>
                <w:szCs w:val="20"/>
                <w:color w:val="auto"/>
              </w:rPr>
            </w:pPr>
            <w:r>
              <w:rPr>
                <w:rFonts w:ascii="Courier New" w:cs="Courier New" w:eastAsia="Courier New" w:hAnsi="Courier New"/>
                <w:sz w:val="17"/>
                <w:szCs w:val="17"/>
                <w:color w:val="auto"/>
              </w:rPr>
              <w:t>provided by operating activities: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Depreciation and amortization</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83,519</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83,044</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74,223</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Deferred income taxes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(16,978)</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1,967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1,327</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Net gains on disposal of assets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(566)</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(710)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608</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Interest earned on escrowed funds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(415)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(878)</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Loss on municipal contract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(950)</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(950)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Adjustment for change in Envirofil fiscal year</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(930)</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Adjustment for change in Western fiscal year</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(667)</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Change in assets and liabilities,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940"/>
              <w:spacing w:after="0"/>
              <w:rPr>
                <w:sz w:val="20"/>
                <w:szCs w:val="20"/>
                <w:color w:val="auto"/>
              </w:rPr>
            </w:pPr>
            <w:r>
              <w:rPr>
                <w:rFonts w:ascii="Courier New" w:cs="Courier New" w:eastAsia="Courier New" w:hAnsi="Courier New"/>
                <w:sz w:val="17"/>
                <w:szCs w:val="17"/>
                <w:color w:val="auto"/>
              </w:rPr>
              <w:t>net of effects of acquisitions and divestitures: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accounts receivable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460"/>
              <w:spacing w:after="0"/>
              <w:rPr>
                <w:sz w:val="20"/>
                <w:szCs w:val="20"/>
                <w:color w:val="auto"/>
              </w:rPr>
            </w:pPr>
            <w:r>
              <w:rPr>
                <w:rFonts w:ascii="Courier New" w:cs="Courier New" w:eastAsia="Courier New" w:hAnsi="Courier New"/>
                <w:sz w:val="17"/>
                <w:szCs w:val="17"/>
                <w:color w:val="auto"/>
              </w:rPr>
              <w:t>other receivables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5,291</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(11,853)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(9,765)</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prepaid expenses and other</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(2,399)</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1,191</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other assets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(8,093)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(3,434)</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1,941</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refundable taxes</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(659)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16,049</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accounts payable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460"/>
              <w:spacing w:after="0"/>
              <w:rPr>
                <w:sz w:val="20"/>
                <w:szCs w:val="20"/>
                <w:color w:val="auto"/>
              </w:rPr>
            </w:pPr>
            <w:r>
              <w:rPr>
                <w:rFonts w:ascii="Courier New" w:cs="Courier New" w:eastAsia="Courier New" w:hAnsi="Courier New"/>
                <w:sz w:val="17"/>
                <w:szCs w:val="17"/>
                <w:color w:val="auto"/>
              </w:rPr>
              <w:t>accrued liabilities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(14,239)</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4,545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(14,722)</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accrued shareholder</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360"/>
              <w:spacing w:after="0"/>
              <w:rPr>
                <w:sz w:val="20"/>
                <w:szCs w:val="20"/>
                <w:color w:val="auto"/>
              </w:rPr>
            </w:pPr>
            <w:r>
              <w:rPr>
                <w:rFonts w:ascii="Courier New" w:cs="Courier New" w:eastAsia="Courier New" w:hAnsi="Courier New"/>
                <w:sz w:val="17"/>
                <w:szCs w:val="17"/>
                <w:color w:val="auto"/>
              </w:rPr>
              <w:t>litigation settlement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(85,300)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85,300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deferred revenues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360"/>
              <w:spacing w:after="0"/>
              <w:rPr>
                <w:sz w:val="20"/>
                <w:szCs w:val="20"/>
                <w:color w:val="auto"/>
              </w:rPr>
            </w:pPr>
            <w:r>
              <w:rPr>
                <w:rFonts w:ascii="Courier New" w:cs="Courier New" w:eastAsia="Courier New" w:hAnsi="Courier New"/>
                <w:sz w:val="17"/>
                <w:szCs w:val="17"/>
                <w:color w:val="auto"/>
              </w:rPr>
              <w:t>other liabilities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3,000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5,075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1,099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580</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provided by continuing operations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9,961</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103,357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81,183</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used in operating activities of</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(2,148)</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9,961</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103,357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79,035</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(8,283)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(23,944)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(44,522)</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Capital expenditures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(125,535)</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(117,064)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(105,702)</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Loans and advances to others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(19,660)</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(7,504)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(4,932)</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Collection of loans and advances to others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4,880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1,785</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1,607</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of assets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7,952</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17,857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38,227</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Decrease (increase) in restricted funds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11,753</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14,657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(404)</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of investments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1,200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1,200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(603)</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Net investing activities of discontinued operations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4,500</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(127,693)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(113,212)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(111,829)</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80"/>
        <w:spacing w:after="0"/>
        <w:rPr>
          <w:sz w:val="20"/>
          <w:szCs w:val="20"/>
          <w:color w:val="auto"/>
        </w:rPr>
      </w:pPr>
      <w:r>
        <w:rPr>
          <w:rFonts w:ascii="Courier New" w:cs="Courier New" w:eastAsia="Courier New" w:hAnsi="Courier New"/>
          <w:sz w:val="17"/>
          <w:szCs w:val="17"/>
          <w:color w:val="auto"/>
        </w:rPr>
        <w:t>Continued</w:t>
      </w:r>
    </w:p>
    <w:p>
      <w:pPr>
        <w:sectPr>
          <w:pgSz w:w="11900" w:h="16838" w:orient="portrait"/>
          <w:cols w:equalWidth="0" w:num="1">
            <w:col w:w="10920"/>
          </w:cols>
          <w:pgMar w:left="240" w:top="315" w:right="739" w:bottom="5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920"/>
          </w:cols>
          <w:pgMar w:left="240" w:top="315" w:right="739" w:bottom="593"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SUPPLEMENTAL CONSOLIDATED STATEMENTS OF CASH FLOWS, continued</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Years Ended December 31,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0"/>
        </w:trPr>
        <w:tc>
          <w:tcPr>
            <w:tcW w:w="6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7"/>
                <w:szCs w:val="17"/>
                <w:color w:val="auto"/>
              </w:rPr>
            </w:pPr>
          </w:p>
        </w:tc>
        <w:tc>
          <w:tcPr>
            <w:tcW w:w="14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1994</w:t>
            </w:r>
          </w:p>
        </w:tc>
        <w:tc>
          <w:tcPr>
            <w:tcW w:w="10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issuance of long-term debt</w:t>
            </w: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$412,426</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$ 62,935</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$ 70,950</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Principal payments on long-term debt</w:t>
            </w:r>
          </w:p>
        </w:tc>
        <w:tc>
          <w:tcPr>
            <w:tcW w:w="16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(423,618)</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(78,182)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(76,146)</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Net proceeds from issuance of preferred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9,537</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Net proceeds from issuance of common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119,572</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2,617</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16,400</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exercise of common stock warrants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3,701</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151</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exercise of common stock options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1,964</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492</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Purchases of treasury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(1,332)</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Funds provided by replacement letters of credit</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10,243</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Elimination of investment in Western</w:t>
            </w:r>
          </w:p>
        </w:tc>
        <w:tc>
          <w:tcPr>
            <w:tcW w:w="46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(12,569)</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(2,166)</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(627)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(697)</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99,310</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(12,614)</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28,985</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Decrease in cash and cash equivalents</w:t>
            </w:r>
          </w:p>
        </w:tc>
        <w:tc>
          <w:tcPr>
            <w:tcW w:w="46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(18,422)</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(22,469)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(3,809)</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year</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36,645</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59,114</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62,923</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year</w:t>
            </w: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$ 18,223</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$ 36,645</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$ 59,114</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599"/>
        </w:trPr>
        <w:tc>
          <w:tcPr>
            <w:tcW w:w="650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Cash paid during the year for:</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Interest</w:t>
            </w: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$ 45,737</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$ 39,067</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$ 40,501</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Income taxes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28,202</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17,074</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12,155</w:t>
            </w:r>
          </w:p>
        </w:tc>
      </w:tr>
      <w:tr>
        <w:trPr>
          <w:trHeight w:val="599"/>
        </w:trPr>
        <w:tc>
          <w:tcPr>
            <w:tcW w:w="6500" w:type="dxa"/>
            <w:vAlign w:val="bottom"/>
          </w:tcPr>
          <w:p>
            <w:pPr>
              <w:spacing w:after="0"/>
              <w:rPr>
                <w:sz w:val="20"/>
                <w:szCs w:val="20"/>
                <w:color w:val="auto"/>
              </w:rPr>
            </w:pPr>
            <w:r>
              <w:rPr>
                <w:rFonts w:ascii="Courier New" w:cs="Courier New" w:eastAsia="Courier New" w:hAnsi="Courier New"/>
                <w:sz w:val="17"/>
                <w:szCs w:val="17"/>
                <w:color w:val="auto"/>
              </w:rPr>
              <w:t>Supplemental disclosure of non-cash investing</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6500" w:type="dxa"/>
            <w:vAlign w:val="bottom"/>
          </w:tcPr>
          <w:p>
            <w:pPr>
              <w:ind w:left="220"/>
              <w:spacing w:after="0"/>
              <w:rPr>
                <w:sz w:val="20"/>
                <w:szCs w:val="20"/>
                <w:color w:val="auto"/>
              </w:rPr>
            </w:pPr>
            <w:r>
              <w:rPr>
                <w:rFonts w:ascii="Courier New" w:cs="Courier New" w:eastAsia="Courier New" w:hAnsi="Courier New"/>
                <w:sz w:val="17"/>
                <w:szCs w:val="17"/>
                <w:color w:val="auto"/>
              </w:rPr>
              <w:t>and financing activities: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Acquisition of property and equipment</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through capital leases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408</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Conversion of subordinated debentures to common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49,000</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Issuance of common stock for preferred stock dividends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1,390</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154</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Receivables from sale of businesses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4,056</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Acquisitions of businesses: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Liabilities incurred or assumed</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13,523</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10,085</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20,534</w:t>
            </w: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Common stock issued</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29,147</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14,522</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4,800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920"/>
          </w:cols>
          <w:pgMar w:left="240" w:top="315" w:right="739" w:bottom="1440" w:gutter="0" w:footer="0" w:header="0"/>
        </w:sectPr>
      </w:pPr>
    </w:p>
    <w:bookmarkStart w:id="12" w:name="page13"/>
    <w:bookmarkEnd w:id="12"/>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NOTES TO SUPPLEMENTAL CONSOLIDATED FINANCIAL STATEMENTS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SUMMARY OF SIGNIFICANT ACCOUNTING POLICIES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municipal, commercial, industrial, and residential customers. The Company conducts operations through subsidiaries in multiple locations nationwide.</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Basis of presentation -- The supplemental consolidated financial statements of the Company have been prepared to give retroactive effect to the merger with Western Waste Industries ("Western") on May 7, 1996.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Principles of consolidation -- The accompanying supplemental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Use of estimates -- The preparation of the supplemental consolidated financial statements in accordance with generally accepted accounting principles requires the use of management's estimates and assumptions in determining the carrying values of certain assets and liabilities and disclosure of contingent assets and liabilities at the date of the supplemental consolidated financial statements and the reported amounts for certain revenues and expenses during the reporting period. Actual results could differ from those estimated.</w:t>
      </w:r>
    </w:p>
    <w:p>
      <w:pPr>
        <w:spacing w:after="0" w:line="200"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funds held by trustees -- Restricted funds held by trustees of</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$21,291,000 and $38,954,000 at December 31, 1995 and 1994,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 closure, and construction escrow investments to be held to maturity. The aggregate fair value of these investments approximates their amortized costs.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1995.</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to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 not require collateral to support accounts receivable. The Company maintains an allowance for doubtful accounts for potential credit losses.</w:t>
      </w:r>
    </w:p>
    <w:p>
      <w:pPr>
        <w:spacing w:after="0" w:line="4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Interest rate swap agreements -- The Company uses interest rate swap agreements to minimize the impact of interest rate fluctuations on floating interest rate</w:t>
      </w:r>
    </w:p>
    <w:p>
      <w:pPr>
        <w:sectPr>
          <w:pgSz w:w="11900" w:h="16902" w:orient="portrait"/>
          <w:cols w:equalWidth="0" w:num="1">
            <w:col w:w="10219"/>
          </w:cols>
          <w:pgMar w:left="240" w:top="315"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long-term borrowings. The differential paid or received on interest rate swap</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is recognized as an adjustment to interest expense.</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current operations. Depreciation is provided over the estimated useful lives of the related assets using the straight-line method. The estimated useful lives are seven to thirty years for buildings and improvements, three to twelve years for vehicles and machinery and equipment, three to twelve years for containers, and three to ten years for furniture and fixtures.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Disposal sites are stated at cost and amortized as airspace is consumed.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Disposal site costs include expenditures for acquisitions of land and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airspace, engineering and permitting costs, and direct site improvement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management believes are recoverable. Interest cost is capitalized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landfill construction projects and amortized as airspace is consumed.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years ended December 31, 1995, 1994, and 1993, interest costs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$53,489,000 $44,204,000, and $44,212,000, respectively, of which $7,058,000,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$4,797,000, and $4,403,000 were capitalized, respectively, with respect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landfills and facilities under construction.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 of property and equipment was $72,257,000,</w:t>
      </w:r>
    </w:p>
    <w:p>
      <w:pPr>
        <w:spacing w:after="0" w:line="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$69,369,000, and $61,374,000 for the years ended December 31, 1995, 1994, and 1993, respectively.</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Excess of cost over net assets of acquired businesses -- The excess of cost over net assets of acquired businesses is being amortized on a straight-line basis commencing on the dates of the respective acquisitions. Effective January 1, 1995, the Company changed the estimated useful life of excess of cost over net assets of acquired businesses from 25 to 40 years to more appropriately reflect the estimated period during which the benefit of the assets will be realized. This change in accounting estimate had the effect of reducing amortization expense and increasing net income by $1,488,000 and increasing earnings per share by $0.02 in 1995. Accumulated amortization was $13,470,000 and $10,479,000 at December 31, 1995 and 1994, respectively. The Company assesses whether the excess of cost over net assets acquired is impaired based on the ability of the operation to which it relates to generate undiscounted cash flows in amounts adequate to cover the future amortization of such assets. If an impairment is determined, the amount of such impairment is calculated based on the estimated fair value of the related asset.</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Accounting for acquisitions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the estimates of fair values thereof. These estimates are revised during the allocation period as necessary when information regarding contingencies becomes available to define and quantify assets acquired and liabilities assumed. The allocation period varies for each acquisition, but generally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Other intangible assets -- Other intangible assets consist primarily of customer lists, covenants not to compete, and licenses and permits. Other intangible assets are recorded at cost and amortized on a straight-line basis over three to forty years. Accumulated amortization was $43,238,000 and $38,144,000 at December 31, 1995 and 1994, respectively.</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Closure, post-closure, and other liabilities -- The Company has material financial commitments for the costs associated with its future obligations for closure and post-closure costs of landfills it operates or for which it is otherwise responsible. While the precise amount of these future costs cannot be determined with certainty, the Company has estimated that the aggregate final closure and post-closure costs for all sites owned or operated as of December 31, 1995 will be approximately $115,945,000. As of December 31, 1995 and 1994, the Company has accrued $55,732,000, and $48,170,000, respectively, for final closure and post-closure</w:t>
      </w:r>
    </w:p>
    <w:p>
      <w:pPr>
        <w:sectPr>
          <w:pgSz w:w="11900" w:h="16838" w:orient="portrait"/>
          <w:cols w:equalWidth="0" w:num="1">
            <w:col w:w="10219"/>
          </w:cols>
          <w:pgMar w:left="240" w:top="315" w:right="1440" w:bottom="0" w:gutter="0" w:footer="0" w:header="0"/>
        </w:sectPr>
      </w:pPr>
    </w:p>
    <w:bookmarkStart w:id="15" w:name="page16"/>
    <w:bookmarkEnd w:id="15"/>
    <w:p>
      <w:pPr>
        <w:ind w:left="28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74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15</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costs of disposal facilities. The difference between the closure and post-closure costs accrued as of December 31, 1995 and the total estimated final closure and post-closure costs to be incurred will be accrued and charged to expense as airspace is consumed such that the total estimated final closure and post-closure costs will be fully accrued for each landfill at the time the site stops accepting waste and is closed. The Company also expects to incur an estimated $242,926,000 related to capping activities expected to occur during the operating lives of these disposal sites. These costs are also being accrued over the useful lives of the disposal sites as airspace is consumed.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stops accepting waste, which is generally expected to be for a period of up to thirty years after final site closure. For disposal sites that were previously operated by others,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is accrued and charged to expense as airspace is consumed.</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Income taxes -- Deferred income taxes are determined based on the difference between the financial accounting and tax bases of assets and liabilities. Deferred income tax expense represents the change during the period in the deferred income tax assets and deferred income tax liabilities. Deferred tax assets include tax loss and credit carryforwards and are reduced by a valuation allowance if, based on available evidence, it is more likely than not that some portion or all of the deferred tax assets will not be realized.</w:t>
      </w:r>
    </w:p>
    <w:p>
      <w:pPr>
        <w:spacing w:after="0" w:line="200"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Revenue recognition -- The Company recognizes revenues as services are provided. Amounts billed and collected prior to services being performed are included in deferred revenues.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supplemental consolidated statements of operations.</w:t>
      </w:r>
    </w:p>
    <w:p>
      <w:pPr>
        <w:spacing w:after="0" w:line="200"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Cash Flows Information -- The supplemental consolidated statements of cash flows provides information about changes in cash and excludes the effects on non-cash transactions, principally related to business combinations.</w:t>
      </w:r>
    </w:p>
    <w:p>
      <w:pPr>
        <w:spacing w:after="0" w:line="19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Reclassifications -- Certain 1994 amounts have been reclassified to conform to the 1995 presentation.</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New accounting pronouncements -- In the second quarter of 1995, the Company adopted Financial Accounting Standards Board Statement No. 121, Accounting for Impairment of Long-Lived Assets and for Long-Lived Assets to Be Disposed Of ("SFAS No. 121"). SFAS No. 121 required the Company to review long-lived assets and certain identifiable intangibles to be held and used for impairment whenever certain events or changes in circumstances indicate that the carrying amount of an asset may not be recoverable. Under SFAS No. 121, if the sum of the expected future undiscounted cash flows is less than the carrying amount of the asset, an impairment loss is recognized. An impairment loss is measured as the amount by which the carrying amount exceeds the fair value of the assets (assets to be held and used) or fair value less cost to sell (assets to be disposed of).</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1995, the Company experienced significant competition in the greenwaste market resulting in a decrease in price and volume and negative cash flows from these operations. The Company believes that this environment will continue in the foreseeable future. Accordingly, the Company evaluated the ongoing value of the fixed assets, covenants, and goodwill associated with its greenwaste operations. Based on this evaluation, and in accordance with the adoption of SFAS No. 121, the Company determined that assets with a carrying value of approximately $4,473,000 were impaired and wrote such assets down by approximately $1,242,000 to their fair value. The Company obtained independent appraisals of its fixed assets in order to determine fair value. The impairment loss is included in operating expenses in the 1995 supplemental consolidated statement of operations.</w:t>
      </w:r>
    </w:p>
    <w:p>
      <w:pPr>
        <w:sectPr>
          <w:pgSz w:w="11900" w:h="16838" w:orient="portrait"/>
          <w:cols w:equalWidth="0" w:num="1">
            <w:col w:w="10219"/>
          </w:cols>
          <w:pgMar w:left="240" w:top="315" w:right="1440" w:bottom="0" w:gutter="0" w:footer="0" w:header="0"/>
        </w:sectPr>
      </w:pPr>
    </w:p>
    <w:bookmarkStart w:id="17" w:name="page18"/>
    <w:bookmarkEnd w:id="17"/>
    <w:p>
      <w:pPr>
        <w:ind w:right="2219"/>
        <w:spacing w:after="0" w:line="251" w:lineRule="auto"/>
        <w:rPr>
          <w:sz w:val="20"/>
          <w:szCs w:val="20"/>
          <w:color w:val="auto"/>
        </w:rPr>
      </w:pPr>
      <w:r>
        <w:rPr>
          <w:rFonts w:ascii="Courier New" w:cs="Courier New" w:eastAsia="Courier New" w:hAnsi="Courier New"/>
          <w:sz w:val="17"/>
          <w:szCs w:val="17"/>
          <w:color w:val="auto"/>
        </w:rPr>
        <w:t>In October 1995, the Financial Accounting Standards Board issued Statement of Financial Accounting Standards No. 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16</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SFAS No. 123 are required, beginning in 1996, to make disclosures of pro forma net income and earnings per share as if the recognition provisions of SFAS No. 123 had been applied. The Company does not plan to adopt the recognition provisions of SFAS No. 123.</w:t>
      </w:r>
    </w:p>
    <w:p>
      <w:pPr>
        <w:spacing w:after="0" w:line="200" w:lineRule="exact"/>
        <w:rPr>
          <w:sz w:val="20"/>
          <w:szCs w:val="20"/>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May 7, 1996, the Company consummated an Agreement and Plan of Merger (the "Merger Agreement") to acquire Western through a merger transaction (the "Western Merger") accounted for as a pooling of interests and, accordingly, the accompanying financial information has been restated to include the accounts and operations of Western for all periods presented. Under the terms of the Merger Agreement,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23,100,000 shares and the Company assumed options under Western's stock option plans equivalent to approximately 5,200,000 underlying Company shares of common stock.</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 connection with the acquisition, Western changed its fiscal year end from June 30 to December 31 to conform with the Company's year end. Western's operating results for the six months ended June 30, 1995, were included in the supplemental consolidated statements of operations for both of the years ended December 31, 1995 and 1994. The following is a consolidated summary of operations for Western for the six months ended June 30, 1995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9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$136,123</w:t>
            </w:r>
          </w:p>
        </w:tc>
      </w:tr>
      <w:tr>
        <w:trPr>
          <w:trHeight w:val="2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8,864</w:t>
            </w:r>
          </w:p>
        </w:tc>
      </w:tr>
    </w:tbl>
    <w:p>
      <w:pPr>
        <w:spacing w:after="0" w:line="200" w:lineRule="exact"/>
        <w:rPr>
          <w:sz w:val="20"/>
          <w:szCs w:val="20"/>
          <w:color w:val="auto"/>
        </w:rPr>
      </w:pPr>
    </w:p>
    <w:p>
      <w:pPr>
        <w:spacing w:after="0" w:line="205"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supplemental consolidated financial statements for 1994 and 1993 have not been restated for the change in Western's fiscal year. The supplemental consolidated financial statements for 1994 and 1993 include Western for the years ended June 30, 1995 and 1994, respectively.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In the second quarter of 1996, the Company expects to incur up to $35,000,000 in merger related costs associated with the Western Merger. In addition, the Company will incur approximately $4,800,000 in benefits related to Western's pre- merger retirement program during 1996.</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May 15, 1996, the Company consummated a merger agreement with Grand Central, accounted for as a pooling of interests, pursuant to which the Company issued 2,067,605 shares of its common stock in exchange for all outstanding shares of Grand Central. The Company has restated its previously issued financial statements for the three months ended March 31, 1996 to include the accounts and operations of Grand Central. Periods prior to 1996 were not restated as combined results are not materially different from results as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17</w:t>
      </w:r>
    </w:p>
    <w:p>
      <w:pPr>
        <w:spacing w:after="0" w:line="7" w:lineRule="exact"/>
        <w:rPr>
          <w:sz w:val="20"/>
          <w:szCs w:val="20"/>
          <w:color w:val="auto"/>
        </w:rPr>
      </w:pPr>
    </w:p>
    <w:p>
      <w:pPr>
        <w:ind w:right="500"/>
        <w:spacing w:after="0" w:line="249" w:lineRule="auto"/>
        <w:rPr>
          <w:sz w:val="20"/>
          <w:szCs w:val="20"/>
          <w:color w:val="auto"/>
        </w:rPr>
      </w:pPr>
      <w:r>
        <w:rPr>
          <w:rFonts w:ascii="Courier New" w:cs="Courier New" w:eastAsia="Courier New" w:hAnsi="Courier New"/>
          <w:sz w:val="17"/>
          <w:szCs w:val="17"/>
          <w:color w:val="auto"/>
        </w:rPr>
        <w:t>The supplemental consolidated balance sheet at December 31, 1995 reflects the combining of USA Waste and Western as of that date. The supplemental consolidated balance sheet at December 31, 1994 reflects the combining of the USA Waste balance sheet as of that date and Western balance sheet as of June 30, 1995. Combined and separate results of operations of the Company prior to consummation of the merger ("USA Waste"), Western, and Grand Central for the restated periods are as follows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Grand</w:t>
            </w:r>
          </w:p>
        </w:tc>
      </w:tr>
      <w:tr>
        <w:trPr>
          <w:trHeight w:val="200"/>
        </w:trPr>
        <w:tc>
          <w:tcPr>
            <w:tcW w:w="484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USA Waste</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Western</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Central</w:t>
            </w:r>
          </w:p>
        </w:tc>
      </w:tr>
      <w:tr>
        <w:trPr>
          <w:trHeight w:val="200"/>
        </w:trPr>
        <w:tc>
          <w:tcPr>
            <w:tcW w:w="484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Three months ended March 31, 1996 (unaudited):</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$124,629</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$ 68,441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$8,455</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20,516</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4,703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1,538</w:t>
            </w:r>
          </w:p>
        </w:tc>
      </w:tr>
      <w:tr>
        <w:trPr>
          <w:trHeight w:val="2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Year ended December 31, 1995:</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$457,099</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$273,901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30,263</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17,021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Year ended December 31, 1994</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(Western as of June 30, 1995):</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$434,224</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$270,941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(76,278)</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17,089</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Year ended December 31, 1993</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(Western as of June 30, 1994):</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$382,234</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$257,005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988</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12,527</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940" w:right="400" w:firstLine="2"/>
        <w:spacing w:after="0" w:line="249" w:lineRule="auto"/>
        <w:tabs>
          <w:tab w:leader="none" w:pos="135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1992, USA Waste acquired a 55% interest in a hauling company from a third party in which Western owned the remaining 45%. In March 1993, USA Waste acquired the remaining 45% interest in the hauling company from Western. The combined financial information reflects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recorded by USA Waste in February 1992, has also been eliminated.</w:t>
      </w:r>
    </w:p>
    <w:p>
      <w:pPr>
        <w:spacing w:after="0" w:line="200" w:lineRule="exact"/>
        <w:rPr>
          <w:sz w:val="20"/>
          <w:szCs w:val="20"/>
          <w:color w:val="auto"/>
        </w:rPr>
      </w:pPr>
    </w:p>
    <w:p>
      <w:pPr>
        <w:ind w:right="500"/>
        <w:spacing w:after="0" w:line="249" w:lineRule="auto"/>
        <w:rPr>
          <w:sz w:val="20"/>
          <w:szCs w:val="20"/>
          <w:color w:val="auto"/>
        </w:rPr>
      </w:pPr>
      <w:r>
        <w:rPr>
          <w:rFonts w:ascii="Courier New" w:cs="Courier New" w:eastAsia="Courier New" w:hAnsi="Courier New"/>
          <w:sz w:val="17"/>
          <w:szCs w:val="17"/>
          <w:color w:val="auto"/>
        </w:rPr>
        <w:t>On June 30, 1995, the Company consummated the acquisition of Chambers Development Company, Inc. ("Chambers"), pursuant to which the Company acquired a 100% ownership interest in Chambers. Under the terms of the merger agreement, approximately 27,800,000 shares of the Company's common stock were issued in exchange for all outstanding shares of Chambers Common Stock and Class A Common Stock. The acquisition was accounted for as a pooling of interests and, accordingly, the accompanying supplemental consolidated financial statements include the accounts and operations of Chambers for all periods presented. Related to this acquisition, the Company incurred $25,073,000 in merger costs in the second quarter of 1995.</w:t>
      </w:r>
    </w:p>
    <w:p>
      <w:pPr>
        <w:spacing w:after="0" w:line="200"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7"/>
          <w:szCs w:val="17"/>
          <w:color w:val="auto"/>
        </w:rPr>
        <w:t>The results of operations for Chambers prior to consummation of the merger for the restated periods are as follows (in thousands):</w:t>
      </w:r>
    </w:p>
    <w:p>
      <w:pPr>
        <w:spacing w:after="0" w:line="396"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140" w:type="dxa"/>
            <w:vAlign w:val="bottom"/>
          </w:tcPr>
          <w:p>
            <w:pPr>
              <w:spacing w:after="0"/>
              <w:rPr>
                <w:sz w:val="16"/>
                <w:szCs w:val="16"/>
                <w:color w:val="auto"/>
              </w:rPr>
            </w:pPr>
          </w:p>
        </w:tc>
        <w:tc>
          <w:tcPr>
            <w:tcW w:w="23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Three Months Ended</w:t>
            </w:r>
          </w:p>
        </w:tc>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2140" w:type="dxa"/>
            <w:vAlign w:val="bottom"/>
          </w:tcPr>
          <w:p>
            <w:pPr>
              <w:spacing w:after="0"/>
              <w:rPr>
                <w:sz w:val="17"/>
                <w:szCs w:val="17"/>
                <w:color w:val="auto"/>
              </w:rPr>
            </w:pPr>
          </w:p>
        </w:tc>
        <w:tc>
          <w:tcPr>
            <w:tcW w:w="23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March 31, 1995</w:t>
            </w:r>
          </w:p>
        </w:tc>
        <w:tc>
          <w:tcPr>
            <w:tcW w:w="29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2140" w:type="dxa"/>
            <w:vAlign w:val="bottom"/>
          </w:tcPr>
          <w:p>
            <w:pPr>
              <w:spacing w:after="0"/>
              <w:rPr>
                <w:sz w:val="17"/>
                <w:szCs w:val="17"/>
                <w:color w:val="auto"/>
              </w:rPr>
            </w:pPr>
          </w:p>
        </w:tc>
        <w:tc>
          <w:tcPr>
            <w:tcW w:w="23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29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r>
      <w:tr>
        <w:trPr>
          <w:trHeight w:val="200"/>
        </w:trPr>
        <w:tc>
          <w:tcPr>
            <w:tcW w:w="2140" w:type="dxa"/>
            <w:vAlign w:val="bottom"/>
          </w:tcPr>
          <w:p>
            <w:pPr>
              <w:spacing w:after="0"/>
              <w:rPr>
                <w:sz w:val="17"/>
                <w:szCs w:val="17"/>
                <w:color w:val="auto"/>
              </w:rPr>
            </w:pPr>
          </w:p>
        </w:tc>
        <w:tc>
          <w:tcPr>
            <w:tcW w:w="23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(unaudited)</w:t>
            </w:r>
          </w:p>
        </w:tc>
        <w:tc>
          <w:tcPr>
            <w:tcW w:w="16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1994</w:t>
            </w:r>
          </w:p>
        </w:tc>
        <w:tc>
          <w:tcPr>
            <w:tcW w:w="1300" w:type="dxa"/>
            <w:vAlign w:val="bottom"/>
          </w:tcPr>
          <w:p>
            <w:pPr>
              <w:jc w:val="center"/>
              <w:ind w:left="39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2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393"/>
              <w:spacing w:after="0"/>
              <w:rPr>
                <w:sz w:val="20"/>
                <w:szCs w:val="20"/>
                <w:color w:val="auto"/>
              </w:rPr>
            </w:pPr>
            <w:r>
              <w:rPr>
                <w:rFonts w:ascii="Courier New" w:cs="Courier New" w:eastAsia="Courier New" w:hAnsi="Courier New"/>
                <w:sz w:val="17"/>
                <w:szCs w:val="17"/>
                <w:color w:val="auto"/>
              </w:rPr>
              <w:t>----</w:t>
            </w:r>
          </w:p>
        </w:tc>
      </w:tr>
      <w:tr>
        <w:trPr>
          <w:trHeight w:val="4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3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$54,734</w:t>
            </w:r>
          </w:p>
        </w:tc>
        <w:tc>
          <w:tcPr>
            <w:tcW w:w="166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$257,989</w:t>
            </w:r>
          </w:p>
        </w:tc>
        <w:tc>
          <w:tcPr>
            <w:tcW w:w="1300" w:type="dxa"/>
            <w:vAlign w:val="bottom"/>
          </w:tcPr>
          <w:p>
            <w:pPr>
              <w:jc w:val="center"/>
              <w:ind w:left="393"/>
              <w:spacing w:after="0"/>
              <w:rPr>
                <w:sz w:val="20"/>
                <w:szCs w:val="20"/>
                <w:color w:val="auto"/>
              </w:rPr>
            </w:pPr>
            <w:r>
              <w:rPr>
                <w:rFonts w:ascii="Courier New" w:cs="Courier New" w:eastAsia="Courier New" w:hAnsi="Courier New"/>
                <w:sz w:val="17"/>
                <w:szCs w:val="17"/>
                <w:color w:val="auto"/>
              </w:rPr>
              <w:t>$288,481</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23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(5,269)</w:t>
            </w:r>
          </w:p>
        </w:tc>
        <w:tc>
          <w:tcPr>
            <w:tcW w:w="1660" w:type="dxa"/>
            <w:vAlign w:val="bottom"/>
          </w:tcPr>
          <w:p>
            <w:pPr>
              <w:ind w:left="360"/>
              <w:spacing w:after="0"/>
              <w:rPr>
                <w:sz w:val="20"/>
                <w:szCs w:val="20"/>
                <w:color w:val="auto"/>
              </w:rPr>
            </w:pPr>
            <w:r>
              <w:rPr>
                <w:rFonts w:ascii="Courier New" w:cs="Courier New" w:eastAsia="Courier New" w:hAnsi="Courier New"/>
                <w:sz w:val="17"/>
                <w:szCs w:val="17"/>
                <w:color w:val="auto"/>
              </w:rPr>
              <w:t>(90,244)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8,303</w:t>
            </w:r>
          </w:p>
        </w:tc>
      </w:tr>
    </w:tbl>
    <w:p>
      <w:pPr>
        <w:spacing w:after="0" w:line="200" w:lineRule="exact"/>
        <w:rPr>
          <w:sz w:val="20"/>
          <w:szCs w:val="20"/>
          <w:color w:val="auto"/>
        </w:rPr>
      </w:pPr>
    </w:p>
    <w:p>
      <w:pPr>
        <w:spacing w:after="0" w:line="205" w:lineRule="exact"/>
        <w:rPr>
          <w:sz w:val="20"/>
          <w:szCs w:val="20"/>
          <w:color w:val="auto"/>
        </w:rPr>
      </w:pPr>
    </w:p>
    <w:p>
      <w:pPr>
        <w:ind w:right="400"/>
        <w:spacing w:after="0" w:line="249" w:lineRule="auto"/>
        <w:rPr>
          <w:sz w:val="20"/>
          <w:szCs w:val="20"/>
          <w:color w:val="auto"/>
        </w:rPr>
      </w:pPr>
      <w:r>
        <w:rPr>
          <w:rFonts w:ascii="Courier New" w:cs="Courier New" w:eastAsia="Courier New" w:hAnsi="Courier New"/>
          <w:sz w:val="17"/>
          <w:szCs w:val="17"/>
          <w:color w:val="auto"/>
        </w:rPr>
        <w:t>On August 11, 1995 and November 13, 1995, the Company consummated mergers accounted for as poolings of interests, pursuant to which the Company issued 800,000 and 1,787,502 shares of its common stock, respectively, in exchange for all outstanding shares of the acquired companies. Periods prior to consummation of these acquisitions were not restated to include the accounts and operations of the acquired companies as combined results are not materially different from the results as presented.</w:t>
      </w:r>
    </w:p>
    <w:p>
      <w:pPr>
        <w:spacing w:after="0" w:line="200" w:lineRule="exact"/>
        <w:rPr>
          <w:sz w:val="20"/>
          <w:szCs w:val="20"/>
          <w:color w:val="auto"/>
        </w:rPr>
      </w:pPr>
    </w:p>
    <w:p>
      <w:pPr>
        <w:jc w:val="both"/>
        <w:ind w:right="720"/>
        <w:spacing w:after="0" w:line="249" w:lineRule="auto"/>
        <w:rPr>
          <w:sz w:val="20"/>
          <w:szCs w:val="20"/>
          <w:color w:val="auto"/>
        </w:rPr>
      </w:pPr>
      <w:r>
        <w:rPr>
          <w:rFonts w:ascii="Courier New" w:cs="Courier New" w:eastAsia="Courier New" w:hAnsi="Courier New"/>
          <w:sz w:val="17"/>
          <w:szCs w:val="17"/>
          <w:color w:val="auto"/>
        </w:rPr>
        <w:t>On May 27, 1994, the Company consummated a merger agreement with Envirofil, Inc. ("Envirofil"), pursuant to which the Company acquired Envirofil. Under the terms of the agreement, approximately 9,700,000 shares of the Company's common stock were issued in exchange for all outstanding shares of Envirofil common stock. The acquisition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Adjustments</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Combined</w:t>
            </w:r>
          </w:p>
        </w:tc>
      </w:tr>
      <w:tr>
        <w:trPr>
          <w:trHeight w:val="200"/>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$201,525</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15(a)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26,772</w:t>
            </w:r>
          </w:p>
        </w:tc>
      </w:tr>
      <w:tr>
        <w:trPr>
          <w:trHeight w:val="400"/>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$731,000</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59(a)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47,343</w:t>
            </w:r>
          </w:p>
        </w:tc>
      </w:tr>
      <w:tr>
        <w:trPr>
          <w:trHeight w:val="599"/>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$705,165</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94(a)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(59,095)</w:t>
            </w:r>
          </w:p>
        </w:tc>
      </w:tr>
      <w:tr>
        <w:trPr>
          <w:trHeight w:val="599"/>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$639,239</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46(a)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13,561</w:t>
            </w:r>
          </w:p>
        </w:tc>
      </w:tr>
    </w:tbl>
    <w:p>
      <w:pPr>
        <w:sectPr>
          <w:pgSz w:w="11900" w:h="16838" w:orient="portrait"/>
          <w:cols w:equalWidth="0" w:num="2">
            <w:col w:w="8620" w:space="420"/>
            <w:col w:w="2480"/>
          </w:cols>
          <w:pgMar w:left="240" w:top="315" w:right="139" w:bottom="175" w:gutter="0" w:footer="0" w:header="0"/>
        </w:sectPr>
      </w:pPr>
    </w:p>
    <w:bookmarkStart w:id="20" w:name="page21"/>
    <w:bookmarkEnd w:id="20"/>
    <w:p>
      <w:pPr>
        <w:ind w:left="28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541" w:right="1440" w:bottom="1440" w:gutter="0" w:footer="0" w:header="0"/>
        </w:sectPr>
      </w:pPr>
    </w:p>
    <w:bookmarkStart w:id="21" w:name="page22"/>
    <w:bookmarkEnd w:id="21"/>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18</w:t>
      </w:r>
    </w:p>
    <w:p>
      <w:pPr>
        <w:spacing w:after="0" w:line="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accounted for as a pooling of interests and, accordingly, the accompanying supplemental consolidated financial statements include the accounts and operations of Envirofil for all periods presented. Costs related to the acquisition of $3,782,000 were charged to expense in the quarter in which the acquisition was consummated.</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On May 1, 1993, the Company acquired all of the outstanding common stock of Custom Disposal Services, Inc., ("Custom") in exchange for 262,231 shares of its common stock. At the time of its acquisition, Custom was controlled by affiliates of the Company. The acquisition was accounted for in a manner similar to a pooling of interests; however, periods prior to consummation were not restated to include the accounts and operations of Custom as the combined results are not materially different form the results as presented. On September 30, 1994, the Company sold substantially all of Custom's assets.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1995 and 1994, the Company consummated several acquisitions that were accounted for under the purchase method of accounting. Results of operations of companies that were acquired and subject to purchase accounting are included from the dates of the acquisitions. The total costs of acquisitions accounted for under the purchase method were $52,334,000 and $49,033,000 in 1995 and 1994, respectively. The excess of the aggregate purchase price over the fair value of net assets acquired in 1995 and 1994 was approximately $22,873,000 and $23,957,000, respectively.</w:t>
      </w:r>
    </w:p>
    <w:p>
      <w:pPr>
        <w:spacing w:after="0" w:line="200" w:lineRule="exact"/>
        <w:rPr>
          <w:sz w:val="20"/>
          <w:szCs w:val="20"/>
          <w:color w:val="auto"/>
        </w:rPr>
      </w:pPr>
    </w:p>
    <w:p>
      <w:pPr>
        <w:jc w:val="both"/>
        <w:ind w:right="2099"/>
        <w:spacing w:after="0" w:line="250" w:lineRule="auto"/>
        <w:rPr>
          <w:sz w:val="20"/>
          <w:szCs w:val="20"/>
          <w:color w:val="auto"/>
        </w:rPr>
      </w:pPr>
      <w:r>
        <w:rPr>
          <w:rFonts w:ascii="Courier New" w:cs="Courier New" w:eastAsia="Courier New" w:hAnsi="Courier New"/>
          <w:sz w:val="17"/>
          <w:szCs w:val="17"/>
          <w:color w:val="auto"/>
        </w:rPr>
        <w:t>The following summarized pro forma results of operations assumes 1995 and 1994 acquisitions accounted for as purchases occurred at the beginning of 1994 (in thousands, except per share amounts):</w:t>
      </w:r>
    </w:p>
    <w:p>
      <w:pPr>
        <w:spacing w:after="0" w:line="200" w:lineRule="exact"/>
        <w:rPr>
          <w:sz w:val="20"/>
          <w:szCs w:val="20"/>
          <w:color w:val="auto"/>
        </w:rPr>
      </w:pPr>
    </w:p>
    <w:p>
      <w:pPr>
        <w:spacing w:after="0" w:line="397"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32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3900" w:type="dxa"/>
            <w:vAlign w:val="bottom"/>
          </w:tcPr>
          <w:p>
            <w:pPr>
              <w:spacing w:after="0"/>
              <w:rPr>
                <w:sz w:val="17"/>
                <w:szCs w:val="17"/>
                <w:color w:val="auto"/>
              </w:rPr>
            </w:pPr>
          </w:p>
        </w:tc>
        <w:tc>
          <w:tcPr>
            <w:tcW w:w="32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3900" w:type="dxa"/>
            <w:vAlign w:val="bottom"/>
          </w:tcPr>
          <w:p>
            <w:pPr>
              <w:spacing w:after="0"/>
              <w:rPr>
                <w:sz w:val="17"/>
                <w:szCs w:val="17"/>
                <w:color w:val="auto"/>
              </w:rPr>
            </w:pPr>
          </w:p>
        </w:tc>
        <w:tc>
          <w:tcPr>
            <w:tcW w:w="19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3900" w:type="dxa"/>
            <w:vAlign w:val="bottom"/>
          </w:tcPr>
          <w:p>
            <w:pPr>
              <w:spacing w:after="0"/>
              <w:rPr>
                <w:sz w:val="17"/>
                <w:szCs w:val="17"/>
                <w:color w:val="auto"/>
              </w:rPr>
            </w:pP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9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$749,368</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$743,650</w:t>
            </w:r>
          </w:p>
        </w:tc>
      </w:tr>
      <w:tr>
        <w:trPr>
          <w:trHeight w:val="200"/>
        </w:trPr>
        <w:tc>
          <w:tcPr>
            <w:tcW w:w="39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9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48,904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(56,847)</w:t>
            </w:r>
          </w:p>
        </w:tc>
      </w:tr>
      <w:tr>
        <w:trPr>
          <w:trHeight w:val="200"/>
        </w:trPr>
        <w:tc>
          <w:tcPr>
            <w:tcW w:w="390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0.61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(0.76)</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DIVESTITURES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late 1992, Chambers initiated a program to divest certain businesses that did not meet strategic and performance objectives. Under this program, Chambers completed a series of asset sales to various parties in 1993 and 1994. During 1993, Chambers sold a transfer station, five collection and hauling businesses, and a parcel of land for $20,669,000 in cash and received another $996,000 in cash with respect to a development project in California. These sales resulted in a net gain of $7,101,000. Additionally, 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their operating and disposal service agreement, pursuant to which Chambers operates the transfer stations and provides waste disposal services, reducing the rates charged for such services in 1994 and 1995. As a result of the interrelationship of the sale of the transfer stations and the operating and disposal service agreement, the gain on sale was deferred and recognized in 1994 as services were provided. As part of the agreement of sale, the Company will continue to operate the transfer stations and provide waste disposal services until Morris County's long-term solid waste system is in operation or until December 31, 1996, if later. During 1994, Chambers sold a recycling operation, a building, and a parcel of land for $2,089,000 in cash. The losses incurred as a result of these sales were charged to a previously established allowance for divestiture losses.</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following are summarized operating results of the businesses that were sold during 1994 and 1993, included in income from operations on the supplemental consolidated statements of operations. These results exclude the two transfer stations in Morris County, New Jersey, that the Company will continue to operate and the net gain from divestitures of $7,101,000 included in unusual items for the year ended December 31, 1993 (in thousands):</w:t>
      </w:r>
    </w:p>
    <w:p>
      <w:pPr>
        <w:spacing w:after="0" w:line="200" w:lineRule="exact"/>
        <w:rPr>
          <w:sz w:val="20"/>
          <w:szCs w:val="20"/>
          <w:color w:val="auto"/>
        </w:rPr>
      </w:pPr>
    </w:p>
    <w:p>
      <w:pPr>
        <w:spacing w:after="0" w:line="399"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Years Ended December 31,</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580"/>
        <w:spacing w:after="0"/>
        <w:tabs>
          <w:tab w:leader="none" w:pos="590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7" w:lineRule="exact"/>
        <w:rPr>
          <w:sz w:val="20"/>
          <w:szCs w:val="20"/>
          <w:color w:val="auto"/>
        </w:rPr>
      </w:pPr>
    </w:p>
    <w:p>
      <w:pPr>
        <w:ind w:left="4480"/>
        <w:spacing w:after="0"/>
        <w:tabs>
          <w:tab w:leader="none" w:pos="5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91" w:orient="portrait"/>
          <w:cols w:equalWidth="0" w:num="1">
            <w:col w:w="10219"/>
          </w:cols>
          <w:pgMar w:left="240" w:top="315" w:right="1440" w:bottom="0" w:gutter="0" w:footer="0" w:header="0"/>
        </w:sectPr>
      </w:pP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Operating revenues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$9,264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$17,829</w:t>
      </w:r>
    </w:p>
    <w:p>
      <w:pPr>
        <w:sectPr>
          <w:pgSz w:w="11900" w:h="16891" w:orient="portrait"/>
          <w:cols w:equalWidth="0" w:num="3">
            <w:col w:w="3760" w:space="720"/>
            <w:col w:w="620" w:space="720"/>
            <w:col w:w="4399"/>
          </w:cols>
          <w:pgMar w:left="240" w:top="315" w:right="1440" w:bottom="0" w:gutter="0" w:footer="0" w:header="0"/>
          <w:type w:val="continuous"/>
        </w:sectPr>
      </w:pPr>
    </w:p>
    <w:bookmarkStart w:id="22" w:name="page23"/>
    <w:bookmarkEnd w:id="22"/>
    <w:p>
      <w:pPr>
        <w:spacing w:after="0"/>
        <w:tabs>
          <w:tab w:leader="none" w:pos="3720" w:val="left"/>
          <w:tab w:leader="none" w:pos="5180" w:val="left"/>
        </w:tabs>
        <w:rPr>
          <w:sz w:val="20"/>
          <w:szCs w:val="20"/>
          <w:color w:val="auto"/>
        </w:rPr>
      </w:pPr>
      <w:r>
        <w:rPr>
          <w:rFonts w:ascii="Courier New" w:cs="Courier New" w:eastAsia="Courier New" w:hAnsi="Courier New"/>
          <w:sz w:val="17"/>
          <w:szCs w:val="17"/>
          <w:color w:val="auto"/>
        </w:rPr>
        <w:t>Income from operations</w:t>
      </w:r>
      <w:r>
        <w:rPr>
          <w:sz w:val="20"/>
          <w:szCs w:val="20"/>
          <w:color w:val="auto"/>
        </w:rPr>
        <w:tab/>
      </w:r>
      <w:r>
        <w:rPr>
          <w:rFonts w:ascii="Courier New" w:cs="Courier New" w:eastAsia="Courier New" w:hAnsi="Courier New"/>
          <w:sz w:val="17"/>
          <w:szCs w:val="17"/>
          <w:color w:val="auto"/>
        </w:rPr>
        <w:t>398</w:t>
      </w:r>
      <w:r>
        <w:rPr>
          <w:sz w:val="20"/>
          <w:szCs w:val="20"/>
          <w:color w:val="auto"/>
        </w:rPr>
        <w:tab/>
      </w:r>
      <w:r>
        <w:rPr>
          <w:rFonts w:ascii="Courier New" w:cs="Courier New" w:eastAsia="Courier New" w:hAnsi="Courier New"/>
          <w:sz w:val="17"/>
          <w:szCs w:val="17"/>
          <w:color w:val="auto"/>
        </w:rPr>
        <w:t>444</w:t>
      </w:r>
    </w:p>
    <w:p>
      <w:pPr>
        <w:sectPr>
          <w:pgSz w:w="11900" w:h="16838" w:orient="portrait"/>
          <w:cols w:equalWidth="0" w:num="1">
            <w:col w:w="9179"/>
          </w:cols>
          <w:pgMar w:left="128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179"/>
          </w:cols>
          <w:pgMar w:left="1280" w:top="142" w:right="1440" w:bottom="1440" w:gutter="0" w:footer="0" w:header="0"/>
          <w:type w:val="continuous"/>
        </w:sectPr>
      </w:pPr>
    </w:p>
    <w:bookmarkStart w:id="23" w:name="page24"/>
    <w:bookmarkEnd w:id="23"/>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19</w:t>
      </w:r>
    </w:p>
    <w:p>
      <w:pPr>
        <w:spacing w:after="0" w:line="7" w:lineRule="exact"/>
        <w:rPr>
          <w:sz w:val="20"/>
          <w:szCs w:val="20"/>
          <w:color w:val="auto"/>
        </w:rPr>
      </w:pPr>
    </w:p>
    <w:p>
      <w:pPr>
        <w:ind w:right="2180"/>
        <w:spacing w:after="0" w:line="249" w:lineRule="auto"/>
        <w:rPr>
          <w:sz w:val="20"/>
          <w:szCs w:val="20"/>
          <w:color w:val="auto"/>
        </w:rPr>
      </w:pPr>
      <w:r>
        <w:rPr>
          <w:rFonts w:ascii="Courier New" w:cs="Courier New" w:eastAsia="Courier New" w:hAnsi="Courier New"/>
          <w:sz w:val="17"/>
          <w:szCs w:val="17"/>
          <w:color w:val="auto"/>
        </w:rPr>
        <w:t>Chambers recorded a loss reserve in 1992 for estimated losses on the disposition of certain of its businesses. The loss reserve reflected the expected loss from the disposition of net assets, anticipated operating losses from the measurement date through the expected dates of disposal, and estimated disposal costs. Approximately $2,299,000 in operating losses incurred by these businesses during 1994 and 1993 and $1,484,000 of losses on divestitures incurred in 1994 and 1993 have been charged against the loss reserve. Approximately $3,689,000 was charged to the loss reserve in 1994 and 1993 as a result of writing down assets to their net realizable values. Loss reserves of $7,689,000, consisting principally of provisions previously recorded for expected losses on the disposition of the businesses subsequently retained, have been reversed and are included in unusual items in 1994 and 1993 (see Note 11).</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PROPERTY AND EQUIPMENT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and equipment consists of the following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December 31,</w:t>
            </w:r>
          </w:p>
        </w:tc>
        <w:tc>
          <w:tcPr>
            <w:tcW w:w="880" w:type="dxa"/>
            <w:vAlign w:val="bottom"/>
          </w:tcPr>
          <w:p>
            <w:pPr>
              <w:spacing w:after="0"/>
              <w:rPr>
                <w:sz w:val="16"/>
                <w:szCs w:val="16"/>
                <w:color w:val="auto"/>
              </w:rPr>
            </w:pPr>
          </w:p>
        </w:tc>
      </w:tr>
      <w:tr>
        <w:trPr>
          <w:trHeight w:val="200"/>
        </w:trPr>
        <w:tc>
          <w:tcPr>
            <w:tcW w:w="6960" w:type="dxa"/>
            <w:vAlign w:val="bottom"/>
          </w:tcPr>
          <w:p>
            <w:pPr>
              <w:spacing w:after="0"/>
              <w:rPr>
                <w:sz w:val="17"/>
                <w:szCs w:val="17"/>
                <w:color w:val="auto"/>
              </w:rPr>
            </w:pPr>
          </w:p>
        </w:tc>
        <w:tc>
          <w:tcPr>
            <w:tcW w:w="34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Disposal sites, including costs incurred for expansion</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projects in process of $57,940 and $48,346, respectively</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569,101</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498,327</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Vehicles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180,571</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145,915</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Machinery and equipment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94,201</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91,549</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Containers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110,950</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97,508</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Buildings and improvements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85,654</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73,598</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Furniture and fixtures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22,222</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19,960</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Land</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81,356</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80,505</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1,144,055</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1,007,362</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344,543</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286,833</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799,512</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720,529</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599"/>
        </w:trPr>
        <w:tc>
          <w:tcPr>
            <w:tcW w:w="6960" w:type="dxa"/>
            <w:vAlign w:val="bottom"/>
          </w:tcPr>
          <w:p>
            <w:pPr>
              <w:spacing w:after="0"/>
              <w:rPr>
                <w:sz w:val="20"/>
                <w:szCs w:val="20"/>
                <w:color w:val="auto"/>
              </w:rPr>
            </w:pPr>
            <w:r>
              <w:rPr>
                <w:rFonts w:ascii="Courier New" w:cs="Courier New" w:eastAsia="Courier New" w:hAnsi="Courier New"/>
                <w:sz w:val="17"/>
                <w:szCs w:val="17"/>
                <w:color w:val="auto"/>
              </w:rPr>
              <w:t>5. LONG-TERM DEBT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Long-term debt consists of the following (in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99"/>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December 31,</w:t>
            </w:r>
          </w:p>
        </w:tc>
        <w:tc>
          <w:tcPr>
            <w:tcW w:w="880" w:type="dxa"/>
            <w:vAlign w:val="bottom"/>
          </w:tcPr>
          <w:p>
            <w:pPr>
              <w:spacing w:after="0"/>
              <w:rPr>
                <w:sz w:val="24"/>
                <w:szCs w:val="24"/>
                <w:color w:val="auto"/>
              </w:rPr>
            </w:pP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Credit facility:</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Revolving credit facility</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$ 51,613</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$ 98,000</w:t>
            </w: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Term loan facility</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215,835</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Western credit facility</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41,000</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44,000</w:t>
            </w:r>
          </w:p>
        </w:tc>
      </w:tr>
      <w:tr>
        <w:trPr>
          <w:trHeight w:val="4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Senior Notes, interest at 11.45%</w:t>
            </w:r>
          </w:p>
        </w:tc>
        <w:tc>
          <w:tcPr>
            <w:tcW w:w="3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133,501</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Senior Notes, interest at 11.95%</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17,929</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8  1/2 % Convertible Subordinated Debentures</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49,000</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Industrial revenue bonds, variable interest rates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(4.40% to 6.29% at December 31, 1995), principal</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payable in annual installments, maturing in</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1996-2007, enhanced by letters of credit</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115,421</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122,133</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26,971</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26,341</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450,840</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490,904</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Less current maturities</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40,157</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48,103</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$410,683</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$442,801</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500"/>
        <w:spacing w:after="0" w:line="250" w:lineRule="auto"/>
        <w:rPr>
          <w:sz w:val="20"/>
          <w:szCs w:val="20"/>
          <w:color w:val="auto"/>
        </w:rPr>
      </w:pPr>
      <w:r>
        <w:rPr>
          <w:rFonts w:ascii="Courier New" w:cs="Courier New" w:eastAsia="Courier New" w:hAnsi="Courier New"/>
          <w:sz w:val="17"/>
          <w:szCs w:val="17"/>
          <w:color w:val="auto"/>
        </w:rPr>
        <w:t>The aggregate estimated payments, including scheduled minimum maturities, of long-term obligations outstanding at December 31, 1995 for the five years ending December 31, 1996 through 2000 are: 1996--$40,157,000; 1997--$87,681,000; 1998--$53,306,000; 1999--$61,168,000; and 2000--$124,662,000.</w:t>
      </w:r>
    </w:p>
    <w:p>
      <w:pPr>
        <w:spacing w:after="0" w:line="396" w:lineRule="exact"/>
        <w:rPr>
          <w:sz w:val="20"/>
          <w:szCs w:val="20"/>
          <w:color w:val="auto"/>
        </w:rPr>
      </w:pPr>
    </w:p>
    <w:p>
      <w:pPr>
        <w:jc w:val="both"/>
        <w:ind w:right="2700"/>
        <w:spacing w:after="0" w:line="250" w:lineRule="auto"/>
        <w:rPr>
          <w:sz w:val="20"/>
          <w:szCs w:val="20"/>
          <w:color w:val="auto"/>
        </w:rPr>
      </w:pPr>
      <w:r>
        <w:rPr>
          <w:rFonts w:ascii="Courier New" w:cs="Courier New" w:eastAsia="Courier New" w:hAnsi="Courier New"/>
          <w:sz w:val="17"/>
          <w:szCs w:val="17"/>
          <w:color w:val="auto"/>
        </w:rPr>
        <w:t>On May 7, 1996, in connection with the acquisition of Western, the Company replaced its existing credit facility with a $750,000,000 senior revolving credit facility ("Credit Facility") and retired amounts outstanding under</w:t>
      </w:r>
    </w:p>
    <w:p>
      <w:pPr>
        <w:sectPr>
          <w:pgSz w:w="11900" w:h="16901" w:orient="portrait"/>
          <w:cols w:equalWidth="0" w:num="1">
            <w:col w:w="10400"/>
          </w:cols>
          <w:pgMar w:left="240" w:top="315" w:right="1259" w:bottom="0" w:gutter="0" w:footer="0" w:header="0"/>
        </w:sectPr>
      </w:pPr>
    </w:p>
    <w:bookmarkStart w:id="24" w:name="page25"/>
    <w:bookmarkEnd w:id="24"/>
    <w:p>
      <w:pPr>
        <w:ind w:right="1999"/>
        <w:spacing w:after="0" w:line="249" w:lineRule="auto"/>
        <w:rPr>
          <w:sz w:val="20"/>
          <w:szCs w:val="20"/>
          <w:color w:val="auto"/>
        </w:rPr>
      </w:pPr>
      <w:r>
        <w:rPr>
          <w:rFonts w:ascii="Courier New" w:cs="Courier New" w:eastAsia="Courier New" w:hAnsi="Courier New"/>
          <w:sz w:val="17"/>
          <w:szCs w:val="17"/>
          <w:color w:val="auto"/>
        </w:rPr>
        <w:t>Western's credit facility. The Credit Facility was used to refinance existing bank loans and letters of credit and will be used to fund additional acquisitions and for working capital. The Credit Facility is available for standby letters of credit of up to $300,000,000. Loans under the Credit Facility bear interest at a rate based on the Eurodollar rate plus a spread not to exceed 0.75% per annum (spread initially set at 0.405% per annum). The Credit Facility requires a facility fee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5" w:name="page26"/>
    <w:bookmarkEnd w:id="25"/>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20</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exceed 0.375% per annum on the entire available Credit Facility (facility fee initially set at 0.22% per annum). The Company's liquidity will be enhanced by the Credit Facility as the financial covenants are less restrictive and principal reductions are not required for a three-year period.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credit facility and the remainder was redrawn as the Company's needs dictated for use in the expansion of its business, including acquisitions.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September 1992, the Company, in an underwritten public offering, issued</w:t>
      </w:r>
    </w:p>
    <w:p>
      <w:pPr>
        <w:spacing w:after="0" w:line="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$49,000,000 of 8</w:t>
        <w:tab/>
        <w:t>1/2% Convertible Subordinated Debentures ("debentures")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15, 2002, with interest payable semi-annually. The debentures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into the Company's common stock at any time on or before maturity,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unless previously redeemed, at $13.25 per share, subject to adjustment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events. The Company had an option to redeem the debentures, in whole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part, at any time on or after October 15, 1995, at an original redemption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of 105.67% of the principal amount, declining to par over the term of the</w:t>
      </w:r>
    </w:p>
    <w:p>
      <w:pPr>
        <w:spacing w:after="0" w:line="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debentures. Between November 3, 1995 and December 1, 1995,</w:t>
        <w:tab/>
        <w:t>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converted the remaining balance of the debentures of approximately $42,300,000</w:t>
      </w:r>
    </w:p>
    <w:p>
      <w:pPr>
        <w:spacing w:after="0" w:line="7"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7"/>
          <w:szCs w:val="17"/>
          <w:color w:val="auto"/>
        </w:rPr>
        <w:t>into approximately 3,193,000 shares of the Company's common stock.</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unamortized premium of $1,983,000 as of December 1, 1995, was recorded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reduction to additional paid-in capital. Earlier in 1995,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$6,700,000 of debentures had been converted into approximately 505,000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Company's common stock.</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If the aforementioned public offering and subordinated debenture conversion transactions had occurred on January 1, 1995, earnings per share would have increased by $0.03 for the year ended December 31, 1995 due to a reduction in interest expense resulting from the retirement of long-term debt. Weighted average shares would have been 86,908,000.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credit facility existing at December 31, 1995, which was entered into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1995, in connection with the acquisition of Chambers, consists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$550,000,000 financing agreement consisting of a $300,000,000 five-year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and letter of credit facility and a $250,000,000 term loan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facility. On June 30, 1996, the Company borrowed $370,000,000, of which</w:t>
      </w:r>
    </w:p>
    <w:p>
      <w:pPr>
        <w:spacing w:after="0" w:line="7"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7"/>
          <w:szCs w:val="17"/>
          <w:color w:val="auto"/>
        </w:rPr>
        <w:t>$267,448,000 was outstanding at December 31, 1995,</w:t>
        <w:tab/>
        <w:t>the proceeds of which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used to refinance outstanding indebtedness under the Company's revolving credit</w:t>
      </w:r>
    </w:p>
    <w:p>
      <w:pPr>
        <w:spacing w:after="0" w:line="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facility, retire</w:t>
        <w:tab/>
        <w:t>the 11.45% and 11.95% Senior Notes of Chambers, and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Chambers' shareholder litigation settlements discussed in Note 12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other costs related to the merger with Chambers. Borrowings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facility were collateralized by all the capital stock and intercompany</w:t>
      </w:r>
    </w:p>
    <w:p>
      <w:pPr>
        <w:spacing w:after="0" w:line="7"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7"/>
          <w:szCs w:val="17"/>
          <w:color w:val="auto"/>
        </w:rPr>
        <w:t>receivables of the Company and its subsidiaries.</w:t>
        <w:tab/>
        <w:t>Revolving credit loans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credit facility were limited to $180,000,000 less the amount of any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 revenue bonds enhanced by letters of credit under the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facility. Loans bore interest at a rate based on the Eurodollar rate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prime rate, plus a spread not to exceed 1.75% per annum (7.31% at December 31,</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1995).</w:t>
        <w:tab/>
        <w:t>The credit facility could also be used for letters of credit purposes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variable fees from 0.5% to 1.75% per annum (1.50% at December 31, 1995)</w:t>
      </w:r>
    </w:p>
    <w:p>
      <w:pPr>
        <w:spacing w:after="0" w:line="7"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7"/>
          <w:szCs w:val="17"/>
          <w:color w:val="auto"/>
        </w:rPr>
        <w:t>charged on amounts issued.</w:t>
        <w:tab/>
        <w:t>A commitment fee of up to 0.5% per annum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on the unused portion of the credit facility.</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 August 1995, the Company entered into a three year interest rate swap agreement whereby the Company fixed a maximum interest rate on $125,000,000 of its credit facility. The interest rate was a fixed annual rate of approximately 5.9% plus the applicable spread over the Eurodollar rate (not to exceed 1.75% per annum) as determined under the credit facility (7.40% at December 31, 1995).</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Western's credit facility consisted of a revolving line of credit and permitted borrowings up to $100,000,000. At Western's option, borrowings under the credit facility bore interest at the bank's prime rate and/or at the London Interbank Offered Rate (LIBOR) plus 0.75% to 2.0% per annum, depending upon certain financial ratios of Western (6.69% at December 31, 1995). A commitment fee of 0.375% per annum was required on the unused portion of the credit facility. Western's credit facility was paid off on May 7, 1996. Under the terms of the credit facility, Western was subject to various debt covenants including maintenance of certain financial ratios, and in addition, was limited in the amount of cash dividends it could pay.</w:t>
      </w:r>
    </w:p>
    <w:p>
      <w:pPr>
        <w:spacing w:after="0" w:line="200"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The Company and Western have completed several tax exempt industrial revenue bond issues totaling $115,421,000 with terms ranging up to fifteen years. The bonds are subject to annual sinking fund redemptions and proceeds of the issues are restricted fund certain assets of the projects. The bonds are supported by irrevocable letters of credit and bear interest at floating rates (4.40% to</w:t>
      </w:r>
    </w:p>
    <w:p>
      <w:pPr>
        <w:spacing w:after="0" w:line="4"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6.29% at December 31, 1995) with rates reset weekly by a remarketing agent. An interest rate swap agreement with approximately four years remaining at December 31, 1995 has fixed the rate at 6.29% on</w:t>
      </w:r>
    </w:p>
    <w:p>
      <w:pPr>
        <w:sectPr>
          <w:pgSz w:w="11900" w:h="16901" w:orient="portrait"/>
          <w:cols w:equalWidth="0" w:num="1">
            <w:col w:w="10219"/>
          </w:cols>
          <w:pgMar w:left="240" w:top="315" w:right="1440" w:bottom="0" w:gutter="0" w:footer="0" w:header="0"/>
        </w:sectPr>
      </w:pPr>
    </w:p>
    <w:bookmarkStart w:id="26" w:name="page27"/>
    <w:bookmarkEnd w:id="26"/>
    <w:p>
      <w:pPr>
        <w:ind w:left="28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1141"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$24,000,000 of these bonds.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Chambers accrued nonrecurring interest expense of $10,994,000 and $1,254,000 in 1995 and 1994, respectively, as a result of amendments to its credit facility and Senior Notes in November 1994. Chambers proratably accrued the extension fees, the expected refinancing premium, and other charges expected to be incurred upon consummation of its merger with USA Waste.</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Letters of credit have been provided to the Company supporting industrial revenue bonds, performance of landfill closure and post-closure requirements, insurance contracts, and other contracts. Letters of credit outstanding at December 31, 1995 aggregated $156,622,000.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PREFERRED STOCK</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COMMON STOCK OPTIONS AND WARRANTS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the 1990 and 1993 Plans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March 1993, Envirofil adopted the Envirofil Employees' 1993 Stock Option Plan (the "1993 Envirofil Plan"). Under the 1993 Envirofil Plan, options could be granted to purchase 600,000 shares of the Company's common stock. The 1993 Envirofil Plan terminates in January 2003. Options were granted under the 1993 Envirofil Plan at an exercise price which equaled or exceeded the fair market value of the common stock at the date of grant, with various vesting periods and expiration dates up to ten years from date of grant. On May 27, 1994, Envirofil had outstanding options to purchase 443,182 shares under the 1993 Envirofil Plan, which were assumed by the Company. No additional options may be issued under such plan.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Chambers had two plans under which stock options for the purchase of its Class A common stock could be granted: the 1993 Stock Incentive Plan (the "1993 Chambers Plan") and the 1991 Stock Option Plan for Non-Employee Directors (the "Chambers Directors' Plan"). 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 succeeding calendar years. Under the terms of the 1993 Chambers Plan, options were granted at fair market value on the date of grant, but in no event were options granted at less than the stock's par value, with various vesting periods, and expire up to ten years from date of grant.</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Under the Chambers Directors' Plan, options could be granted to purchase 150,000 shares of Chambers Class A common stock. The Chambers Directors' Plan stipulates that each person serving as a director and who was not 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 As a result of the merger, all unexpired and unexercised options under the 1993 Chambers Plan, the 1988 Chambers Plan, and the Chambers Directors' Plan converted to options to purchase shares of the Company's common stock, as adjusted, subject to the same terms and conditions as provided under the Chambers Plans. No additional options may be issued under such plans.</w:t>
      </w:r>
    </w:p>
    <w:p>
      <w:pPr>
        <w:sectPr>
          <w:pgSz w:w="11900" w:h="16838"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5" w:right="1440" w:bottom="0" w:gutter="0" w:footer="0" w:header="0"/>
          <w:type w:val="continuous"/>
        </w:sectPr>
      </w:pPr>
    </w:p>
    <w:bookmarkStart w:id="28" w:name="page29"/>
    <w:bookmarkEnd w:id="28"/>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22</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 maintained three stock option plans ("Western Plans") which allowed key employees and directors of Western the right to purchase shares of its common stock. At December 31, 1995, options were available for future grants under only one of the plans, the 1992 Stock Option Plan ("1992 Western Plan"). The option could be designated as incentive or non- qualified in nature, at the discretion of the Compensation Committee of Western's Board of Directors, though only employees are eligible to receive incentive stock options. Western had reserved 2,000,000 shares under its Incentive Stock Option Plan (ISOP) and an additional 2,000,000 shares under its Non-Qualified Stock Option Plan. In addition, the 1992 Western Plan reserved 2,000,000 shares which were to be designated as either qualified or non-qualified. The Western Plans provided for the granting of options at a purchase price of at least 100% of the fair market value on the date the options were granted. Options were generally exercisable in installments beginning one year after the grant date. As a result of the Western Merger, all unexpired and unexercised options under the Western Plans converted to options to purchase shares of the Company's common stock, as adjusted, subject to the same terms and conditions as provided under the Western Plans. No additional options may be issued under such plans.</w:t>
      </w:r>
    </w:p>
    <w:p>
      <w:pPr>
        <w:spacing w:after="0" w:line="20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7"/>
          <w:szCs w:val="17"/>
          <w:color w:val="auto"/>
        </w:rPr>
        <w:t>The following table summarizes share activity under all of the above stock option plans (in thousands):</w:t>
      </w:r>
    </w:p>
    <w:p>
      <w:pPr>
        <w:spacing w:after="0" w:line="200" w:lineRule="exact"/>
        <w:rPr>
          <w:sz w:val="20"/>
          <w:szCs w:val="20"/>
          <w:color w:val="auto"/>
        </w:rPr>
      </w:pPr>
    </w:p>
    <w:p>
      <w:pPr>
        <w:spacing w:after="0" w:line="396"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384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3540" w:type="dxa"/>
            <w:vAlign w:val="bottom"/>
          </w:tcPr>
          <w:p>
            <w:pPr>
              <w:spacing w:after="0"/>
              <w:rPr>
                <w:sz w:val="17"/>
                <w:szCs w:val="17"/>
                <w:color w:val="auto"/>
              </w:rPr>
            </w:pPr>
          </w:p>
        </w:tc>
        <w:tc>
          <w:tcPr>
            <w:tcW w:w="384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1995</w:t>
            </w:r>
          </w:p>
        </w:tc>
        <w:tc>
          <w:tcPr>
            <w:tcW w:w="13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Outstanding, beginning of year</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6,671</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6,062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4,744</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3,054</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1,409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(324)</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(573)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(561)</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Canceled</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(96)</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(227)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Outstanding, end of year</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9,305</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6,671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6,062</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option prices of shares exercised during 1995, 1994, and 1993 were from</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$5.00 to $18.00 in 1995, from $2.50 to $14.67 in 1994, and $6.00 to $10.09 in 1993. As of December 31, 1995, options for the purchase of 4,856,000 shares of the Company's common stock were exercisable at prices ranging from $2.25 to $59.11 per share. The Company holds 138,810 shares of its common stock in treasury as of December 31, 1995 for future distribution upon exercise of options under the plans.</w:t>
      </w:r>
    </w:p>
    <w:p>
      <w:pPr>
        <w:spacing w:after="0" w:line="200"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The Company has issued warrants expiring through 2002 for the purchase of shares of its common stock in connection with private placements of debt and equity securities, acquisitions of businesses, bank borrowings, reorganizations, and certain employment agreements. Transactions involving common stock warrants are summarized as follows:</w:t>
      </w:r>
    </w:p>
    <w:p>
      <w:pPr>
        <w:spacing w:after="0" w:line="200" w:lineRule="exact"/>
        <w:rPr>
          <w:sz w:val="20"/>
          <w:szCs w:val="20"/>
          <w:color w:val="auto"/>
        </w:rPr>
      </w:pPr>
    </w:p>
    <w:p>
      <w:pPr>
        <w:spacing w:after="0" w:line="399"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Warrants</w:t>
            </w:r>
          </w:p>
        </w:tc>
        <w:tc>
          <w:tcPr>
            <w:tcW w:w="420" w:type="dxa"/>
            <w:vAlign w:val="bottom"/>
          </w:tcPr>
          <w:p>
            <w:pPr>
              <w:spacing w:after="0"/>
              <w:rPr>
                <w:sz w:val="16"/>
                <w:szCs w:val="16"/>
                <w:color w:val="auto"/>
              </w:rPr>
            </w:pPr>
          </w:p>
        </w:tc>
        <w:tc>
          <w:tcPr>
            <w:tcW w:w="176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Exercise Price</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76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January 1, 1993</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1,822,232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406,632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1993</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2,228,864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910,000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10.00</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$12.88</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7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(443,399)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$ 8.80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1994</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2,695,465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230,000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10.50</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$15.00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7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(958,048)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$15.00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1995</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1,967,417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In 1993, Envirofil granted certain options and warrants with exercise prices that were less than the fair market value of Envirofil's common stock at the date of the grant or renegotiated the exercise price of warrants previously granted. Stock compensation expense has been recorded to the extent that the exercise prices of the vested options or warrants were less than the fair</w:t>
      </w:r>
    </w:p>
    <w:p>
      <w:pPr>
        <w:sectPr>
          <w:pgSz w:w="11900" w:h="16899" w:orient="portrait"/>
          <w:cols w:equalWidth="0" w:num="1">
            <w:col w:w="10219"/>
          </w:cols>
          <w:pgMar w:left="240" w:top="315" w:right="1440" w:bottom="0" w:gutter="0" w:footer="0" w:header="0"/>
        </w:sectPr>
      </w:pPr>
    </w:p>
    <w:bookmarkStart w:id="29" w:name="page30"/>
    <w:bookmarkEnd w:id="29"/>
    <w:p>
      <w:pPr>
        <w:ind w:right="1999"/>
        <w:spacing w:after="0" w:line="249" w:lineRule="auto"/>
        <w:rPr>
          <w:sz w:val="20"/>
          <w:szCs w:val="20"/>
          <w:color w:val="auto"/>
        </w:rPr>
      </w:pPr>
      <w:r>
        <w:rPr>
          <w:rFonts w:ascii="Courier New" w:cs="Courier New" w:eastAsia="Courier New" w:hAnsi="Courier New"/>
          <w:sz w:val="17"/>
          <w:szCs w:val="17"/>
          <w:color w:val="auto"/>
        </w:rPr>
        <w:t>market value of Envirofil's common stock at the date of the granting of the options or warrants, or on the date the exercise price was reduced. As a result, stock compensation expense of $923,000 was recognized in the supplemental consolidated statement of operations included in unusual items for the year ended December 31, 1993, with a corresponding increase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42" w:right="1440" w:bottom="1440" w:gutter="0" w:footer="0" w:header="0"/>
        </w:sectPr>
      </w:pPr>
    </w:p>
    <w:bookmarkStart w:id="30" w:name="page31"/>
    <w:bookmarkEnd w:id="30"/>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23</w:t>
      </w:r>
    </w:p>
    <w:p>
      <w:pPr>
        <w:spacing w:after="0" w:line="7" w:lineRule="exact"/>
        <w:rPr>
          <w:sz w:val="20"/>
          <w:szCs w:val="20"/>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SAVINGS PLAN</w:t>
      </w:r>
    </w:p>
    <w:p>
      <w:pPr>
        <w:spacing w:after="0" w:line="207"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7"/>
          <w:szCs w:val="17"/>
          <w:color w:val="auto"/>
        </w:rPr>
        <w:t>Effective July 1, 1995, the Company established the USA Waste Services, Inc. Employee Savings Plan ("the Savings Plan"), a qualified defined contribution retirement plan covering employees (except those working subject to a collective bargaining agreement) 21 years of age or older who have completed one year of service, or were actively employed on the Savings Plan's commencement date. The Savings Plan allows eligible employees to defer receipt of up to 15% of their compensation and contribute such amounts to various investment funds. The Company matches 50% of the first 6% an employee contributes in the same manner as the participant's contribution. Both employee and Company contributions vest immediately. In 1995, the Company contributed approximately $218,000 and incurred approximately $25,000 in administrative fees.</w:t>
      </w:r>
    </w:p>
    <w:p>
      <w:pPr>
        <w:spacing w:after="0" w:line="400"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7"/>
          <w:szCs w:val="17"/>
          <w:color w:val="auto"/>
        </w:rPr>
        <w:t>Western has a qualified defined contribution plan which generally covers all full time salaried and clerical employees not represented by a bargaining agreement. Eligible employees are allowed to contribute up to 20% of their compensation and contribute such amounts to various investment funds. At its discretion, Western can match up to 50% of the amount contributed by employees. Western's contributions for 1995, 1994, and 1993, represented by issuance of Western common stock, were $698,000, $661,000, and $566,000, respectively.</w:t>
      </w:r>
    </w:p>
    <w:p>
      <w:pPr>
        <w:spacing w:after="0" w:line="200" w:lineRule="exact"/>
        <w:rPr>
          <w:sz w:val="20"/>
          <w:szCs w:val="20"/>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4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2400" w:type="dxa"/>
            <w:vAlign w:val="bottom"/>
          </w:tcPr>
          <w:p>
            <w:pPr>
              <w:spacing w:after="0"/>
              <w:rPr>
                <w:sz w:val="17"/>
                <w:szCs w:val="17"/>
                <w:color w:val="auto"/>
              </w:rPr>
            </w:pPr>
          </w:p>
        </w:tc>
        <w:tc>
          <w:tcPr>
            <w:tcW w:w="4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2400" w:type="dxa"/>
            <w:vAlign w:val="bottom"/>
          </w:tcPr>
          <w:p>
            <w:pPr>
              <w:spacing w:after="0"/>
              <w:rPr>
                <w:sz w:val="17"/>
                <w:szCs w:val="17"/>
                <w:color w:val="auto"/>
              </w:rPr>
            </w:pPr>
          </w:p>
        </w:tc>
        <w:tc>
          <w:tcPr>
            <w:tcW w:w="192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40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17,300</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$15,643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$14,785</w:t>
            </w:r>
          </w:p>
        </w:tc>
      </w:tr>
      <w:tr>
        <w:trPr>
          <w:trHeight w:val="200"/>
        </w:trPr>
        <w:tc>
          <w:tcPr>
            <w:tcW w:w="2400" w:type="dxa"/>
            <w:vAlign w:val="bottom"/>
          </w:tcPr>
          <w:p>
            <w:pPr>
              <w:spacing w:after="0"/>
              <w:rPr>
                <w:sz w:val="20"/>
                <w:szCs w:val="20"/>
                <w:color w:val="auto"/>
              </w:rPr>
            </w:pPr>
            <w:r>
              <w:rPr>
                <w:rFonts w:ascii="Courier New" w:cs="Courier New" w:eastAsia="Courier New" w:hAnsi="Courier New"/>
                <w:sz w:val="17"/>
                <w:szCs w:val="17"/>
                <w:color w:val="auto"/>
              </w:rPr>
              <w:t>Deferred (credit)</w:t>
            </w:r>
          </w:p>
        </w:tc>
        <w:tc>
          <w:tcPr>
            <w:tcW w:w="720" w:type="dxa"/>
            <w:vAlign w:val="bottom"/>
          </w:tcPr>
          <w:p>
            <w:pPr>
              <w:spacing w:after="0"/>
              <w:rPr>
                <w:sz w:val="17"/>
                <w:szCs w:val="17"/>
                <w:color w:val="auto"/>
              </w:rPr>
            </w:pPr>
          </w:p>
        </w:tc>
        <w:tc>
          <w:tcPr>
            <w:tcW w:w="12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(15,556)</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1,967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1,327</w:t>
            </w:r>
          </w:p>
        </w:tc>
      </w:tr>
      <w:tr>
        <w:trPr>
          <w:trHeight w:val="200"/>
        </w:trPr>
        <w:tc>
          <w:tcPr>
            <w:tcW w:w="2400" w:type="dxa"/>
            <w:vAlign w:val="bottom"/>
          </w:tcPr>
          <w:p>
            <w:pPr>
              <w:spacing w:after="0"/>
              <w:rPr>
                <w:sz w:val="17"/>
                <w:szCs w:val="17"/>
                <w:color w:val="auto"/>
              </w:rPr>
            </w:pPr>
          </w:p>
        </w:tc>
        <w:tc>
          <w:tcPr>
            <w:tcW w:w="192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1,744</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$17,610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$16,112</w:t>
            </w:r>
          </w:p>
        </w:tc>
      </w:tr>
      <w:tr>
        <w:trPr>
          <w:trHeight w:val="200"/>
        </w:trPr>
        <w:tc>
          <w:tcPr>
            <w:tcW w:w="2400" w:type="dxa"/>
            <w:vAlign w:val="bottom"/>
          </w:tcPr>
          <w:p>
            <w:pPr>
              <w:spacing w:after="0"/>
              <w:rPr>
                <w:sz w:val="17"/>
                <w:szCs w:val="17"/>
                <w:color w:val="auto"/>
              </w:rPr>
            </w:pPr>
          </w:p>
        </w:tc>
        <w:tc>
          <w:tcPr>
            <w:tcW w:w="192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3640"/>
        <w:spacing w:after="0" w:line="250" w:lineRule="auto"/>
        <w:rPr>
          <w:sz w:val="20"/>
          <w:szCs w:val="20"/>
          <w:color w:val="auto"/>
        </w:rPr>
      </w:pPr>
      <w:r>
        <w:rPr>
          <w:rFonts w:ascii="Courier New" w:cs="Courier New" w:eastAsia="Courier New" w:hAnsi="Courier New"/>
          <w:sz w:val="17"/>
          <w:szCs w:val="17"/>
          <w:color w:val="auto"/>
        </w:rPr>
        <w:t>The difference between federal income taxes at the statutory rate and the provision for income taxes for the years presented above is as follows (in thousands):</w:t>
      </w:r>
    </w:p>
    <w:p>
      <w:pPr>
        <w:spacing w:after="0" w:line="200" w:lineRule="exact"/>
        <w:rPr>
          <w:sz w:val="20"/>
          <w:szCs w:val="20"/>
          <w:color w:val="auto"/>
        </w:rPr>
      </w:pPr>
    </w:p>
    <w:p>
      <w:pPr>
        <w:spacing w:after="0" w:line="39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96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5660" w:type="dxa"/>
            <w:vAlign w:val="bottom"/>
          </w:tcPr>
          <w:p>
            <w:pPr>
              <w:spacing w:after="0"/>
              <w:rPr>
                <w:sz w:val="17"/>
                <w:szCs w:val="17"/>
                <w:color w:val="auto"/>
              </w:rPr>
            </w:pPr>
          </w:p>
        </w:tc>
        <w:tc>
          <w:tcPr>
            <w:tcW w:w="47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5660" w:type="dxa"/>
            <w:vAlign w:val="bottom"/>
          </w:tcPr>
          <w:p>
            <w:pPr>
              <w:spacing w:after="0"/>
              <w:rPr>
                <w:sz w:val="17"/>
                <w:szCs w:val="17"/>
                <w:color w:val="auto"/>
              </w:rPr>
            </w:pPr>
          </w:p>
        </w:tc>
        <w:tc>
          <w:tcPr>
            <w:tcW w:w="19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Income taxes (benefit) at federal statutory rate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17,160</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$(14,553)</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$ 10,300</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Loss providing no current benefit</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28,520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Tax benefit of operating loss carryforwards</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(1,895)</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Prior year tax adjustment</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(4,300)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Nondeductible expenses</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6,069</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5,845</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983</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State and local income taxes, net of federal</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income tax benefit</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1,524</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2,426</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3,264</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change in valuation allowance</w:t>
            </w:r>
          </w:p>
        </w:tc>
        <w:tc>
          <w:tcPr>
            <w:tcW w:w="7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(24,704)</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1,695</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(328)</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3,460</w:t>
            </w:r>
          </w:p>
        </w:tc>
      </w:tr>
      <w:tr>
        <w:trPr>
          <w:trHeight w:val="200"/>
        </w:trPr>
        <w:tc>
          <w:tcPr>
            <w:tcW w:w="5660" w:type="dxa"/>
            <w:vAlign w:val="bottom"/>
          </w:tcPr>
          <w:p>
            <w:pPr>
              <w:spacing w:after="0"/>
              <w:rPr>
                <w:sz w:val="17"/>
                <w:szCs w:val="17"/>
                <w:color w:val="auto"/>
              </w:rPr>
            </w:pPr>
          </w:p>
        </w:tc>
        <w:tc>
          <w:tcPr>
            <w:tcW w:w="19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Provision for income taxes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1,744</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$ 17,610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$ 16,112</w:t>
            </w:r>
          </w:p>
        </w:tc>
      </w:tr>
      <w:tr>
        <w:trPr>
          <w:trHeight w:val="200"/>
        </w:trPr>
        <w:tc>
          <w:tcPr>
            <w:tcW w:w="5660" w:type="dxa"/>
            <w:vAlign w:val="bottom"/>
          </w:tcPr>
          <w:p>
            <w:pPr>
              <w:spacing w:after="0"/>
              <w:rPr>
                <w:sz w:val="17"/>
                <w:szCs w:val="17"/>
                <w:color w:val="auto"/>
              </w:rPr>
            </w:pPr>
          </w:p>
        </w:tc>
        <w:tc>
          <w:tcPr>
            <w:tcW w:w="19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7"/>
          <w:szCs w:val="17"/>
          <w:color w:val="auto"/>
        </w:rPr>
        <w:t>Chambers' corporate tax returns for 1988 through 1992 are currently under examination by the Internal Revenue Service ("IRS"). The Company has reached tentative agreement with the IRS regarding the tax treatment of certain costs and expenses deducted for financial statement purposes in these open tax years. That agreement is subject to the approval of the Joint Committee on Taxation. Western's corporate tax returns for fiscal years 1991 through 1993 are currently under examination by the IRS. The IRS has proposed adjustments for these years, which the Company is vigorously protesting, which neither alone nor together would have a material effect on the Company's financial position or results of operations, when resolved. No USA Waste corporate tax returns are currently under examination by the IRS.</w:t>
      </w:r>
    </w:p>
    <w:p>
      <w:pPr>
        <w:spacing w:after="0" w:line="200"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7"/>
          <w:szCs w:val="17"/>
          <w:color w:val="auto"/>
        </w:rPr>
        <w:t>At December 31, 1995, the Company had approximately $234,000,000 of net operating loss ("NOL") carryforwards. Most of the NOL carryforwards will begin</w:t>
      </w:r>
    </w:p>
    <w:p>
      <w:pPr>
        <w:sectPr>
          <w:pgSz w:w="11900" w:h="16902" w:orient="portrait"/>
          <w:cols w:equalWidth="0" w:num="1">
            <w:col w:w="11340"/>
          </w:cols>
          <w:pgMar w:left="240" w:top="315" w:right="319" w:bottom="0" w:gutter="0" w:footer="0" w:header="0"/>
        </w:sectPr>
      </w:pPr>
    </w:p>
    <w:bookmarkStart w:id="31" w:name="page32"/>
    <w:bookmarkEnd w:id="31"/>
    <w:p>
      <w:pPr>
        <w:ind w:right="2099"/>
        <w:spacing w:after="0" w:line="249" w:lineRule="auto"/>
        <w:rPr>
          <w:sz w:val="20"/>
          <w:szCs w:val="20"/>
          <w:color w:val="auto"/>
        </w:rPr>
      </w:pPr>
      <w:r>
        <w:rPr>
          <w:rFonts w:ascii="Courier New" w:cs="Courier New" w:eastAsia="Courier New" w:hAnsi="Courier New"/>
          <w:sz w:val="17"/>
          <w:szCs w:val="17"/>
          <w:color w:val="auto"/>
        </w:rPr>
        <w:t>to expire in 2007. The use of the NOL carryforwards is subject to annual limitations of approximately $39,000,000 due to an ownership change subsequent to the Chambers' Merger within the meaning of Section 382 of the Internal Revenue Code. The prorated annual limitation for 1995 was approximately $9,200,000.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142" w:right="1440" w:bottom="1440" w:gutter="0" w:footer="0" w:header="0"/>
        </w:sectPr>
      </w:pPr>
    </w:p>
    <w:bookmarkStart w:id="32" w:name="page33"/>
    <w:bookmarkEnd w:id="32"/>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24</w:t>
      </w:r>
    </w:p>
    <w:p>
      <w:pPr>
        <w:spacing w:after="0" w:line="7" w:lineRule="exact"/>
        <w:rPr>
          <w:sz w:val="20"/>
          <w:szCs w:val="20"/>
          <w:color w:val="auto"/>
        </w:rPr>
      </w:pPr>
    </w:p>
    <w:p>
      <w:pPr>
        <w:ind w:right="3220"/>
        <w:spacing w:after="0" w:line="251" w:lineRule="auto"/>
        <w:rPr>
          <w:sz w:val="20"/>
          <w:szCs w:val="20"/>
          <w:color w:val="auto"/>
        </w:rPr>
      </w:pPr>
      <w:r>
        <w:rPr>
          <w:rFonts w:ascii="Courier New" w:cs="Courier New" w:eastAsia="Courier New" w:hAnsi="Courier New"/>
          <w:sz w:val="17"/>
          <w:szCs w:val="17"/>
          <w:color w:val="auto"/>
        </w:rPr>
        <w:t>The components of the net deferred tax assets and liabilities are as follows (in thousands):</w:t>
      </w:r>
    </w:p>
    <w:p>
      <w:pPr>
        <w:spacing w:after="0" w:line="200" w:lineRule="exact"/>
        <w:rPr>
          <w:sz w:val="20"/>
          <w:szCs w:val="20"/>
          <w:color w:val="auto"/>
        </w:rPr>
      </w:pPr>
    </w:p>
    <w:p>
      <w:pPr>
        <w:spacing w:after="0" w:line="396"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6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December 31,</w:t>
            </w:r>
          </w:p>
        </w:tc>
        <w:tc>
          <w:tcPr>
            <w:tcW w:w="1200" w:type="dxa"/>
            <w:vAlign w:val="bottom"/>
          </w:tcPr>
          <w:p>
            <w:pPr>
              <w:spacing w:after="0"/>
              <w:rPr>
                <w:sz w:val="16"/>
                <w:szCs w:val="16"/>
                <w:color w:val="auto"/>
              </w:rPr>
            </w:pPr>
          </w:p>
        </w:tc>
      </w:tr>
      <w:tr>
        <w:trPr>
          <w:trHeight w:val="200"/>
        </w:trPr>
        <w:tc>
          <w:tcPr>
            <w:tcW w:w="6140" w:type="dxa"/>
            <w:vAlign w:val="bottom"/>
          </w:tcPr>
          <w:p>
            <w:pPr>
              <w:spacing w:after="0"/>
              <w:rPr>
                <w:sz w:val="17"/>
                <w:szCs w:val="17"/>
                <w:color w:val="auto"/>
              </w:rPr>
            </w:pPr>
          </w:p>
        </w:tc>
        <w:tc>
          <w:tcPr>
            <w:tcW w:w="40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spacing w:after="0"/>
              <w:rPr>
                <w:sz w:val="17"/>
                <w:szCs w:val="17"/>
                <w:color w:val="auto"/>
              </w:rPr>
            </w:pPr>
          </w:p>
        </w:tc>
        <w:tc>
          <w:tcPr>
            <w:tcW w:w="118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Net operating loss carryforwards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$97,160</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$101,155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$81,603</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Litigation settlements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27,897</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28,475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1,013</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21,562</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19,678</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15,235</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Self insurance</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5,243</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5,043</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4,572</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Other (principally asset impairments and losses from</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planned asset divestures)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23,635</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23,972</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15,753</w:t>
            </w:r>
          </w:p>
        </w:tc>
      </w:tr>
      <w:tr>
        <w:trPr>
          <w:trHeight w:val="200"/>
        </w:trPr>
        <w:tc>
          <w:tcPr>
            <w:tcW w:w="6140" w:type="dxa"/>
            <w:vAlign w:val="bottom"/>
          </w:tcPr>
          <w:p>
            <w:pPr>
              <w:ind w:left="420"/>
              <w:spacing w:after="0"/>
              <w:rPr>
                <w:sz w:val="20"/>
                <w:szCs w:val="20"/>
                <w:color w:val="auto"/>
              </w:rPr>
            </w:pPr>
            <w:r>
              <w:rPr>
                <w:rFonts w:ascii="Courier New" w:cs="Courier New" w:eastAsia="Courier New" w:hAnsi="Courier New"/>
                <w:sz w:val="17"/>
                <w:szCs w:val="17"/>
                <w:color w:val="auto"/>
              </w:rPr>
              <w:t>Valuation allowance</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(93,624)</w:t>
            </w:r>
          </w:p>
        </w:tc>
        <w:tc>
          <w:tcPr>
            <w:tcW w:w="420" w:type="dxa"/>
            <w:vAlign w:val="bottom"/>
          </w:tcPr>
          <w:p>
            <w:pPr>
              <w:spacing w:after="0"/>
              <w:rPr>
                <w:sz w:val="17"/>
                <w:szCs w:val="17"/>
                <w:color w:val="auto"/>
              </w:rPr>
            </w:pPr>
          </w:p>
        </w:tc>
        <w:tc>
          <w:tcPr>
            <w:tcW w:w="11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(127,414)</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(77,089)</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ind w:left="1140"/>
              <w:spacing w:after="0"/>
              <w:rPr>
                <w:sz w:val="20"/>
                <w:szCs w:val="20"/>
                <w:color w:val="auto"/>
              </w:rPr>
            </w:pPr>
            <w:r>
              <w:rPr>
                <w:rFonts w:ascii="Courier New" w:cs="Courier New" w:eastAsia="Courier New" w:hAnsi="Courier New"/>
                <w:sz w:val="17"/>
                <w:szCs w:val="17"/>
                <w:color w:val="auto"/>
              </w:rPr>
              <w:t>Deferred tax assets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81,873</w:t>
            </w:r>
          </w:p>
        </w:tc>
        <w:tc>
          <w:tcPr>
            <w:tcW w:w="420" w:type="dxa"/>
            <w:vAlign w:val="bottom"/>
          </w:tcPr>
          <w:p>
            <w:pPr>
              <w:spacing w:after="0"/>
              <w:rPr>
                <w:sz w:val="24"/>
                <w:szCs w:val="24"/>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50,909</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41,087</w:t>
            </w:r>
          </w:p>
        </w:tc>
      </w:tr>
      <w:tr>
        <w:trPr>
          <w:trHeight w:val="4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Property, equipment, intangible assets, and other</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64,490</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50,504</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38,715</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ind w:left="1140"/>
              <w:spacing w:after="0"/>
              <w:rPr>
                <w:sz w:val="20"/>
                <w:szCs w:val="20"/>
                <w:color w:val="auto"/>
              </w:rPr>
            </w:pPr>
            <w:r>
              <w:rPr>
                <w:rFonts w:ascii="Courier New" w:cs="Courier New" w:eastAsia="Courier New" w:hAnsi="Courier New"/>
                <w:sz w:val="17"/>
                <w:szCs w:val="17"/>
                <w:color w:val="auto"/>
              </w:rPr>
              <w:t>Net deferred tax assets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$ 17,383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2,372</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valuation allowance for deferred tax assets decreased by $33,790,000 in 1995 due to changes in the Company's gross deferred tax assets and liabilities, including $9,086,000 of adjustments relating to an IRS examination, and the realization of a portion of the Company's net deferred tax asset. If the Company's current trend of profitability continues, additional net deferred tax assets of up to approximately $93,600,000 could be recognized in future periods. In 1994, the valuation allowance increased by $50,325,000 due to changes in the Company's gross deferred tax assets and liabilities.</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A significant portion of the increase in the valuation allowance in 1994 relates to the accrual for the shareholder litigation settlement. The Claims Administrator of the Settlement Fund Escrow Account is expected to distribute the shareholder litigation settlement to the claimants in the third quarter of 1996. Such distribution would result in a portion of the charge in 1994 of $75,300,000 becoming deductible for tax purposes upon payment. However, the final determination of what portion of the settlement will qualify as deductible for tax purposes and what portion will be nondeductible has not been completed.</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FAIR VALUE OF FINANCIAL INSTRUMENTS</w:t>
      </w:r>
    </w:p>
    <w:p>
      <w:pPr>
        <w:spacing w:after="0" w:line="207"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carrying values of cash,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200" w:lineRule="exact"/>
        <w:rPr>
          <w:sz w:val="20"/>
          <w:szCs w:val="20"/>
          <w:color w:val="auto"/>
        </w:rPr>
      </w:pPr>
    </w:p>
    <w:p>
      <w:pPr>
        <w:jc w:val="both"/>
        <w:ind w:right="3120"/>
        <w:spacing w:after="0" w:line="250" w:lineRule="auto"/>
        <w:rPr>
          <w:sz w:val="20"/>
          <w:szCs w:val="20"/>
          <w:color w:val="auto"/>
        </w:rPr>
      </w:pPr>
      <w:r>
        <w:rPr>
          <w:rFonts w:ascii="Courier New" w:cs="Courier New" w:eastAsia="Courier New" w:hAnsi="Courier New"/>
          <w:sz w:val="17"/>
          <w:szCs w:val="17"/>
          <w:color w:val="auto"/>
        </w:rPr>
        <w:t>The fair values of the Company's debt maturing within one year, the revolving credit facility, and the term loan approximate the carrying values due to the nature of the instruments involved.</w:t>
      </w:r>
    </w:p>
    <w:p>
      <w:pPr>
        <w:spacing w:after="0" w:line="197"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fair value of the $125,000,000 interest rate swap approximates the carrying value due to the interest rate swap's relatively short maturity of three years and the differential between its fixed rate of 7.4% at December 31, 1995 compared to the related credit facility's variable rate of 7.31% at December 31, 1995.</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fair values of the industrial revenue bonds approximate the carrying values as the interest rates on the bonds are reset weekly based on the credit quality of the letters of credit which collateralize the bonds. The fair value of the related $24,000,000 interest rate swap approximates the carrying value due to the interest rate swap's relatively short remaining maturity of approximately four years and the differential between its fixed rate of 6.29% compared to the average interest rate of the related industrial revenue bonds of 4.40%.</w:t>
      </w:r>
    </w:p>
    <w:p>
      <w:pPr>
        <w:spacing w:after="0" w:line="200" w:lineRule="exact"/>
        <w:rPr>
          <w:sz w:val="20"/>
          <w:szCs w:val="20"/>
          <w:color w:val="auto"/>
        </w:rPr>
      </w:pPr>
    </w:p>
    <w:p>
      <w:pPr>
        <w:ind w:right="3220"/>
        <w:spacing w:after="0" w:line="249" w:lineRule="auto"/>
        <w:rPr>
          <w:sz w:val="20"/>
          <w:szCs w:val="20"/>
          <w:color w:val="auto"/>
        </w:rPr>
      </w:pPr>
      <w:r>
        <w:rPr>
          <w:rFonts w:ascii="Courier New" w:cs="Courier New" w:eastAsia="Courier New" w:hAnsi="Courier New"/>
          <w:sz w:val="17"/>
          <w:szCs w:val="17"/>
          <w:color w:val="auto"/>
        </w:rPr>
        <w:t>In the normal course of business, the Company has letters of credit, performance bonds, and other guarantees that are not reflected in the accompanying supplemental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ectPr>
          <w:pgSz w:w="11900" w:h="16899" w:orient="portrait"/>
          <w:cols w:equalWidth="0" w:num="1">
            <w:col w:w="11120"/>
          </w:cols>
          <w:pgMar w:left="240" w:top="315" w:right="539" w:bottom="0" w:gutter="0" w:footer="0" w:header="0"/>
        </w:sectPr>
      </w:pPr>
    </w:p>
    <w:bookmarkStart w:id="33" w:name="page34"/>
    <w:bookmarkEnd w:id="33"/>
    <w:p>
      <w:pPr>
        <w:ind w:left="28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1141" w:right="1440" w:bottom="1440" w:gutter="0" w:footer="0" w:header="0"/>
        </w:sectPr>
      </w:pPr>
    </w:p>
    <w:bookmarkStart w:id="34" w:name="page35"/>
    <w:bookmarkEnd w:id="34"/>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UNUSUAL ITEMS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unusual items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20" w:type="dxa"/>
            <w:vAlign w:val="bottom"/>
            <w:gridSpan w:val="4"/>
          </w:tcPr>
          <w:p>
            <w:pPr>
              <w:jc w:val="right"/>
              <w:ind w:right="4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6500" w:type="dxa"/>
            <w:vAlign w:val="bottom"/>
          </w:tcPr>
          <w:p>
            <w:pPr>
              <w:spacing w:after="0"/>
              <w:rPr>
                <w:sz w:val="17"/>
                <w:szCs w:val="17"/>
                <w:color w:val="auto"/>
              </w:rPr>
            </w:pPr>
          </w:p>
        </w:tc>
        <w:tc>
          <w:tcPr>
            <w:tcW w:w="420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1995</w:t>
            </w:r>
          </w:p>
        </w:tc>
        <w:tc>
          <w:tcPr>
            <w:tcW w:w="32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1994</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500" w:type="dxa"/>
            <w:vAlign w:val="bottom"/>
          </w:tcPr>
          <w:p>
            <w:pPr>
              <w:spacing w:after="0"/>
              <w:rPr>
                <w:sz w:val="17"/>
                <w:szCs w:val="17"/>
                <w:color w:val="auto"/>
              </w:rPr>
            </w:pPr>
          </w:p>
        </w:tc>
        <w:tc>
          <w:tcPr>
            <w:tcW w:w="18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Net gains on asset divestitures</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(7,101)</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Provision for loss on asset divestitures and contractual</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commitments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1,313</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3,366</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8,687</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Reversal of prior provisions for loss and costs on asset</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divestitures and contractual commitments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(3,565)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(6,636)</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Asset impairments and abandoned projects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8,237</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4,929</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Stock compensation expense</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923</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Financing and professional fees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610</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Directors and officers insurance</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1,555</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Corporate and regional restructurings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2,810</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315</w:t>
            </w:r>
          </w:p>
        </w:tc>
      </w:tr>
      <w:tr>
        <w:trPr>
          <w:trHeight w:val="200"/>
        </w:trPr>
        <w:tc>
          <w:tcPr>
            <w:tcW w:w="6500" w:type="dxa"/>
            <w:vAlign w:val="bottom"/>
          </w:tcPr>
          <w:p>
            <w:pPr>
              <w:spacing w:after="0"/>
              <w:rPr>
                <w:sz w:val="17"/>
                <w:szCs w:val="17"/>
                <w:color w:val="auto"/>
              </w:rPr>
            </w:pPr>
          </w:p>
        </w:tc>
        <w:tc>
          <w:tcPr>
            <w:tcW w:w="18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620"/>
              <w:spacing w:after="0"/>
              <w:rPr>
                <w:sz w:val="20"/>
                <w:szCs w:val="20"/>
                <w:color w:val="auto"/>
              </w:rPr>
            </w:pPr>
            <w:r>
              <w:rPr>
                <w:rFonts w:ascii="Courier New" w:cs="Courier New" w:eastAsia="Courier New" w:hAnsi="Courier New"/>
                <w:sz w:val="17"/>
                <w:szCs w:val="17"/>
                <w:color w:val="auto"/>
              </w:rPr>
              <w:t>Total unusual items</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4,733</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$ 8,863</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2,672</w:t>
            </w:r>
          </w:p>
        </w:tc>
      </w:tr>
      <w:tr>
        <w:trPr>
          <w:trHeight w:val="200"/>
        </w:trPr>
        <w:tc>
          <w:tcPr>
            <w:tcW w:w="6500" w:type="dxa"/>
            <w:vAlign w:val="bottom"/>
          </w:tcPr>
          <w:p>
            <w:pPr>
              <w:spacing w:after="0"/>
              <w:rPr>
                <w:sz w:val="17"/>
                <w:szCs w:val="17"/>
                <w:color w:val="auto"/>
              </w:rPr>
            </w:pPr>
          </w:p>
        </w:tc>
        <w:tc>
          <w:tcPr>
            <w:tcW w:w="18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800"/>
        <w:spacing w:after="0" w:line="249" w:lineRule="auto"/>
        <w:rPr>
          <w:sz w:val="20"/>
          <w:szCs w:val="20"/>
          <w:color w:val="auto"/>
        </w:rPr>
      </w:pPr>
      <w:r>
        <w:rPr>
          <w:rFonts w:ascii="Courier New" w:cs="Courier New" w:eastAsia="Courier New" w:hAnsi="Courier New"/>
          <w:sz w:val="17"/>
          <w:szCs w:val="17"/>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 surety arrangements. 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1995, 1994, and 1993, Chambers incurred substantial expenses related to these matters as discussed below.</w:t>
      </w:r>
    </w:p>
    <w:p>
      <w:pPr>
        <w:spacing w:after="0" w:line="200" w:lineRule="exact"/>
        <w:rPr>
          <w:sz w:val="20"/>
          <w:szCs w:val="20"/>
          <w:color w:val="auto"/>
        </w:rPr>
      </w:pPr>
    </w:p>
    <w:p>
      <w:pPr>
        <w:ind w:right="3020"/>
        <w:spacing w:after="0" w:line="249" w:lineRule="auto"/>
        <w:rPr>
          <w:sz w:val="20"/>
          <w:szCs w:val="20"/>
          <w:color w:val="auto"/>
        </w:rPr>
      </w:pPr>
      <w:r>
        <w:rPr>
          <w:rFonts w:ascii="Courier New" w:cs="Courier New" w:eastAsia="Courier New" w:hAnsi="Courier New"/>
          <w:sz w:val="17"/>
          <w:szCs w:val="17"/>
          <w:color w:val="auto"/>
        </w:rPr>
        <w:t>In 1995, Chambers recorded charges of $2,810,000 of severance and other termination benefits paid to former Chambers employees in connection with its pre-merger reorganization, $1,313,000 of estimated future losses associated with the renegotiated Bergen County, New Jersey, municipal solid waste contract, and $610,000 of shareholder litigation settlement costs.</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In 1994, Chambers recorded charges of $3,366,000 for losses on asset divestitures, including $1,114,000 to adjust a prior year estimate of the loss on divestiture of a hauling, recycling, and transfer station operation, and $2,252,000 related to the estimated future loss on a municipal contract. During that year, Chambers also reversed prior year provisions for losses on divestitures and contractual commitments of $3,565,000, including $2,000,000 previously recorded for losses expected to be incurred on a municipal contract with respect to which Chambers was able to negotiate an early termination and $1,053,000 of excess reserve related to the sale in 1994 of a recycling operation and certain real estate.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Chambers also recorded net charges of $8,237,000 for asset impairments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abandoned projects in 1994. That amount includes a charge of $6,978,000 made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fourth quarter of 1994 to reduce the carrying value of Chambers' medical,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and municipal waste incinerator facility to its estimated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realizable value. The amount of the charge was measured as the difference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between the carrying value of long-term assets, principally property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equipment and intangible assets, and the estimated fair value of the assets</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7"/>
          <w:szCs w:val="17"/>
          <w:color w:val="auto"/>
        </w:rPr>
        <w:t>based on the present value of future cash</w:t>
        <w:tab/>
        <w:t>flows discounted at 12%.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adjustment was based on a review conducted in the fourth quarter of 1994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determined there had been a permanent decline in the value of the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conclusion that Chambers could not recover its investment 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future operations, given current and forecasted pricing, waste mix,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trends as well as then recently proposed regulations with respect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medical waste incinerator facilities and general declines in the value of waste</w:t>
      </w:r>
    </w:p>
    <w:p>
      <w:pPr>
        <w:spacing w:after="0" w:line="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7"/>
          <w:szCs w:val="17"/>
          <w:color w:val="auto"/>
        </w:rPr>
        <w:t>incinerator businesses.</w:t>
        <w:tab/>
        <w:t>During 1994, Chambers also reached a favorable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settlement of previously reported litigation related to certain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entered into with respect to its purchase of a landfill and its prior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 waste collection and hauling company. The settlement amount is included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credit to unusual items and includes receipt by Chambers of $1,200,000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the forgiveness of all remaining non-compete payments totaling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$525,000 that were to have been paid by Chambers to various individuals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1995, and 1996. The remaining charge of $2,984,000 results from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prior year estimates for certain asset impairments and abandoned projects.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addition, Chambers recorded a charge of $825,000 primarily relating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severance benefits paid to employees terminated as part of Chambers'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reorganization. With the exception of the $1,200,000 litigation settlement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by Chambers and the $825,000 payment of severance benefits, there was</w:t>
      </w:r>
    </w:p>
    <w:p>
      <w:pPr>
        <w:sectPr>
          <w:pgSz w:w="11900" w:h="16891" w:orient="portrait"/>
          <w:cols w:equalWidth="0" w:num="1">
            <w:col w:w="11020"/>
          </w:cols>
          <w:pgMar w:left="240" w:top="315" w:right="639"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no cash flow effect related to these unusual charges.</w:t>
      </w:r>
    </w:p>
    <w:p>
      <w:pPr>
        <w:spacing w:after="0" w:line="207"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During 1993, Chambers sold certain businesses as part of its divestiture program, which resulted in a net gain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4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26</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$7,101,000. Chambers also recorded charges of $8,687,000 for losses on asset divestitures and contractual commitments including (i) $3,172,000 related to the municipal contract discussed above,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SETTLEMENT OF SHAREHOLDER LITIGATION</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connection with the settlement of certain Chambers' shareholder litigation, Chambers accrued $85,300,000 for the cost of the settlements and $4,100,000 for other litigation related costs in 1994. Of that total, $79,400,000 was recorded as an expense and $10,000,000 to be paid from the proceeds of Chambers' directors and officers liability insurance policy was recorded as a current asset and is included in notes and other receivables at December 31, 1994. At December 31, 1994, $75,300,000 of the amount accrued for settlement payments was classified as a noncurrent liability based on the expectation that such amount would be funded by long-term financing in connection with the Chambers merger (see Note 2). The $10,000,000 of settlement payments funded by the proceeds of Chambers' directors and officers liability insurance policy and the $4,100,000 of other litigation related costs are included in current liabilities at December 31, 1994. The $5,500,000 charge in 1993 relates to legal and other costs associated with the shareholder litigation. All amounts were paid by December 31,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RELATED PARTY TRANSACTIONS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1994, the Company invested $400,000 in EDM Corporation ("EDM") in return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15% equity interest and agreed to provide a line of credit of up to</w:t>
      </w:r>
    </w:p>
    <w:p>
      <w:pPr>
        <w:spacing w:after="0" w:line="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7"/>
          <w:szCs w:val="17"/>
          <w:color w:val="auto"/>
        </w:rPr>
        <w:t>$5,600,000 to EDM at an interest rate equal to the greater of 8</w:t>
        <w:tab/>
        <w:t>1/2%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prime rate plus 2%. In connection with this investment, the Company had a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first refusal to acquire any landfills, collection, or other operations that</w:t>
      </w:r>
    </w:p>
    <w:p>
      <w:pPr>
        <w:spacing w:after="0" w:line="7"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EDM wished to sell.</w:t>
        <w:tab/>
        <w:t>On September 30, 1995, the Company acquired the balance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equity interests in EDM in an acquisition accounted for as a purchase (see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2).</w:t>
        <w:tab/>
        <w:t>Under the terms of the acquisition agreement, the Company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remaining equity interests in EDM in exchange for 108,375 shares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common stock and forgiveness of a $1,750,000 loan due from EDM.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time of closing, EDM was renamed Modern Sanitation,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connection with the acquisition of Envirofil in May 1994, Sanders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Mundy Inc. ("SMMI"), in its capacity as financial advisor to Envirofil,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a fee of $850,000. Prior to joining the Company, John E. Drury,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 of the Company, was a Managing Director and shareholder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SMMI and remains a director. George L. Ball, a director of the Company,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and a director of SMMI. In 1992, the Company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$49,000,000 of its 8 1/2% debentures due 2002 in a public offering underwritten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Dillon Read &amp; Co., Inc. and SMMI. In connection with such offering, the</w:t>
      </w:r>
    </w:p>
    <w:p>
      <w:pPr>
        <w:spacing w:after="0" w:line="7"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7"/>
          <w:szCs w:val="17"/>
          <w:color w:val="auto"/>
        </w:rPr>
        <w:t>Company paid the underwriters commissions aggregating $1,995,000.</w:t>
        <w:tab/>
        <w:t>In 1995,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called the debentures and in connection with such call, entered into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Standby Agreement with SMMI pursuant to which SMMI received a fee of $200,000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was reimbursed for the fees and disbursements of its counsel.</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At December 31, 1994, Chambers' headquarters facility was leased from the principal stockholders of Chambers under a lease dated December 29, 1986 with an initial term expiring in October 2006 and a ten-year renewal option. The agreement provided for monthly lease payments (aggregating $531,000 during 1995) prior to the Company being released from the lease by assuming the related mortgage of $1,945,000 from the principal stockholders of Chambers in July 1995.</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August 1995 and pursuant to the terms of the Chambers merger, the Company exercised an option to purchase real estate from John G. Rangos, Sr., a principal stockholder of Chambers and a director of the Company, and Michael J. Peretto, a former director of Chambers, and certain members of his family. The real estate is adjacent to the Company's Monroeville landfill. The option to purchase the real estate was granted pursuant to agreements among the parties dated July 8, 1993. The total consideration paid by the Company for the real estate was $2,986,000, of which $2,103,000 was paid to John G. Rangos, Sr. and $883,000 was paid to Mr. Peretto and members of his family.</w:t>
      </w:r>
    </w:p>
    <w:p>
      <w:pPr>
        <w:sectPr>
          <w:pgSz w:w="11900" w:h="16838" w:orient="portrait"/>
          <w:cols w:equalWidth="0" w:num="1">
            <w:col w:w="10219"/>
          </w:cols>
          <w:pgMar w:left="240" w:top="315" w:right="1440" w:bottom="574" w:gutter="0" w:footer="0" w:header="0"/>
        </w:sectPr>
      </w:pPr>
    </w:p>
    <w:bookmarkStart w:id="37" w:name="page38"/>
    <w:bookmarkEnd w:id="37"/>
    <w:p>
      <w:pPr>
        <w:ind w:left="28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34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27</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Pursuant to the terms of the Western Merger, the Company and the Shirvanian Family Investment Partnership (the "Partnership"), of which Kosti Shirvanian, a director of the Company, is a general partner, have agreed to the transfer to the Company the Partnership's interests in the land and improvements constituting a portion of a transfer station in Carson, California, in exchange for the issuance by the Company of up to 337,500 shares of Company common stock, which are currently held in an escrow account. The transfer is subject to the pending receipt of an independent appraisal of the land and improvements supporting such consideration.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COMMITMENTS AND CONTINGENCIES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leases -- The Company has entered into certain noncancelable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leases for vehicles, equipment, offices, and other facilities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expire through 2003. Lease expense aggregated $10,319,000, $15,064,000, and</w:t>
      </w:r>
    </w:p>
    <w:p>
      <w:pPr>
        <w:spacing w:after="0" w:line="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$21,320,000</w:t>
        <w:tab/>
        <w:t>during 1995, 1994, and 1993, respectively. Future minimum 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payments under operating leases in effect at December 31, 1995 are 1996 --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$5,136,000; 1997 -- $2,597,000; 1998 -- $1,429,000; 1999 -- $832,000; 2000 --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$655,000; and thereafter $2,175,000.</w:t>
      </w:r>
    </w:p>
    <w:p>
      <w:pPr>
        <w:spacing w:after="0" w:line="20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trial date of January 2, 1997 has been set.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 continue to vigorously defend against this action. Management of the Company believes the ultimate resolution of such complaint will not have a material adverse effect on the Company's financial position or results of operations.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400"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On or about February 1, 1996, an action was filed in the Circuit Court of Cook County, Illinois, captioned Allabastro v. USA Waste Services, Inc., Action No. 96L01165. The case was subsequently removed to the United States District</w:t>
      </w:r>
    </w:p>
    <w:p>
      <w:pPr>
        <w:sectPr>
          <w:pgSz w:w="11900" w:h="16838" w:orient="portrait"/>
          <w:cols w:equalWidth="0" w:num="1">
            <w:col w:w="10219"/>
          </w:cols>
          <w:pgMar w:left="240" w:top="315" w:right="1440" w:bottom="0" w:gutter="0" w:footer="0" w:header="0"/>
        </w:sectPr>
      </w:pPr>
    </w:p>
    <w:bookmarkStart w:id="39" w:name="page40"/>
    <w:bookmarkEnd w:id="39"/>
    <w:p>
      <w:pPr>
        <w:ind w:left="28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941" w:right="1440" w:bottom="1440" w:gutter="0" w:footer="0" w:header="0"/>
        </w:sectPr>
      </w:pPr>
    </w:p>
    <w:bookmarkStart w:id="40" w:name="page41"/>
    <w:bookmarkEnd w:id="40"/>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28</w:t>
      </w:r>
    </w:p>
    <w:p>
      <w:pPr>
        <w:spacing w:after="0" w:line="7"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7"/>
          <w:szCs w:val="17"/>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and on common law for acting as a broker/advisor to the Company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hauling operation from Chambers.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Company.</w:t>
        <w:tab/>
        <w:t>The plaintiff is also seeking unspecified damages for acting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line="7"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7"/>
          <w:szCs w:val="17"/>
          <w:color w:val="auto"/>
        </w:rPr>
        <w:t>renovation/operation contract in Charleston, West Virginia.</w:t>
        <w:tab/>
        <w:t>Interest and other</w:t>
      </w:r>
    </w:p>
    <w:p>
      <w:pPr>
        <w:spacing w:after="0" w:line="7" w:lineRule="exact"/>
        <w:rPr>
          <w:sz w:val="20"/>
          <w:szCs w:val="20"/>
          <w:color w:val="auto"/>
        </w:rPr>
      </w:pPr>
    </w:p>
    <w:p>
      <w:pPr>
        <w:spacing w:after="0"/>
        <w:tabs>
          <w:tab w:leader="none" w:pos="2680" w:val="left"/>
          <w:tab w:leader="none" w:pos="7580" w:val="left"/>
        </w:tabs>
        <w:rPr>
          <w:sz w:val="20"/>
          <w:szCs w:val="20"/>
          <w:color w:val="auto"/>
        </w:rPr>
      </w:pPr>
      <w:r>
        <w:rPr>
          <w:rFonts w:ascii="Courier New" w:cs="Courier New" w:eastAsia="Courier New" w:hAnsi="Courier New"/>
          <w:sz w:val="17"/>
          <w:szCs w:val="17"/>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has filed its answer and intends to vigorously defend against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action, and management believes the ultimate resolution of this suit will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 material adverse effect on the Company's financial position or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operations.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 was served on August 9, 1994, with a complaint filed by certain refuse haulers of San Bernardino County alleging that Western violated certain California Business and Professions Code Sections and also intentionally interfered with existing and prospective economic relations. The complaint alleges that Western does not hold a validly issued permit to operate within a certain geographic area in the County of San Bernardino and that Western has engaged in a course of conduct of predatory pricing. The complaint also alleges that Western has violated a San Bernardino County ordinance by engaging in discriminatory and non-uniform pricing of its refuse hauling services. In addition to the injunction, the complaint prays for three times the actual damages incurred by plaintiffs, punitive and exemplary damages in the amount to be proven at the time of trial, reasonable attorneys' fees, and costs of suit. The Company believes it has valid defenses to the allegations and intends to vigorously defend the suit. The Company has filed a cross-complaint against the plaintiffs for engaging in improper pricing activities.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of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Riverside County and the other defendants, in connection with a contract with Western regarding the operation and management of the El Sobrante Landfill (the "Landfill") located within Riverside County (the "Agreement"), engaged in various improper actions, including the unlawful sale of public property, wasting public funds, and making an unconstitutional gift of public property and funds. The complaint seeks an order voiding the Agreement and an injunction ordering the defendants to pay to the County allegedly unlawful revenues earned from the Landfill, to cease further dumping at the Landfill of out-of-county waste, return of alleged windfall profits, and limiting dumping fees charged to incounty residents. The complaint also seeks general damages of $10,000,000, special and punitive damages, attorneys' fees, and costs. The</w:t>
      </w:r>
    </w:p>
    <w:p>
      <w:pPr>
        <w:sectPr>
          <w:pgSz w:w="11900" w:h="16899" w:orient="portrait"/>
          <w:cols w:equalWidth="0" w:num="1">
            <w:col w:w="10219"/>
          </w:cols>
          <w:pgMar w:left="240" w:top="315" w:right="1440" w:bottom="0" w:gutter="0" w:footer="0" w:header="0"/>
        </w:sectPr>
      </w:pPr>
    </w:p>
    <w:bookmarkStart w:id="41" w:name="page42"/>
    <w:bookmarkEnd w:id="41"/>
    <w:p>
      <w:pPr>
        <w:jc w:val="both"/>
        <w:ind w:right="1999"/>
        <w:spacing w:after="0" w:line="250" w:lineRule="auto"/>
        <w:rPr>
          <w:sz w:val="20"/>
          <w:szCs w:val="20"/>
          <w:color w:val="auto"/>
        </w:rPr>
      </w:pPr>
      <w:r>
        <w:rPr>
          <w:rFonts w:ascii="Courier New" w:cs="Courier New" w:eastAsia="Courier New" w:hAnsi="Courier New"/>
          <w:sz w:val="17"/>
          <w:szCs w:val="17"/>
          <w:color w:val="auto"/>
        </w:rPr>
        <w:t>Company believes the taxpayer suit is based upon erroneous assumptions and that there are valid defenses available to the County to each of the claims asserted in the complaint.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4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29</w:t>
      </w:r>
    </w:p>
    <w:p>
      <w:pPr>
        <w:spacing w:after="0" w:line="7"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7"/>
          <w:szCs w:val="17"/>
          <w:color w:val="auto"/>
        </w:rPr>
        <w:t>Company has now filed a motion to intervene in the litigation and will thereafter become a party to the lawsuit.</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has reason to believe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The Company has not been advised by the government that it is a target of any such investigation. Upon written inquiry under the Freedom of Information Act, Western was advised that there were no records of any such investigations.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a party to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 coverage for all of the Company's real and personal property.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maintains workers' compensation insurance in accordance with laws</w:t>
      </w:r>
    </w:p>
    <w:p>
      <w:pPr>
        <w:spacing w:after="0" w:line="7"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7"/>
          <w:szCs w:val="17"/>
          <w:color w:val="auto"/>
        </w:rPr>
        <w:t>of the various states in which it has employees.</w:t>
        <w:tab/>
        <w:t>The Company also currently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an environmental impairment liability ("EIL") insurance policy for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its landfills and transfer stations that provides coverage for 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damages and/or bodily injuries to third parties caused by off-site pollution</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emanating from such landfills or transfer stations.</w:t>
        <w:tab/>
        <w:t>This policy provides</w:t>
      </w:r>
    </w:p>
    <w:p>
      <w:pPr>
        <w:spacing w:after="0" w:line="7"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7"/>
          <w:szCs w:val="17"/>
          <w:color w:val="auto"/>
        </w:rPr>
        <w:t>$5,000,000 of coverage per incident with a $10,000,000 aggregate limit.</w:t>
      </w:r>
      <w:r>
        <w:rPr>
          <w:sz w:val="20"/>
          <w:szCs w:val="20"/>
          <w:color w:val="auto"/>
        </w:rPr>
        <w:tab/>
      </w:r>
      <w:r>
        <w:rPr>
          <w:rFonts w:ascii="Courier New" w:cs="Courier New" w:eastAsia="Courier New" w:hAnsi="Courier New"/>
          <w:sz w:val="16"/>
          <w:szCs w:val="16"/>
          <w:color w:val="auto"/>
        </w:rPr>
        <w:t>To</w:t>
      </w:r>
    </w:p>
    <w:p>
      <w:pPr>
        <w:spacing w:after="0" w:line="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7"/>
          <w:szCs w:val="17"/>
          <w:color w:val="auto"/>
        </w:rPr>
        <w:t>date, the Company has not had any difficulty in obtaining insurance.</w:t>
        <w:tab/>
        <w:t>However,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the Company in the future is unable to obtain adequate insurance, or decides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operate without insurance, a partially or completely uninsured claim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if successful and of sufficient magnitude, could have a material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adverse effect upon the Company's business or its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Additionally, continued availability of casualty and EIL insurance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sufficient limits at acceptable terms is an important aspect of obtaining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revenue-producing waste service contracts.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$2,032,000. If a change in control were to occur in 1996 and the officers were to elect to take the change in control payments, they would receive approximately $8,223,000. The Company has not recorded any accruals in the financial statements related to these employment agreements.</w:t>
      </w:r>
    </w:p>
    <w:p>
      <w:pPr>
        <w:sectPr>
          <w:pgSz w:w="11900" w:h="16838" w:orient="portrait"/>
          <w:cols w:equalWidth="0" w:num="1">
            <w:col w:w="10219"/>
          </w:cols>
          <w:pgMar w:left="240" w:top="315"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5" w:right="1440" w:bottom="793"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SELECTED QUARTERLY FINANCIAL DATA, UNAUDITED</w:t>
      </w:r>
    </w:p>
    <w:p>
      <w:pPr>
        <w:spacing w:after="0" w:line="207" w:lineRule="exact"/>
        <w:rPr>
          <w:sz w:val="20"/>
          <w:szCs w:val="20"/>
          <w:color w:val="auto"/>
        </w:rPr>
      </w:pPr>
    </w:p>
    <w:p>
      <w:pPr>
        <w:ind w:right="3000"/>
        <w:spacing w:after="0" w:line="251" w:lineRule="auto"/>
        <w:rPr>
          <w:sz w:val="20"/>
          <w:szCs w:val="20"/>
          <w:color w:val="auto"/>
        </w:rPr>
      </w:pPr>
      <w:r>
        <w:rPr>
          <w:rFonts w:ascii="Courier New" w:cs="Courier New" w:eastAsia="Courier New" w:hAnsi="Courier New"/>
          <w:sz w:val="17"/>
          <w:szCs w:val="17"/>
          <w:color w:val="auto"/>
        </w:rPr>
        <w:t>The following table summarizes the unaudited consolidated quarterly results of operations for 1995 and 1994 (in thousands, except per share amounts):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First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Second</w:t>
            </w:r>
          </w:p>
        </w:tc>
        <w:tc>
          <w:tcPr>
            <w:tcW w:w="1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Third</w:t>
            </w:r>
          </w:p>
        </w:tc>
        <w:tc>
          <w:tcPr>
            <w:tcW w:w="4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Fourth</w:t>
            </w:r>
          </w:p>
        </w:tc>
      </w:tr>
      <w:tr>
        <w:trPr>
          <w:trHeight w:val="200"/>
        </w:trPr>
        <w:tc>
          <w:tcPr>
            <w:tcW w:w="4000" w:type="dxa"/>
            <w:vAlign w:val="bottom"/>
          </w:tcPr>
          <w:p>
            <w:pPr>
              <w:spacing w:after="0"/>
              <w:rPr>
                <w:sz w:val="17"/>
                <w:szCs w:val="17"/>
                <w:color w:val="auto"/>
              </w:rPr>
            </w:pPr>
          </w:p>
        </w:tc>
        <w:tc>
          <w:tcPr>
            <w:tcW w:w="2300" w:type="dxa"/>
            <w:vAlign w:val="bottom"/>
            <w:gridSpan w:val="2"/>
          </w:tcPr>
          <w:p>
            <w:pPr>
              <w:ind w:left="1000"/>
              <w:spacing w:after="0"/>
              <w:rPr>
                <w:sz w:val="20"/>
                <w:szCs w:val="20"/>
                <w:color w:val="auto"/>
              </w:rPr>
            </w:pPr>
            <w:r>
              <w:rPr>
                <w:rFonts w:ascii="Courier New" w:cs="Courier New" w:eastAsia="Courier New" w:hAnsi="Courier New"/>
                <w:sz w:val="17"/>
                <w:szCs w:val="17"/>
                <w:color w:val="auto"/>
              </w:rPr>
              <w:t>Quarter</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Quarter</w:t>
            </w:r>
          </w:p>
        </w:tc>
        <w:tc>
          <w:tcPr>
            <w:tcW w:w="1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Quarter</w:t>
            </w:r>
          </w:p>
        </w:tc>
        <w:tc>
          <w:tcPr>
            <w:tcW w:w="4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Quarter</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$168,880</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$179,714</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$189,715</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$192,691</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$165,118</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$181,185</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$181,908</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$176,954</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$ 21,231</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 (4,121)</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$ 34,846</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$ 36,120</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$ 18,416</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$ 19,169</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$ 24,695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9,610</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4,538</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$(23,299)</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$ 23,342</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$ 42,762</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5,224</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5,967</w:t>
            </w:r>
          </w:p>
        </w:tc>
        <w:tc>
          <w:tcPr>
            <w:tcW w:w="17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$(63,827)</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(6,459)</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Income (loss) available to</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1513"/>
              <w:spacing w:after="0"/>
              <w:rPr>
                <w:sz w:val="20"/>
                <w:szCs w:val="20"/>
                <w:color w:val="auto"/>
              </w:rPr>
            </w:pPr>
            <w:r>
              <w:rPr>
                <w:rFonts w:ascii="Courier New" w:cs="Courier New" w:eastAsia="Courier New" w:hAnsi="Courier New"/>
                <w:sz w:val="17"/>
                <w:szCs w:val="17"/>
                <w:color w:val="auto"/>
              </w:rPr>
              <w:t>common shareholders</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4,538</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$(23,299)</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$ 23,342</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$ 42,762</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4,844</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5,782</w:t>
            </w:r>
          </w:p>
        </w:tc>
        <w:tc>
          <w:tcPr>
            <w:tcW w:w="17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$(63,827)</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(6,459)</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Earnings (loss) per</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353"/>
              <w:spacing w:after="0"/>
              <w:rPr>
                <w:sz w:val="20"/>
                <w:szCs w:val="20"/>
                <w:color w:val="auto"/>
              </w:rPr>
            </w:pPr>
            <w:r>
              <w:rPr>
                <w:rFonts w:ascii="Courier New" w:cs="Courier New" w:eastAsia="Courier New" w:hAnsi="Courier New"/>
                <w:sz w:val="17"/>
                <w:szCs w:val="17"/>
                <w:color w:val="auto"/>
              </w:rPr>
              <w:t>common share</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.06</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(.31)</w:t>
            </w:r>
          </w:p>
        </w:tc>
        <w:tc>
          <w:tcPr>
            <w:tcW w:w="7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.07</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.08</w:t>
            </w:r>
          </w:p>
        </w:tc>
        <w:tc>
          <w:tcPr>
            <w:tcW w:w="7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Earnings (loss) per common share calculations for each of the quarters is based on the weighted average number of shares outstanding for each period and the sum of the quarters may not necessarily be equal to the full year earnings (loss) per common share amount.</w:t>
      </w:r>
    </w:p>
    <w:p>
      <w:pPr>
        <w:spacing w:after="0" w:line="200" w:lineRule="exact"/>
        <w:rPr>
          <w:sz w:val="20"/>
          <w:szCs w:val="20"/>
          <w:color w:val="auto"/>
        </w:rPr>
      </w:pPr>
    </w:p>
    <w:p>
      <w:pPr>
        <w:ind w:right="3120"/>
        <w:spacing w:after="0" w:line="250" w:lineRule="auto"/>
        <w:rPr>
          <w:sz w:val="20"/>
          <w:szCs w:val="20"/>
          <w:color w:val="auto"/>
        </w:rPr>
      </w:pPr>
      <w:r>
        <w:rPr>
          <w:rFonts w:ascii="Courier New" w:cs="Courier New" w:eastAsia="Courier New" w:hAnsi="Courier New"/>
          <w:sz w:val="17"/>
          <w:szCs w:val="17"/>
          <w:color w:val="auto"/>
        </w:rPr>
        <w:t>Amounts presented for 1995 and 1994 are restated for the pooling of interests transactions discussed in Note 2, and are different from amounts originally reported due to the business combinations with Western and Chambers.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results of operations for 1995 and 1994 include certain nonrecurring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 for merger costs, unusual items, and nonrecurring interest, as</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7"/>
          <w:szCs w:val="17"/>
          <w:color w:val="auto"/>
        </w:rPr>
        <w:t>disclosed elsewhere herein.</w:t>
        <w:tab/>
        <w:t>In 1995, the nonrecurring charges amounted to</w:t>
      </w:r>
    </w:p>
    <w:p>
      <w:pPr>
        <w:spacing w:after="0" w:line="7" w:lineRule="exact"/>
        <w:rPr>
          <w:sz w:val="20"/>
          <w:szCs w:val="20"/>
          <w:color w:val="auto"/>
        </w:rPr>
      </w:pPr>
    </w:p>
    <w:p>
      <w:pPr>
        <w:spacing w:after="0"/>
        <w:tabs>
          <w:tab w:leader="none" w:pos="7880" w:val="left"/>
        </w:tabs>
        <w:rPr>
          <w:sz w:val="20"/>
          <w:szCs w:val="20"/>
          <w:color w:val="auto"/>
        </w:rPr>
      </w:pPr>
      <w:r>
        <w:rPr>
          <w:rFonts w:ascii="Courier New" w:cs="Courier New" w:eastAsia="Courier New" w:hAnsi="Courier New"/>
          <w:sz w:val="17"/>
          <w:szCs w:val="17"/>
          <w:color w:val="auto"/>
        </w:rPr>
        <w:t>$4,206,000 and $36,594,000 in the first and second quarters, respectively.</w:t>
        <w:tab/>
        <w: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the nonrecurring charges amounted $3,782,000, $74,100,000, and</w:t>
      </w:r>
    </w:p>
    <w:p>
      <w:pPr>
        <w:spacing w:after="0" w:line="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7"/>
          <w:szCs w:val="17"/>
          <w:color w:val="auto"/>
        </w:rPr>
        <w:t>$15,417,000 in the second, third, and fourth quarters, respectively.</w:t>
      </w:r>
      <w:r>
        <w:rPr>
          <w:sz w:val="20"/>
          <w:szCs w:val="20"/>
          <w:color w:val="auto"/>
        </w:rPr>
        <w:tab/>
      </w:r>
      <w:r>
        <w:rPr>
          <w:rFonts w:ascii="Courier New" w:cs="Courier New" w:eastAsia="Courier New" w:hAnsi="Courier New"/>
          <w:sz w:val="16"/>
          <w:szCs w:val="16"/>
          <w:color w:val="auto"/>
        </w:rPr>
        <w: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 the fourth quarter of 1995 includes a $15,600,000 deferred tax</w:t>
      </w:r>
    </w:p>
    <w:p>
      <w:pPr>
        <w:spacing w:after="0" w:line="7"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7"/>
          <w:szCs w:val="17"/>
          <w:color w:val="auto"/>
        </w:rPr>
        <w:t>benefit from a reduction of the valuation allowance.</w:t>
        <w:tab/>
        <w:t>Although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in the third and fourth quarter of 1995 showed marked improvements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 the first and second quarter, there can ben no assurance that this trend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continue.</w:t>
      </w:r>
    </w:p>
    <w:p>
      <w:pPr>
        <w:spacing w:after="0" w:line="207" w:lineRule="exact"/>
        <w:rPr>
          <w:sz w:val="20"/>
          <w:szCs w:val="20"/>
          <w:color w:val="auto"/>
        </w:rPr>
      </w:pPr>
    </w:p>
    <w:p>
      <w:pPr>
        <w:ind w:left="520" w:hanging="513"/>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207"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Subsequent to December 31, 1995, the Company acquired 21 collection businesses, one landfill, one transfer station, and two recycling businesses for approximately $46,000,000 in cash and 113,224 shares of the Company's common stock under the purchase method of accounting. The pro forma effect of the acquisitions is not material to the Company's financial condition or result of operations.</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On May 31, 1996, the Company consummated a merger accounted for as a pooling of interests, pursuant to which the Company issued 900,001 shares of its common stock in exchange for all outstanding shares of the acquired company. Periods presented herein were not restated to include the accounts and operations of the acquired company as combined results are not materially different from the results as presented.</w:t>
      </w:r>
    </w:p>
    <w:p>
      <w:pPr>
        <w:sectPr>
          <w:pgSz w:w="11900" w:h="16838" w:orient="portrait"/>
          <w:cols w:equalWidth="0" w:num="1">
            <w:col w:w="11120"/>
          </w:cols>
          <w:pgMar w:left="240" w:top="315" w:right="539" w:bottom="0" w:gutter="0" w:footer="0" w:header="0"/>
        </w:sectPr>
      </w:pPr>
    </w:p>
    <w:bookmarkStart w:id="44" w:name="page45"/>
    <w:bookmarkEnd w:id="44"/>
    <w:p>
      <w:pPr>
        <w:ind w:left="28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019"/>
          </w:cols>
          <w:pgMar w:left="1440" w:top="941"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31</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May 1996, the Company adopted the 1996 Stock Option Plan for Non-Employee Directors ("1996 Directors Plan") to offer its directors who are not officers, full-time employees, or consultants of the Company an annual grant of 10,000 options on each January 1.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June 22, 1996, the Company entered into an Agreement and Plan of Merger to acquire Sanifill, Inc. ("Sanifill") through a merger transaction. The completion of the merger is subject to, among other conditions, approval of both companies' shareholders. It is anticipated that the merger will be completed in the Fall of 1996 and will be accounted for as a pooling of interests. The merger agreement provides that on the effective date of the merger, the Company will issue 1.70 shares of its common stock for each share of Sanifill's outstanding common stock. The merger is expected to increase the Company's outstanding shares of common stock by approximately 44,000,000 shares and the Company will assume Sanifill's options and warrants equivalent to 4,300,000 underlying shares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15"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32</w:t>
      </w:r>
    </w:p>
    <w:p>
      <w:pPr>
        <w:spacing w:after="0" w:line="7" w:lineRule="exact"/>
        <w:rPr>
          <w:sz w:val="20"/>
          <w:szCs w:val="20"/>
          <w:color w:val="auto"/>
        </w:rPr>
      </w:pPr>
    </w:p>
    <w:p>
      <w:pPr>
        <w:jc w:val="center"/>
        <w:ind w:right="218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SUPPLEMENTAL CONDENSED CONSOLIDATED BALANCE SHEETS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 Thousands, Except Share and Par Value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ind w:left="3540"/>
              <w:spacing w:after="0"/>
              <w:rPr>
                <w:sz w:val="20"/>
                <w:szCs w:val="20"/>
                <w:color w:val="auto"/>
              </w:rPr>
            </w:pPr>
            <w:r>
              <w:rPr>
                <w:rFonts w:ascii="Courier New" w:cs="Courier New" w:eastAsia="Courier New" w:hAnsi="Courier New"/>
                <w:sz w:val="17"/>
                <w:szCs w:val="17"/>
                <w:color w:val="auto"/>
              </w:rPr>
              <w:t>(Unaudited)</w:t>
            </w:r>
          </w:p>
        </w:tc>
        <w:tc>
          <w:tcPr>
            <w:tcW w:w="1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99"/>
        </w:trPr>
        <w:tc>
          <w:tcPr>
            <w:tcW w:w="6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March 31,</w:t>
            </w:r>
          </w:p>
        </w:tc>
        <w:tc>
          <w:tcPr>
            <w:tcW w:w="1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jc w:val="right"/>
              <w:ind w:right="89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spacing w:after="0"/>
              <w:rPr>
                <w:sz w:val="17"/>
                <w:szCs w:val="17"/>
                <w:color w:val="auto"/>
              </w:rPr>
            </w:pPr>
          </w:p>
        </w:tc>
        <w:tc>
          <w:tcPr>
            <w:tcW w:w="9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29,919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18,223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92,142</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90,427</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Notes and other receivables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13,133</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13,802</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20,101</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20,101</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Prepaid expenses and other</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34,626</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26,110</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189,921</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168,663</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1040" w:type="dxa"/>
            <w:vAlign w:val="bottom"/>
          </w:tcPr>
          <w:p>
            <w:pPr>
              <w:spacing w:after="0"/>
              <w:rPr>
                <w:sz w:val="24"/>
                <w:szCs w:val="24"/>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17,208</w:t>
            </w:r>
          </w:p>
        </w:tc>
        <w:tc>
          <w:tcPr>
            <w:tcW w:w="84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11,704</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830,115</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799,512</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businesses,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112,908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108,664</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34,295</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34,127</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78,543</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67,694</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Total assets</w:t>
            </w: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$1,262,990</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$1,190,364</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42,136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40,333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Accrued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40,258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48,618</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Deferred revenues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6,508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6,030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Current maturities of long-term debt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46,269</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40,157</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135,171</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135,138</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1040" w:type="dxa"/>
            <w:vAlign w:val="bottom"/>
          </w:tcPr>
          <w:p>
            <w:pPr>
              <w:spacing w:after="0"/>
              <w:rPr>
                <w:sz w:val="24"/>
                <w:szCs w:val="24"/>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441,544</w:t>
            </w:r>
          </w:p>
        </w:tc>
        <w:tc>
          <w:tcPr>
            <w:tcW w:w="84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410,683</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88,483</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87,156</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Total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665,198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632,977</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$1.00 par value;</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10,000,000 shares authorized;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none issued</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Common stock, $.01 par value;</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150,000,000 shares authorized; 89,596,873 and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87,030,697 shares issued, respectively</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896</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807,049</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796,236</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Accumulated deficit</w:t>
            </w:r>
          </w:p>
        </w:tc>
        <w:tc>
          <w:tcPr>
            <w:tcW w:w="1040" w:type="dxa"/>
            <w:vAlign w:val="bottom"/>
          </w:tcPr>
          <w:p>
            <w:pPr>
              <w:spacing w:after="0"/>
              <w:rPr>
                <w:sz w:val="17"/>
                <w:szCs w:val="17"/>
                <w:color w:val="auto"/>
              </w:rPr>
            </w:pPr>
          </w:p>
        </w:tc>
        <w:tc>
          <w:tcPr>
            <w:tcW w:w="16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(207,999)</w:t>
            </w:r>
          </w:p>
        </w:tc>
        <w:tc>
          <w:tcPr>
            <w:tcW w:w="8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(237,900)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Less treasury stock at cost, 144,975 shares and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840"/>
              <w:spacing w:after="0"/>
              <w:rPr>
                <w:sz w:val="20"/>
                <w:szCs w:val="20"/>
                <w:color w:val="auto"/>
              </w:rPr>
            </w:pPr>
            <w:r>
              <w:rPr>
                <w:rFonts w:ascii="Courier New" w:cs="Courier New" w:eastAsia="Courier New" w:hAnsi="Courier New"/>
                <w:sz w:val="17"/>
                <w:szCs w:val="17"/>
                <w:color w:val="auto"/>
              </w:rPr>
              <w:t>138,810 shares, respectively</w:t>
            </w:r>
          </w:p>
        </w:tc>
        <w:tc>
          <w:tcPr>
            <w:tcW w:w="1040" w:type="dxa"/>
            <w:vAlign w:val="bottom"/>
          </w:tcPr>
          <w:p>
            <w:pPr>
              <w:spacing w:after="0"/>
              <w:rPr>
                <w:sz w:val="17"/>
                <w:szCs w:val="17"/>
                <w:color w:val="auto"/>
              </w:rPr>
            </w:pPr>
          </w:p>
        </w:tc>
        <w:tc>
          <w:tcPr>
            <w:tcW w:w="16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(2,154)</w:t>
            </w:r>
          </w:p>
        </w:tc>
        <w:tc>
          <w:tcPr>
            <w:tcW w:w="8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(1,819)</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stockholders' equity</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597,792</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557,387</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$1,262,990</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$1,190,364</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consolidated financial statements.</w:t>
      </w:r>
    </w:p>
    <w:p>
      <w:pPr>
        <w:sectPr>
          <w:pgSz w:w="11900" w:h="16838" w:orient="portrait"/>
          <w:cols w:equalWidth="0" w:num="1">
            <w:col w:w="10500"/>
          </w:cols>
          <w:pgMar w:left="240" w:top="315" w:right="1159"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500"/>
          </w:cols>
          <w:pgMar w:left="240" w:top="315" w:right="1159" w:bottom="793"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33</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SUPPLEMENTAL CONDENSED CONSOLIDATED STATEMENTS OF OPERATIONS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00" w:type="dxa"/>
            <w:vAlign w:val="bottom"/>
            <w:gridSpan w:val="3"/>
          </w:tcPr>
          <w:p>
            <w:pPr>
              <w:jc w:val="right"/>
              <w:ind w:right="733"/>
              <w:spacing w:after="0"/>
              <w:rPr>
                <w:sz w:val="20"/>
                <w:szCs w:val="20"/>
                <w:color w:val="auto"/>
              </w:rPr>
            </w:pPr>
            <w:r>
              <w:rPr>
                <w:rFonts w:ascii="Courier New" w:cs="Courier New" w:eastAsia="Courier New" w:hAnsi="Courier New"/>
                <w:sz w:val="17"/>
                <w:szCs w:val="17"/>
                <w:color w:val="auto"/>
              </w:rPr>
              <w:t>March 31,</w:t>
            </w:r>
          </w:p>
        </w:tc>
      </w:tr>
      <w:tr>
        <w:trPr>
          <w:trHeight w:val="200"/>
        </w:trPr>
        <w:tc>
          <w:tcPr>
            <w:tcW w:w="4880" w:type="dxa"/>
            <w:vAlign w:val="bottom"/>
          </w:tcPr>
          <w:p>
            <w:pPr>
              <w:spacing w:after="0"/>
              <w:rPr>
                <w:sz w:val="17"/>
                <w:szCs w:val="17"/>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$201,525</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$168,880</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Operating</w:t>
            </w: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118 ,101</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101,450</w:t>
            </w: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General and administrative</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24,743</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26,163</w:t>
            </w: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Depreciation and amortization</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21,874</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19,343</w:t>
            </w: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Unusual items</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693</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164,718</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147,649</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04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36,807</w:t>
            </w:r>
          </w:p>
        </w:tc>
        <w:tc>
          <w:tcPr>
            <w:tcW w:w="40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21,231</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88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880" w:type="dxa"/>
            <w:vAlign w:val="bottom"/>
          </w:tcPr>
          <w:p>
            <w:pPr>
              <w:ind w:left="420"/>
              <w:spacing w:after="0"/>
              <w:rPr>
                <w:sz w:val="20"/>
                <w:szCs w:val="20"/>
                <w:color w:val="auto"/>
              </w:rPr>
            </w:pPr>
            <w:r>
              <w:rPr>
                <w:rFonts w:ascii="Courier New" w:cs="Courier New" w:eastAsia="Courier New" w:hAnsi="Courier New"/>
                <w:sz w:val="17"/>
                <w:szCs w:val="17"/>
                <w:color w:val="auto"/>
              </w:rPr>
              <w:t>Nonrecurring interest</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(3,512)</w:t>
            </w:r>
          </w:p>
        </w:tc>
      </w:tr>
      <w:tr>
        <w:trPr>
          <w:trHeight w:val="200"/>
        </w:trPr>
        <w:tc>
          <w:tcPr>
            <w:tcW w:w="488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04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(6,765)</w:t>
            </w:r>
          </w:p>
        </w:tc>
        <w:tc>
          <w:tcPr>
            <w:tcW w:w="4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(9,687)</w:t>
            </w:r>
          </w:p>
        </w:tc>
      </w:tr>
      <w:tr>
        <w:trPr>
          <w:trHeight w:val="200"/>
        </w:trPr>
        <w:tc>
          <w:tcPr>
            <w:tcW w:w="4880" w:type="dxa"/>
            <w:vAlign w:val="bottom"/>
          </w:tcPr>
          <w:p>
            <w:pPr>
              <w:ind w:left="220"/>
              <w:spacing w:after="0"/>
              <w:rPr>
                <w:sz w:val="20"/>
                <w:szCs w:val="20"/>
                <w:color w:val="auto"/>
              </w:rPr>
            </w:pPr>
            <w:r>
              <w:rPr>
                <w:rFonts w:ascii="Courier New" w:cs="Courier New" w:eastAsia="Courier New" w:hAnsi="Courier New"/>
                <w:sz w:val="17"/>
                <w:szCs w:val="17"/>
                <w:color w:val="auto"/>
              </w:rPr>
              <w:t>Interest and other income, net</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2,288</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2,322</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(4,477)</w:t>
            </w:r>
          </w:p>
        </w:tc>
        <w:tc>
          <w:tcPr>
            <w:tcW w:w="4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(10,877)</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04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32,330</w:t>
            </w:r>
          </w:p>
        </w:tc>
        <w:tc>
          <w:tcPr>
            <w:tcW w:w="40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10,354</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5,558</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5,816</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$ 26,772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4,538</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Earnings per common share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0.29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0.06</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equivalent shares outstanding</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93,281</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74,305</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15"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34</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SUPPLEMENTAL CONDENSED CONSOLIDATED STATEMENT OF STOCKHOLDERS' EQUITY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(In Thousands)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Additional</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45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980" w:type="dxa"/>
            <w:vAlign w:val="bottom"/>
          </w:tcPr>
          <w:p>
            <w:pPr>
              <w:ind w:left="200"/>
              <w:spacing w:after="0"/>
              <w:rPr>
                <w:sz w:val="20"/>
                <w:szCs w:val="20"/>
                <w:color w:val="auto"/>
              </w:rPr>
            </w:pPr>
            <w:r>
              <w:rPr>
                <w:rFonts w:ascii="Courier New" w:cs="Courier New" w:eastAsia="Courier New" w:hAnsi="Courier New"/>
                <w:sz w:val="17"/>
                <w:szCs w:val="17"/>
                <w:color w:val="auto"/>
              </w:rPr>
              <w:t>Common</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Paid-in</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Accumulated</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Treasury</w:t>
            </w:r>
          </w:p>
        </w:tc>
      </w:tr>
      <w:tr>
        <w:trPr>
          <w:trHeight w:val="200"/>
        </w:trPr>
        <w:tc>
          <w:tcPr>
            <w:tcW w:w="4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Stock</w:t>
            </w:r>
          </w:p>
        </w:tc>
        <w:tc>
          <w:tcPr>
            <w:tcW w:w="98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Capital</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Deficit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Stock</w:t>
            </w:r>
          </w:p>
        </w:tc>
      </w:tr>
      <w:tr>
        <w:trPr>
          <w:trHeight w:val="200"/>
        </w:trPr>
        <w:tc>
          <w:tcPr>
            <w:tcW w:w="4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$ 870</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$796,236</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$(237,900)</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$(1,819)</w:t>
            </w:r>
          </w:p>
        </w:tc>
      </w:tr>
      <w:tr>
        <w:trPr>
          <w:trHeight w:val="4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52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3,917</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qualified</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740"/>
              <w:spacing w:after="0"/>
              <w:rPr>
                <w:sz w:val="20"/>
                <w:szCs w:val="20"/>
                <w:color w:val="auto"/>
              </w:rPr>
            </w:pPr>
            <w:r>
              <w:rPr>
                <w:rFonts w:ascii="Courier New" w:cs="Courier New" w:eastAsia="Courier New" w:hAnsi="Courier New"/>
                <w:sz w:val="17"/>
                <w:szCs w:val="17"/>
                <w:color w:val="auto"/>
              </w:rPr>
              <w:t>defined contribution plan</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268</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1,160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Grand Central</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acquisition, accounted for as a</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pooling of interests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4,087</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3,129</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returned for</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acquisition settlement</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(751)</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investment</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in company</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1,588</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exercise of stock options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(82)</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219</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exercise of stock warrants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(125)</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197</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26,772</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17"/>
                <w:szCs w:val="17"/>
                <w:color w:val="auto"/>
              </w:rPr>
            </w:pP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Balance, March 31, 1996</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$ 896</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$807,049</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$(207,999)</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$(2,154)</w:t>
            </w:r>
          </w:p>
        </w:tc>
      </w:tr>
      <w:tr>
        <w:trPr>
          <w:trHeight w:val="200"/>
        </w:trPr>
        <w:tc>
          <w:tcPr>
            <w:tcW w:w="4580" w:type="dxa"/>
            <w:vAlign w:val="bottom"/>
          </w:tcPr>
          <w:p>
            <w:pPr>
              <w:spacing w:after="0"/>
              <w:rPr>
                <w:sz w:val="17"/>
                <w:szCs w:val="17"/>
                <w:color w:val="auto"/>
              </w:rPr>
            </w:pP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820"/>
          </w:cols>
          <w:pgMar w:left="240" w:top="315" w:right="839"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35</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SUPPLEMENTAL CONDENSED CONSOLIDATED STATEMENTS OF CASH FLOWS</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0" w:type="dxa"/>
            <w:vAlign w:val="bottom"/>
          </w:tcPr>
          <w:p>
            <w:pPr>
              <w:ind w:left="3540"/>
              <w:spacing w:after="0"/>
              <w:rPr>
                <w:sz w:val="20"/>
                <w:szCs w:val="20"/>
                <w:color w:val="auto"/>
              </w:rPr>
            </w:pPr>
            <w:r>
              <w:rPr>
                <w:rFonts w:ascii="Courier New" w:cs="Courier New" w:eastAsia="Courier New" w:hAnsi="Courier New"/>
                <w:sz w:val="17"/>
                <w:szCs w:val="17"/>
                <w:color w:val="auto"/>
              </w:rPr>
              <w:t>(Unaudited)</w:t>
            </w:r>
          </w:p>
        </w:tc>
        <w:tc>
          <w:tcPr>
            <w:tcW w:w="28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799"/>
        </w:trPr>
        <w:tc>
          <w:tcPr>
            <w:tcW w:w="6400" w:type="dxa"/>
            <w:vAlign w:val="bottom"/>
          </w:tcPr>
          <w:p>
            <w:pPr>
              <w:spacing w:after="0"/>
              <w:rPr>
                <w:sz w:val="24"/>
                <w:szCs w:val="24"/>
                <w:color w:val="auto"/>
              </w:rPr>
            </w:pPr>
          </w:p>
        </w:tc>
        <w:tc>
          <w:tcPr>
            <w:tcW w:w="4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Three Months Ended March 31,</w:t>
            </w:r>
          </w:p>
        </w:tc>
      </w:tr>
      <w:tr>
        <w:trPr>
          <w:trHeight w:val="200"/>
        </w:trPr>
        <w:tc>
          <w:tcPr>
            <w:tcW w:w="6400" w:type="dxa"/>
            <w:vAlign w:val="bottom"/>
          </w:tcPr>
          <w:p>
            <w:pPr>
              <w:spacing w:after="0"/>
              <w:rPr>
                <w:sz w:val="17"/>
                <w:szCs w:val="17"/>
                <w:color w:val="auto"/>
              </w:rPr>
            </w:pPr>
          </w:p>
        </w:tc>
        <w:tc>
          <w:tcPr>
            <w:tcW w:w="44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893"/>
              <w:spacing w:after="0"/>
              <w:rPr>
                <w:sz w:val="20"/>
                <w:szCs w:val="20"/>
                <w:color w:val="auto"/>
              </w:rPr>
            </w:pPr>
            <w:r>
              <w:rPr>
                <w:rFonts w:ascii="Courier New" w:cs="Courier New" w:eastAsia="Courier New" w:hAnsi="Courier New"/>
                <w:sz w:val="17"/>
                <w:szCs w:val="17"/>
                <w:color w:val="auto"/>
              </w:rPr>
              <w:t>1996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6400" w:type="dxa"/>
            <w:vAlign w:val="bottom"/>
          </w:tcPr>
          <w:p>
            <w:pPr>
              <w:ind w:left="5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$ 27,451</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$ 26,298</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(8,610)</w:t>
            </w: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Capital expenditures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(24,484)</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(26,955)</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Loans and advances to others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(8,177)</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(5,426)</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Collection of loans to others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1 ,158</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102</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assets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923</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4,527</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Increase in restricted assets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(499)</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(9,430)</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(384)</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ind w:left="640"/>
              <w:spacing w:after="0"/>
              <w:rPr>
                <w:sz w:val="20"/>
                <w:szCs w:val="20"/>
                <w:color w:val="auto"/>
              </w:rPr>
            </w:pPr>
            <w:r>
              <w:rPr>
                <w:rFonts w:ascii="Courier New" w:cs="Courier New" w:eastAsia="Courier New" w:hAnsi="Courier New"/>
                <w:sz w:val="17"/>
                <w:szCs w:val="17"/>
                <w:color w:val="auto"/>
              </w:rPr>
              <w:t>Net cash used in investing activities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(39,689)</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(37,566)</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issuance of long-term debt</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32,025</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23,039</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Principal payments on long-term debt</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(10,607)</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(19,284)</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exercise of stock options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2,444</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240</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exercise of warrants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72</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517</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ind w:left="64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23,934</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4,512</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Increase (decrease) in cash and cash equivalents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11,696</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(6,756)</w:t>
            </w:r>
          </w:p>
        </w:tc>
      </w:tr>
      <w:tr>
        <w:trPr>
          <w:trHeight w:val="2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18,223</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36,645</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$ 29,919</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$ 29,889</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820"/>
          </w:cols>
          <w:pgMar w:left="240" w:top="315" w:right="839" w:bottom="1440" w:gutter="0" w:footer="0" w:header="0"/>
        </w:sectPr>
      </w:pPr>
    </w:p>
    <w:bookmarkStart w:id="50" w:name="page51"/>
    <w:bookmarkEnd w:id="50"/>
    <w:p>
      <w:pPr>
        <w:spacing w:after="0" w:line="4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36</w:t>
      </w:r>
    </w:p>
    <w:p>
      <w:pPr>
        <w:spacing w:after="0" w:line="7" w:lineRule="exact"/>
        <w:rPr>
          <w:sz w:val="20"/>
          <w:szCs w:val="20"/>
          <w:color w:val="auto"/>
        </w:rPr>
      </w:pPr>
    </w:p>
    <w:p>
      <w:pPr>
        <w:ind w:right="200"/>
        <w:spacing w:after="0" w:line="249" w:lineRule="auto"/>
        <w:rPr>
          <w:sz w:val="20"/>
          <w:szCs w:val="20"/>
          <w:color w:val="auto"/>
        </w:rPr>
      </w:pPr>
      <w:r>
        <w:rPr>
          <w:rFonts w:ascii="Courier New" w:cs="Courier New" w:eastAsia="Courier New" w:hAnsi="Courier New"/>
          <w:sz w:val="17"/>
          <w:szCs w:val="17"/>
          <w:color w:val="auto"/>
        </w:rPr>
        <w:t>The supplemental condensed consolidated balance sheets of USA Waste Services, Inc. and subsidiaries (the "Company") as of March 31, 1996 and December 31, 1995, the related supplemental condensed consolidated statements of operations for the three months ended March 31, 1996 and 1995, the supplemental condensed consolidated statement of stockholders' equity for the three months ended March 31, 1996, and the supplemental condensed consolidated statements of cash flows for the three months ended March 31, 1996 and 1995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months ended March 31, 1996 to reflect the acquisitions of Western Waste Industries ("Western") and Grand Central consummated on May 7, 1996 and May 15, 1996, respectively, both accounted for using the pooling of interests method of accounting. The Company has also restated the previously issued financial statements for the three months ended March 31, 1995 to reflect the acquisition of Western. Periods prior to 1996 were not restated to reflect the acquisition of Grand Central as combined results are not materially different from results as presented.</w:t>
      </w:r>
    </w:p>
    <w:p>
      <w:pPr>
        <w:spacing w:after="0" w:line="200" w:lineRule="exact"/>
        <w:rPr>
          <w:sz w:val="20"/>
          <w:szCs w:val="20"/>
          <w:color w:val="auto"/>
        </w:rPr>
      </w:pPr>
    </w:p>
    <w:p>
      <w:pPr>
        <w:ind w:left="420" w:hanging="413"/>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207" w:lineRule="exact"/>
        <w:rPr>
          <w:sz w:val="20"/>
          <w:szCs w:val="20"/>
          <w:color w:val="auto"/>
        </w:rPr>
      </w:pPr>
    </w:p>
    <w:p>
      <w:pPr>
        <w:ind w:right="420"/>
        <w:spacing w:after="0" w:line="249" w:lineRule="auto"/>
        <w:rPr>
          <w:sz w:val="20"/>
          <w:szCs w:val="20"/>
          <w:color w:val="auto"/>
        </w:rPr>
      </w:pPr>
      <w:r>
        <w:rPr>
          <w:rFonts w:ascii="Courier New" w:cs="Courier New" w:eastAsia="Courier New" w:hAnsi="Courier New"/>
          <w:sz w:val="17"/>
          <w:szCs w:val="17"/>
          <w:color w:val="auto"/>
        </w:rPr>
        <w:t>On May 7, 1996, the Company consummated an Agreement and Plan of Merger (the "Merger Agreement") to acquire Western through a merger transaction ("Western Merger") accounted for as a pooling of interests and, accordingly, the accompanying financial information has been restated to include the accounts and operations of Western for all periods presented. Under the terms of the Merger Agreement,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23,100,000 shares and the Company assumed options under Western's stock option plans equivalent to approximately 5,200,000 underlying Company shares of common stock.</w:t>
      </w:r>
    </w:p>
    <w:p>
      <w:pPr>
        <w:spacing w:after="0" w:line="200" w:lineRule="exact"/>
        <w:rPr>
          <w:sz w:val="20"/>
          <w:szCs w:val="20"/>
          <w:color w:val="auto"/>
        </w:rPr>
      </w:pPr>
    </w:p>
    <w:p>
      <w:pPr>
        <w:ind w:right="200"/>
        <w:spacing w:after="0" w:line="249" w:lineRule="auto"/>
        <w:rPr>
          <w:sz w:val="20"/>
          <w:szCs w:val="20"/>
          <w:color w:val="auto"/>
        </w:rPr>
      </w:pPr>
      <w:r>
        <w:rPr>
          <w:rFonts w:ascii="Courier New" w:cs="Courier New" w:eastAsia="Courier New" w:hAnsi="Courier New"/>
          <w:sz w:val="17"/>
          <w:szCs w:val="17"/>
          <w:color w:val="auto"/>
        </w:rPr>
        <w:t>On May 15, 1996, the Company consummated a merger agreement with Grand Central, accounted for as a pooling of interests, pursuant to which the Company issued 2,067,605 shares of its common stock in exchange for all outstanding shares of Grand Central.</w:t>
      </w:r>
    </w:p>
    <w:p>
      <w:pPr>
        <w:spacing w:after="0" w:line="200" w:lineRule="exact"/>
        <w:rPr>
          <w:sz w:val="20"/>
          <w:szCs w:val="20"/>
          <w:color w:val="auto"/>
        </w:rPr>
      </w:pPr>
    </w:p>
    <w:p>
      <w:pPr>
        <w:ind w:right="300"/>
        <w:spacing w:after="0" w:line="250" w:lineRule="auto"/>
        <w:rPr>
          <w:sz w:val="20"/>
          <w:szCs w:val="20"/>
          <w:color w:val="auto"/>
        </w:rPr>
      </w:pPr>
      <w:r>
        <w:rPr>
          <w:rFonts w:ascii="Courier New" w:cs="Courier New" w:eastAsia="Courier New" w:hAnsi="Courier New"/>
          <w:sz w:val="17"/>
          <w:szCs w:val="17"/>
          <w:color w:val="auto"/>
        </w:rPr>
        <w:t>Combined and separate results of operations of the Company prior to consummation of the mergers ("USA Waste"), Western, and Grand Central for the restated periods are as follows (in thousands):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Grand</w:t>
            </w:r>
          </w:p>
        </w:tc>
      </w:tr>
      <w:tr>
        <w:trPr>
          <w:trHeight w:val="200"/>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5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USA Waste</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Western</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Central</w:t>
            </w:r>
          </w:p>
        </w:tc>
      </w:tr>
      <w:tr>
        <w:trPr>
          <w:trHeight w:val="200"/>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5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Three months</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ended March 31, 1996</w:t>
            </w:r>
          </w:p>
        </w:tc>
        <w:tc>
          <w:tcPr>
            <w:tcW w:w="250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(unaudited):</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Operating</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$124,629</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$ 68,441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$8,455</w:t>
            </w:r>
          </w:p>
        </w:tc>
      </w:tr>
      <w:tr>
        <w:trPr>
          <w:trHeight w:val="200"/>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120" w:type="dxa"/>
            <w:vAlign w:val="bottom"/>
          </w:tcPr>
          <w:p>
            <w:pPr>
              <w:spacing w:after="0"/>
              <w:rPr>
                <w:sz w:val="17"/>
                <w:szCs w:val="17"/>
                <w:color w:val="auto"/>
              </w:rPr>
            </w:pP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20,516</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4,703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1,538</w:t>
            </w:r>
          </w:p>
        </w:tc>
      </w:tr>
      <w:tr>
        <w:trPr>
          <w:trHeight w:val="2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Three months</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ended March 31, 1995</w:t>
            </w:r>
          </w:p>
        </w:tc>
        <w:tc>
          <w:tcPr>
            <w:tcW w:w="250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(unaudited):</w:t>
            </w: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Operating</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$101,242</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$67,638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120" w:type="dxa"/>
            <w:vAlign w:val="bottom"/>
          </w:tcPr>
          <w:p>
            <w:pPr>
              <w:spacing w:after="0"/>
              <w:rPr>
                <w:sz w:val="17"/>
                <w:szCs w:val="17"/>
                <w:color w:val="auto"/>
              </w:rPr>
            </w:pP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4,339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940" w:right="200" w:firstLine="2"/>
        <w:spacing w:after="0" w:line="249" w:lineRule="auto"/>
        <w:tabs>
          <w:tab w:leader="none" w:pos="135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1992, USA Waste acquired a 55% interest in a hauling company from a third party in which Western owned the remaining 45%. In March 1993, USA Waste acquired the remaining 45% interest in the hauling company from Western. The combined financial information reflects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recorded by USA Waste in February 1992, has also been eliminated.</w:t>
      </w:r>
    </w:p>
    <w:p>
      <w:pPr>
        <w:spacing w:after="0" w:line="200" w:lineRule="exact"/>
        <w:rPr>
          <w:sz w:val="20"/>
          <w:szCs w:val="20"/>
          <w:color w:val="auto"/>
        </w:rPr>
      </w:pPr>
    </w:p>
    <w:p>
      <w:pPr>
        <w:ind w:right="200"/>
        <w:spacing w:after="0" w:line="249" w:lineRule="auto"/>
        <w:rPr>
          <w:sz w:val="20"/>
          <w:szCs w:val="20"/>
          <w:color w:val="auto"/>
        </w:rPr>
      </w:pPr>
      <w:r>
        <w:rPr>
          <w:rFonts w:ascii="Courier New" w:cs="Courier New" w:eastAsia="Courier New" w:hAnsi="Courier New"/>
          <w:sz w:val="17"/>
          <w:szCs w:val="17"/>
          <w:color w:val="auto"/>
        </w:rPr>
        <w:t>During the three months ended March 31, 1996, the Company acquired 13 collection businesses for approximately $12,246,000 in cash and 64,624 shares of the Company's common stock. These acquisitions were accounted for under the purchase method of accounting and the pro forma effect of the acquisitions is not material to the Company's financial position or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6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w w:val="99"/>
              </w:rPr>
              <w:t>Adjustments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Combined</w:t>
            </w:r>
          </w:p>
        </w:tc>
      </w:tr>
      <w:tr>
        <w:trPr>
          <w:trHeight w:val="200"/>
        </w:trPr>
        <w:tc>
          <w:tcPr>
            <w:tcW w:w="16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$201,525</w:t>
            </w:r>
          </w:p>
        </w:tc>
      </w:tr>
      <w:tr>
        <w:trPr>
          <w:trHeight w:val="200"/>
        </w:trPr>
        <w:tc>
          <w:tcPr>
            <w:tcW w:w="8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26,772</w:t>
            </w:r>
          </w:p>
        </w:tc>
      </w:tr>
      <w:tr>
        <w:trPr>
          <w:trHeight w:val="400"/>
        </w:trPr>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$168,880</w:t>
            </w:r>
          </w:p>
        </w:tc>
      </w:tr>
      <w:tr>
        <w:trPr>
          <w:trHeight w:val="200"/>
        </w:trPr>
        <w:tc>
          <w:tcPr>
            <w:tcW w:w="8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4,538</w:t>
            </w:r>
          </w:p>
        </w:tc>
      </w:tr>
    </w:tbl>
    <w:p>
      <w:pPr>
        <w:spacing w:after="0" w:line="3801" w:lineRule="exact"/>
        <w:rPr>
          <w:sz w:val="20"/>
          <w:szCs w:val="20"/>
          <w:color w:val="auto"/>
        </w:rPr>
      </w:pPr>
    </w:p>
    <w:p>
      <w:pPr>
        <w:sectPr>
          <w:pgSz w:w="11900" w:h="16880" w:orient="portrait"/>
          <w:cols w:equalWidth="0" w:num="2">
            <w:col w:w="8420" w:space="420"/>
            <w:col w:w="2680"/>
          </w:cols>
          <w:pgMar w:left="240" w:top="315"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36</w:t>
      </w:r>
    </w:p>
    <w:p>
      <w:pPr>
        <w:sectPr>
          <w:pgSz w:w="11900" w:h="16880" w:orient="portrait"/>
          <w:cols w:equalWidth="0" w:num="1">
            <w:col w:w="11520"/>
          </w:cols>
          <w:pgMar w:left="240" w:top="315" w:right="139" w:bottom="0" w:gutter="0" w:footer="0" w:header="0"/>
          <w:type w:val="continuous"/>
        </w:sectPr>
      </w:pPr>
    </w:p>
    <w:bookmarkStart w:id="51" w:name="page52"/>
    <w:bookmarkEnd w:id="51"/>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37</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June 22, 1996, the Company entered into an Agreement and Plan of Merger to acquire Sanifill, Inc. ("Sanifill") through a merger transaction. The completion of the merger is subject to, among other conditions, approval of both companies' shareholders. It is anticipated that the merger will be completed in the Fall of 1996 and will be accounted for as a pooling of interests. The merger agreement provides that on the effective date of the merger, the Company will issue 1.70 shares of its common stock for each share of Sanifill's outstanding common stock. The merger is expected to increase the Company's outstanding shares of common stock by approximately 44,000,000 shares and the Company will assume Sanifill's options and warrants equivalent to 4,300,000 underlying shares of Company common stock.</w:t>
      </w:r>
    </w:p>
    <w:p>
      <w:pPr>
        <w:spacing w:after="0" w:line="200" w:lineRule="exact"/>
        <w:rPr>
          <w:sz w:val="20"/>
          <w:szCs w:val="20"/>
          <w:color w:val="auto"/>
        </w:rPr>
      </w:pPr>
    </w:p>
    <w:p>
      <w:pPr>
        <w:ind w:left="420" w:hanging="413"/>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3840" w:type="dxa"/>
            <w:vAlign w:val="bottom"/>
          </w:tcPr>
          <w:p>
            <w:pPr>
              <w:spacing w:after="0"/>
              <w:rPr>
                <w:sz w:val="16"/>
                <w:szCs w:val="16"/>
                <w:color w:val="auto"/>
              </w:rPr>
            </w:pPr>
          </w:p>
        </w:tc>
        <w:tc>
          <w:tcPr>
            <w:tcW w:w="2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March 31,</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1996</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3840" w:type="dxa"/>
            <w:vAlign w:val="bottom"/>
          </w:tcPr>
          <w:p>
            <w:pPr>
              <w:spacing w:after="0"/>
              <w:rPr>
                <w:sz w:val="20"/>
                <w:szCs w:val="20"/>
                <w:color w:val="auto"/>
              </w:rPr>
            </w:pPr>
            <w:r>
              <w:rPr>
                <w:rFonts w:ascii="Courier New" w:cs="Courier New" w:eastAsia="Courier New" w:hAnsi="Courier New"/>
                <w:sz w:val="17"/>
                <w:szCs w:val="17"/>
                <w:color w:val="auto"/>
              </w:rPr>
              <w:t>Credit facility:</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0"/>
        </w:trPr>
        <w:tc>
          <w:tcPr>
            <w:tcW w:w="3840" w:type="dxa"/>
            <w:vAlign w:val="bottom"/>
          </w:tcPr>
          <w:p>
            <w:pPr>
              <w:ind w:left="420"/>
              <w:spacing w:after="0"/>
              <w:rPr>
                <w:sz w:val="20"/>
                <w:szCs w:val="20"/>
                <w:color w:val="auto"/>
              </w:rPr>
            </w:pPr>
            <w:r>
              <w:rPr>
                <w:rFonts w:ascii="Courier New" w:cs="Courier New" w:eastAsia="Courier New" w:hAnsi="Courier New"/>
                <w:sz w:val="17"/>
                <w:szCs w:val="17"/>
                <w:color w:val="auto"/>
              </w:rPr>
              <w:t>Revolving credit facility</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$ 83,613</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$ 51,613</w:t>
            </w:r>
          </w:p>
        </w:tc>
      </w:tr>
      <w:tr>
        <w:trPr>
          <w:trHeight w:val="200"/>
        </w:trPr>
        <w:tc>
          <w:tcPr>
            <w:tcW w:w="3840" w:type="dxa"/>
            <w:vAlign w:val="bottom"/>
          </w:tcPr>
          <w:p>
            <w:pPr>
              <w:ind w:left="420"/>
              <w:spacing w:after="0"/>
              <w:rPr>
                <w:sz w:val="20"/>
                <w:szCs w:val="20"/>
                <w:color w:val="auto"/>
              </w:rPr>
            </w:pPr>
            <w:r>
              <w:rPr>
                <w:rFonts w:ascii="Courier New" w:cs="Courier New" w:eastAsia="Courier New" w:hAnsi="Courier New"/>
                <w:sz w:val="17"/>
                <w:szCs w:val="17"/>
                <w:color w:val="auto"/>
              </w:rPr>
              <w:t>Term loan facility</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209,228</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215,835</w:t>
            </w:r>
          </w:p>
        </w:tc>
      </w:tr>
      <w:tr>
        <w:trPr>
          <w:trHeight w:val="200"/>
        </w:trPr>
        <w:tc>
          <w:tcPr>
            <w:tcW w:w="3840" w:type="dxa"/>
            <w:vAlign w:val="bottom"/>
          </w:tcPr>
          <w:p>
            <w:pPr>
              <w:ind w:left="420"/>
              <w:spacing w:after="0"/>
              <w:rPr>
                <w:sz w:val="20"/>
                <w:szCs w:val="20"/>
                <w:color w:val="auto"/>
              </w:rPr>
            </w:pPr>
            <w:r>
              <w:rPr>
                <w:rFonts w:ascii="Courier New" w:cs="Courier New" w:eastAsia="Courier New" w:hAnsi="Courier New"/>
                <w:sz w:val="17"/>
                <w:szCs w:val="17"/>
                <w:color w:val="auto"/>
              </w:rPr>
              <w:t>Western credit facility</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41,000</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41,000</w:t>
            </w:r>
          </w:p>
        </w:tc>
      </w:tr>
      <w:tr>
        <w:trPr>
          <w:trHeight w:val="200"/>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Industrial revenue bonds</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113,591</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115,421</w:t>
            </w:r>
          </w:p>
        </w:tc>
      </w:tr>
      <w:tr>
        <w:trPr>
          <w:trHeight w:val="200"/>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Other</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40,381</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26,971</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487,813</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450,840</w:t>
            </w:r>
          </w:p>
        </w:tc>
      </w:tr>
      <w:tr>
        <w:trPr>
          <w:trHeight w:val="200"/>
        </w:trPr>
        <w:tc>
          <w:tcPr>
            <w:tcW w:w="3840" w:type="dxa"/>
            <w:vAlign w:val="bottom"/>
          </w:tcPr>
          <w:p>
            <w:pPr>
              <w:spacing w:after="0"/>
              <w:rPr>
                <w:sz w:val="20"/>
                <w:szCs w:val="20"/>
                <w:color w:val="auto"/>
              </w:rPr>
            </w:pPr>
            <w:r>
              <w:rPr>
                <w:rFonts w:ascii="Courier New" w:cs="Courier New" w:eastAsia="Courier New" w:hAnsi="Courier New"/>
                <w:sz w:val="17"/>
                <w:szCs w:val="17"/>
                <w:color w:val="auto"/>
              </w:rPr>
              <w:t>Less current maturities</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46,269</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40,157</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$441,544</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$410,683</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May 7, 1996, in connection with the acquisition of Western, the Company replaced its existing credit facility with a $750,000,000 senior revolving credit facility ("Credit Facility") and retired amounts outstanding under Western's credit facility. The Credit Facility was used to refinance existing bank loans and letters of credit and will be used to fund additional acquisitions and working capital. The Credit Facility is available for standby letters of credit of up to $300,000,000. Loans under the Credit Facility bear interest at a rate based on the Eurodollar rate plus a spread not to exceed 0.75% per annum (spread initially set at 0.405% per annum). The Credit Facility requires a facility fee not to exceed 0.375% per annum on the entire available credit facility (facility fee initially set at 0.22% per annum). The Company's liquidity will be enhanced by the Credit Facility as the financial covenants are less restrictive and principal reductions are not required for a three-year period.</w:t>
      </w:r>
    </w:p>
    <w:p>
      <w:pPr>
        <w:spacing w:after="0" w:line="200" w:lineRule="exact"/>
        <w:rPr>
          <w:sz w:val="20"/>
          <w:szCs w:val="20"/>
          <w:color w:val="auto"/>
        </w:rPr>
      </w:pPr>
    </w:p>
    <w:p>
      <w:pPr>
        <w:ind w:left="420" w:hanging="413"/>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difference in federal income taxes at the statutory rate and the provision for income taxes for the three months ended March 31, 1996, is primarily due to the net change in the valuation allowance. The valuation allowance for deferred tax assets had a net decrease of $5,814,000 in the first quarter of 1996 due to changes in the Company's gross deferred tax assets and liabilities and the realization of a portion of the Company's net deferred tax asset for which a reserve had been provided at December 31, 1995. Future taxable income was projected utilizing annualized first quarter taxable income. If the Company's current trend of profitability continues, additional net deferred tax assets of up to approximately $87,800,000 could be recognized in future periods.</w:t>
      </w:r>
    </w:p>
    <w:p>
      <w:pPr>
        <w:spacing w:after="0" w:line="400" w:lineRule="exact"/>
        <w:rPr>
          <w:sz w:val="20"/>
          <w:szCs w:val="20"/>
          <w:color w:val="auto"/>
        </w:rPr>
      </w:pPr>
    </w:p>
    <w:p>
      <w:pPr>
        <w:ind w:left="420" w:hanging="413"/>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20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ectPr>
          <w:pgSz w:w="11900" w:h="16899" w:orient="portrait"/>
          <w:cols w:equalWidth="0" w:num="1">
            <w:col w:w="10219"/>
          </w:cols>
          <w:pgMar w:left="240" w:top="315" w:right="1440" w:bottom="0" w:gutter="0" w:footer="0" w:header="0"/>
        </w:sectPr>
      </w:pPr>
    </w:p>
    <w:bookmarkStart w:id="52" w:name="page53"/>
    <w:bookmarkEnd w:id="52"/>
    <w:p>
      <w:pPr>
        <w:ind w:left="28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019"/>
          </w:cols>
          <w:pgMar w:left="1440" w:top="1141"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38</w:t>
      </w:r>
    </w:p>
    <w:p>
      <w:pPr>
        <w:spacing w:after="0" w:line="200" w:lineRule="exact"/>
        <w:rPr>
          <w:sz w:val="20"/>
          <w:szCs w:val="20"/>
          <w:color w:val="auto"/>
        </w:rPr>
      </w:pPr>
    </w:p>
    <w:p>
      <w:pPr>
        <w:spacing w:after="0" w:line="207"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trial date of January 2, 1997 has been set.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w:t>
      </w:r>
    </w:p>
    <w:p>
      <w:pPr>
        <w:spacing w:after="0" w:line="1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continue to vigorously defend against this action. Management of the Company believes the ultimate resolution of such complaint will not have a material adverse effect on the Company's financial position or results of operations.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1, 1996, an action was filed in the Circuit Court of Cook</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7"/>
          <w:szCs w:val="17"/>
          <w:color w:val="auto"/>
        </w:rPr>
        <w:t>County, Illinois, captioned Allabastro v.</w:t>
        <w:tab/>
        <w:t>USA Waste Services, Inc., Action No.</w:t>
      </w:r>
    </w:p>
    <w:p>
      <w:pPr>
        <w:spacing w:after="0" w:line="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96L01165.</w:t>
        <w:tab/>
        <w:t>The case was subsequently removed to the United States District</w:t>
      </w:r>
    </w:p>
    <w:p>
      <w:pPr>
        <w:spacing w:after="0" w:line="7"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7"/>
          <w:szCs w:val="17"/>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and on common law for acting as a broker/advisor to the Company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hauling operation from Chambers.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Company.</w:t>
        <w:tab/>
        <w:t>The plaintiff is also seeking unspecified damages for acting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line="7"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7"/>
          <w:szCs w:val="17"/>
          <w:color w:val="auto"/>
        </w:rPr>
        <w:t>renovation/operation contract in Charleston, West Virginia.</w:t>
        <w:tab/>
        <w:t>Interest and other</w:t>
      </w:r>
    </w:p>
    <w:p>
      <w:pPr>
        <w:spacing w:after="0" w:line="7" w:lineRule="exact"/>
        <w:rPr>
          <w:sz w:val="20"/>
          <w:szCs w:val="20"/>
          <w:color w:val="auto"/>
        </w:rPr>
      </w:pPr>
    </w:p>
    <w:p>
      <w:pPr>
        <w:spacing w:after="0"/>
        <w:tabs>
          <w:tab w:leader="none" w:pos="2680" w:val="left"/>
          <w:tab w:leader="none" w:pos="7580" w:val="left"/>
        </w:tabs>
        <w:rPr>
          <w:sz w:val="20"/>
          <w:szCs w:val="20"/>
          <w:color w:val="auto"/>
        </w:rPr>
      </w:pPr>
      <w:r>
        <w:rPr>
          <w:rFonts w:ascii="Courier New" w:cs="Courier New" w:eastAsia="Courier New" w:hAnsi="Courier New"/>
          <w:sz w:val="17"/>
          <w:szCs w:val="17"/>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has filed its answer and intends to vigorously defend against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action, and management believes the ultimate resolution of this suit will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 material adverse effect on the Company's financial position or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operations.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 was served on August 9, 1994, with a complaint filed by certain refuse haulers of San Bernardino County alleging that Western violated certain California Business and Professions Code Sections and also intentionally interfered with existing and prospective economic relations. The complaint alleges that Western does not hold a validly issued permit to operate within a certain geographic area in the County of San Bernardino and that Western has engaged in a course of conduct of predatory pricing. The complaint also alleges that Western has violated a San Bernardino County ordinance by engaging in discriminatory and non-uniform pricing of its refuse hauling services. In addition to the injunction, the complaint prays for three times the actual damages incurred by plaintiffs, punitive and exemplary damages in the amount to be proven at the time of trial, reasonable attorneys' fees, and costs of suit. The Company believes it has valid defenses to the allegations and intends to vigorously defend the suit. The Company has filed a cross-complaint against the plaintiffs for engaging in improper pricing activities.</w:t>
      </w:r>
    </w:p>
    <w:p>
      <w:pPr>
        <w:sectPr>
          <w:pgSz w:w="11900" w:h="16838" w:orient="portrait"/>
          <w:cols w:equalWidth="0" w:num="1">
            <w:col w:w="10219"/>
          </w:cols>
          <w:pgMar w:left="240" w:top="315" w:right="1440" w:bottom="0" w:gutter="0" w:footer="0" w:header="0"/>
        </w:sectPr>
      </w:pPr>
    </w:p>
    <w:bookmarkStart w:id="54" w:name="page55"/>
    <w:bookmarkEnd w:id="54"/>
    <w:p>
      <w:pPr>
        <w:ind w:right="2099"/>
        <w:spacing w:after="0" w:line="249" w:lineRule="auto"/>
        <w:rPr>
          <w:sz w:val="20"/>
          <w:szCs w:val="20"/>
          <w:color w:val="auto"/>
        </w:rPr>
      </w:pPr>
      <w:r>
        <w:rPr>
          <w:rFonts w:ascii="Courier New" w:cs="Courier New" w:eastAsia="Courier New" w:hAnsi="Courier New"/>
          <w:sz w:val="17"/>
          <w:szCs w:val="17"/>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142" w:right="1440" w:bottom="1440" w:gutter="0" w:footer="0" w:header="0"/>
        </w:sectPr>
      </w:pPr>
    </w:p>
    <w:bookmarkStart w:id="55" w:name="page56"/>
    <w:bookmarkEnd w:id="55"/>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of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the Riverside County and the other defendants, in connection with a contract with Western regarding the operation and management of the El Sobrante Landfill (the "Landfill") located within the Riverside County (the "Agreement"), engaged in various improper actions, including the unlawful sale of public property, wasting public funds, and making an unconstitutional gift of public property and funds. The complaint seeks an order voiding the Agreement and an injunction ordering the defendants to pay to the County allegedly unlawful revenues earned from the Landfill, to cease further dumping at the Landfill of out-of-county waste, return of alleged windfall profits, and limiting dumping fees charged to incounty residents. The complaint also seeks general damages of $10,000,000, special and punitive damages, attorneys' fees, and costs. The Company believes the taxpayer suit is based upon erroneous assumptions and that there are valid defenses available to the County to each of the claims asserted in the complaint. The Company has now filed a motion to intervene in the litigation and will thereafter become a party to the lawsuit.</w:t>
      </w:r>
    </w:p>
    <w:p>
      <w:pPr>
        <w:spacing w:after="0" w:line="200" w:lineRule="exact"/>
        <w:rPr>
          <w:sz w:val="20"/>
          <w:szCs w:val="20"/>
          <w:color w:val="auto"/>
        </w:rPr>
      </w:pPr>
    </w:p>
    <w:p>
      <w:pPr>
        <w:jc w:val="both"/>
        <w:ind w:right="2319"/>
        <w:spacing w:after="0" w:line="249" w:lineRule="auto"/>
        <w:rPr>
          <w:sz w:val="20"/>
          <w:szCs w:val="20"/>
          <w:color w:val="auto"/>
        </w:rPr>
      </w:pPr>
      <w:r>
        <w:rPr>
          <w:rFonts w:ascii="Courier New" w:cs="Courier New" w:eastAsia="Courier New" w:hAnsi="Courier New"/>
          <w:sz w:val="17"/>
          <w:szCs w:val="17"/>
          <w:color w:val="auto"/>
        </w:rPr>
        <w:t>The Company has reason to believe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Western has not been advised by the government that it is a target of any such investigation. Upon written inquiry under the Freedom of Information Act, Western was advised that there were no records of any such investigations.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w:t>
      </w:r>
    </w:p>
    <w:p>
      <w:pPr>
        <w:sectPr>
          <w:pgSz w:w="11900" w:h="16899" w:orient="portrait"/>
          <w:cols w:equalWidth="0" w:num="1">
            <w:col w:w="10219"/>
          </w:cols>
          <w:pgMar w:left="240" w:top="315" w:right="1440" w:bottom="0" w:gutter="0" w:footer="0" w:header="0"/>
        </w:sectPr>
      </w:pPr>
    </w:p>
    <w:bookmarkStart w:id="56" w:name="page57"/>
    <w:bookmarkEnd w:id="56"/>
    <w:p>
      <w:pPr>
        <w:ind w:right="2219"/>
        <w:spacing w:after="0" w:line="251" w:lineRule="auto"/>
        <w:rPr>
          <w:sz w:val="20"/>
          <w:szCs w:val="20"/>
          <w:color w:val="auto"/>
        </w:rPr>
      </w:pPr>
      <w:r>
        <w:rPr>
          <w:rFonts w:ascii="Courier New" w:cs="Courier New" w:eastAsia="Courier New" w:hAnsi="Courier New"/>
          <w:sz w:val="17"/>
          <w:szCs w:val="17"/>
          <w:color w:val="auto"/>
        </w:rPr>
        <w:t>policy provides insurance coverage for all of the Company's real and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4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7"/>
          <w:szCs w:val="17"/>
          <w:color w:val="auto"/>
        </w:rPr>
        <w:t>40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maintains workers' compensation insurance in accordance with laws</w:t>
      </w:r>
    </w:p>
    <w:p>
      <w:pPr>
        <w:spacing w:after="0" w:line="7"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7"/>
          <w:szCs w:val="17"/>
          <w:color w:val="auto"/>
        </w:rPr>
        <w:t>of the various states in which it has employees.</w:t>
        <w:tab/>
        <w:t>The Company also currently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an environmental impairment liability ("EIL") insurance policy for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its landfills and transfer stations that provides coverage for 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damages and/or bodily injuries to third parties caused by off-site pollution</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emanating from such landfills or transfer stations.</w:t>
        <w:tab/>
        <w:t>This policy provides</w:t>
      </w:r>
    </w:p>
    <w:p>
      <w:pPr>
        <w:spacing w:after="0" w:line="7"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7"/>
          <w:szCs w:val="17"/>
          <w:color w:val="auto"/>
        </w:rPr>
        <w:t>$5,000,000 of coverage per incident with a $10,000,000 aggregate limit.</w:t>
      </w:r>
      <w:r>
        <w:rPr>
          <w:sz w:val="20"/>
          <w:szCs w:val="20"/>
          <w:color w:val="auto"/>
        </w:rPr>
        <w:tab/>
      </w:r>
      <w:r>
        <w:rPr>
          <w:rFonts w:ascii="Courier New" w:cs="Courier New" w:eastAsia="Courier New" w:hAnsi="Courier New"/>
          <w:sz w:val="16"/>
          <w:szCs w:val="16"/>
          <w:color w:val="auto"/>
        </w:rPr>
        <w:t>To</w:t>
      </w:r>
    </w:p>
    <w:p>
      <w:pPr>
        <w:spacing w:after="0" w:line="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7"/>
          <w:szCs w:val="17"/>
          <w:color w:val="auto"/>
        </w:rPr>
        <w:t>date, the Company has not had any difficulty in obtaining insurance.</w:t>
        <w:tab/>
        <w:t>However,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the Company in the future is unable to obtain adequate insurance, or decides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operate without insurance, a partially or completely uninsured claim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if successful and of sufficient magnitude, could have a material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adverse effect upon the Company's business or its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Additionally, continued availability of casualty and EIL insurance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sufficient limits at acceptable terms is an important aspect of obtaining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revenue-producing waste service contracts.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$2,032,000. If a change in control were to occur in 1996 and the officers were to elect to take the change in control payments, they would receive approximately $8,223,000. As of March 31, 1996, the Company has not recorded any accruals in the financial statements related to these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315"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7"/>
          <w:szCs w:val="17"/>
          <w:color w:val="auto"/>
        </w:rPr>
        <w:t>41</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19" w:firstLine="5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Current Report to be signed on its behalf by the undersigned, thereto duly authorized.</w:t>
      </w:r>
    </w:p>
    <w:p>
      <w:pPr>
        <w:spacing w:after="0" w:line="197"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0"/>
        <w:spacing w:after="0"/>
        <w:tabs>
          <w:tab w:leader="none" w:pos="5500" w:val="left"/>
        </w:tabs>
        <w:rPr>
          <w:sz w:val="20"/>
          <w:szCs w:val="20"/>
          <w:color w:val="auto"/>
        </w:rPr>
      </w:pPr>
      <w:r>
        <w:rPr>
          <w:rFonts w:ascii="Courier New" w:cs="Courier New" w:eastAsia="Courier New" w:hAnsi="Courier New"/>
          <w:sz w:val="17"/>
          <w:szCs w:val="17"/>
          <w:color w:val="auto"/>
        </w:rPr>
        <w:t>By:</w:t>
        <w:tab/>
        <w:t>/s/ BRUCE E. SNYDER</w:t>
      </w:r>
    </w:p>
    <w:p>
      <w:pPr>
        <w:spacing w:after="0" w:line="7" w:lineRule="exact"/>
        <w:rPr>
          <w:sz w:val="20"/>
          <w:szCs w:val="20"/>
          <w:color w:val="auto"/>
        </w:rPr>
      </w:pPr>
    </w:p>
    <w:p>
      <w:pPr>
        <w:ind w:left="54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5400"/>
        <w:spacing w:after="0"/>
        <w:rPr>
          <w:sz w:val="20"/>
          <w:szCs w:val="20"/>
          <w:color w:val="auto"/>
        </w:rPr>
      </w:pPr>
      <w:r>
        <w:rPr>
          <w:rFonts w:ascii="Courier New" w:cs="Courier New" w:eastAsia="Courier New" w:hAnsi="Courier New"/>
          <w:sz w:val="17"/>
          <w:szCs w:val="17"/>
          <w:color w:val="auto"/>
        </w:rPr>
        <w:t>BRUCE E. SNYDER</w:t>
      </w:r>
    </w:p>
    <w:p>
      <w:pPr>
        <w:spacing w:after="0" w:line="7" w:lineRule="exact"/>
        <w:rPr>
          <w:sz w:val="20"/>
          <w:szCs w:val="20"/>
          <w:color w:val="auto"/>
        </w:rPr>
      </w:pPr>
    </w:p>
    <w:p>
      <w:pPr>
        <w:ind w:left="5400"/>
        <w:spacing w:after="0"/>
        <w:rPr>
          <w:sz w:val="20"/>
          <w:szCs w:val="20"/>
          <w:color w:val="auto"/>
        </w:rPr>
      </w:pPr>
      <w:r>
        <w:rPr>
          <w:rFonts w:ascii="Courier New" w:cs="Courier New" w:eastAsia="Courier New" w:hAnsi="Courier New"/>
          <w:sz w:val="17"/>
          <w:szCs w:val="17"/>
          <w:color w:val="auto"/>
        </w:rPr>
        <w:t>Vice President - Controller</w:t>
      </w:r>
    </w:p>
    <w:p>
      <w:pPr>
        <w:spacing w:after="0" w:line="7" w:lineRule="exact"/>
        <w:rPr>
          <w:sz w:val="20"/>
          <w:szCs w:val="20"/>
          <w:color w:val="auto"/>
        </w:rPr>
      </w:pPr>
    </w:p>
    <w:p>
      <w:pPr>
        <w:ind w:left="5400"/>
        <w:spacing w:after="0"/>
        <w:rPr>
          <w:sz w:val="20"/>
          <w:szCs w:val="20"/>
          <w:color w:val="auto"/>
        </w:rPr>
      </w:pPr>
      <w:r>
        <w:rPr>
          <w:rFonts w:ascii="Courier New" w:cs="Courier New" w:eastAsia="Courier New" w:hAnsi="Courier New"/>
          <w:sz w:val="17"/>
          <w:szCs w:val="17"/>
          <w:color w:val="auto"/>
        </w:rPr>
        <w:t>Chief Accounting Officer</w:t>
      </w:r>
    </w:p>
    <w:p>
      <w:pPr>
        <w:sectPr>
          <w:pgSz w:w="11900" w:h="16838" w:orient="portrait"/>
          <w:cols w:equalWidth="0" w:num="1">
            <w:col w:w="10219"/>
          </w:cols>
          <w:pgMar w:left="240" w:top="315"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consent to the incorporation by reference in the USA Waste Services, Inc.</w:t>
      </w:r>
    </w:p>
    <w:p>
      <w:pPr>
        <w:spacing w:after="0" w:line="7" w:lineRule="exact"/>
        <w:rPr>
          <w:sz w:val="20"/>
          <w:szCs w:val="20"/>
          <w:color w:val="auto"/>
        </w:rPr>
      </w:pPr>
    </w:p>
    <w:p>
      <w:pPr>
        <w:ind w:right="2099"/>
        <w:spacing w:after="0" w:line="248" w:lineRule="auto"/>
        <w:rPr>
          <w:sz w:val="20"/>
          <w:szCs w:val="20"/>
          <w:color w:val="auto"/>
        </w:rPr>
      </w:pPr>
      <w:r>
        <w:rPr>
          <w:rFonts w:ascii="Courier New" w:cs="Courier New" w:eastAsia="Courier New" w:hAnsi="Courier New"/>
          <w:sz w:val="17"/>
          <w:szCs w:val="17"/>
          <w:color w:val="auto"/>
        </w:rPr>
        <w:t>Registration Statements on Form S-4 (File Nos. 33-60103, 33-63981, and 333-02181), Registration Statements on Form S-3 (File Nos. 33-42988, 33-43809, 33-76226, 33-85018, and 333-00097), and Registration Statements on Form S-8 (File Nos. 33-43619, 33-72436, 33-84900, 33-84988, 33- 59807, 33-61621,</w:t>
      </w:r>
    </w:p>
    <w:p>
      <w:pPr>
        <w:spacing w:after="0" w:line="3"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33-61625, and 33-61627), of our report dated May 23, 1996, on our audits of the supplemental consolidated financial statements of USA Waste Services, Inc. as of December 31, 1995 and 1994, and for the three years in the period ended December 31, 1995, which our report is included in this Current Report on Form 8-K/A, Amendment No. 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1996</w:t>
      </w:r>
    </w:p>
    <w:p>
      <w:pPr>
        <w:sectPr>
          <w:pgSz w:w="11900" w:h="16838" w:orient="portrait"/>
          <w:cols w:equalWidth="0" w:num="1">
            <w:col w:w="10219"/>
          </w:cols>
          <w:pgMar w:left="240" w:top="14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519"/>
        <w:spacing w:after="0" w:line="248" w:lineRule="auto"/>
        <w:rPr>
          <w:sz w:val="20"/>
          <w:szCs w:val="20"/>
          <w:color w:val="auto"/>
        </w:rPr>
      </w:pPr>
      <w:r>
        <w:rPr>
          <w:rFonts w:ascii="Courier New" w:cs="Courier New" w:eastAsia="Courier New" w:hAnsi="Courier New"/>
          <w:sz w:val="17"/>
          <w:szCs w:val="17"/>
          <w:color w:val="auto"/>
        </w:rPr>
        <w:t>We consent to the incorporation by reference in USA Waste Services, Inc.'s Registration Statement Nos. 33-42988, 33- 43809, 33-76226, 33-85018, and 333-00097 on Form S-3, Registration Statement Nos. 33-60103, 33-63981,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333-02181 on Form S-4, and Registration Statement Nos. 33-43619, 33-59807,</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33-61621, 33-61625, 33-61627, 33-72436, 33-84988, and 33- 84990 on Form S-8 of our report dated March 30, 1995 (relating to the consolidated financial statements of Chambers Development Company, Inc. and subsidiaries not presented separately herein) appearing in this Current Report on Form 8- K/A, Amendment No. 2, of USA Waste Services,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1996</w:t>
      </w:r>
    </w:p>
    <w:p>
      <w:pPr>
        <w:sectPr>
          <w:pgSz w:w="11900" w:h="16838" w:orient="portrait"/>
          <w:cols w:equalWidth="0" w:num="1">
            <w:col w:w="10219"/>
          </w:cols>
          <w:pgMar w:left="240" w:top="14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419"/>
        <w:spacing w:after="0" w:line="248"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(Form S-3, No. 33-42988, No. 33-43809, No. 33-76226, No. 33-85018, and No.</w:t>
      </w:r>
    </w:p>
    <w:p>
      <w:pPr>
        <w:spacing w:after="0" w:line="2"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333-00097) of USA Waste Services, Inc. and the related Prospectuses, and in the Registration Statements (Form S-4, No. 33-60103, No. 33-63981, and No.</w:t>
      </w:r>
    </w:p>
    <w:p>
      <w:pPr>
        <w:spacing w:after="0" w:line="2" w:lineRule="exact"/>
        <w:rPr>
          <w:sz w:val="20"/>
          <w:szCs w:val="20"/>
          <w:color w:val="auto"/>
        </w:rPr>
      </w:pPr>
    </w:p>
    <w:p>
      <w:pPr>
        <w:ind w:right="2099"/>
        <w:spacing w:after="0" w:line="248" w:lineRule="auto"/>
        <w:rPr>
          <w:sz w:val="20"/>
          <w:szCs w:val="20"/>
          <w:color w:val="auto"/>
        </w:rPr>
      </w:pPr>
      <w:r>
        <w:rPr>
          <w:rFonts w:ascii="Courier New" w:cs="Courier New" w:eastAsia="Courier New" w:hAnsi="Courier New"/>
          <w:sz w:val="17"/>
          <w:szCs w:val="17"/>
          <w:color w:val="auto"/>
        </w:rPr>
        <w:t>333-02181) of USA Waste Services, Inc. and in the related Prospectuses, and in the Registration Statements (Form S-8, No. 33-43619, No. 33-59807,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33-61621, No. 33- 61625, No. 33-61627, No. 33-72436, No. 33-84988, and No.</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33-84990) of USA Waste Services, Inc. and the related Prospectuses of our report, dated August 25, 1995 (except Note 8, as to which the date is September 12, 1995), with respect to the consolidated financial statements of Western Waste Industries for the year ended June 30, 1995, included in this Current Report on Form 8-K/A, Amendment No. 2, dated June 28, 1996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ERNST &amp; YOUNG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 Beach,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2"/>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6"/>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2019-12-20T04:50:00Z</dcterms:created>
  <dcterms:modified xsi:type="dcterms:W3CDTF">2019-12-20T04:50:00Z</dcterms:modified>
</cp:coreProperties>
</file>