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550"/>
        <w:spacing w:after="0"/>
        <w:rPr>
          <w:sz w:val="20"/>
          <w:szCs w:val="20"/>
          <w:color w:val="auto"/>
        </w:rPr>
      </w:pPr>
      <w:r>
        <w:rPr>
          <w:rFonts w:ascii="Courier New" w:cs="Courier New" w:eastAsia="Courier New" w:hAnsi="Courier New"/>
          <w:sz w:val="15"/>
          <w:szCs w:val="15"/>
          <w:color w:val="auto"/>
        </w:rPr>
        <w:t>Washington, D.C. 20549</w:t>
      </w: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1930" w:right="4419" w:hanging="1930"/>
        <w:spacing w:after="0" w:line="235" w:lineRule="auto"/>
        <w:tabs>
          <w:tab w:leader="none" w:pos="122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AND EXCHANGE ACT OF 1934</w:t>
      </w:r>
    </w:p>
    <w:p>
      <w:pPr>
        <w:spacing w:after="0" w:line="1"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050" w:right="4239" w:hanging="1050"/>
        <w:spacing w:after="0" w:line="235" w:lineRule="auto"/>
        <w:tabs>
          <w:tab w:leader="none" w:pos="-71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AND EXCHANGE ACT OF 1934</w:t>
      </w:r>
    </w:p>
    <w:p>
      <w:pPr>
        <w:spacing w:after="0" w:line="1" w:lineRule="exact"/>
        <w:rPr>
          <w:sz w:val="24"/>
          <w:szCs w:val="24"/>
          <w:color w:val="auto"/>
        </w:rPr>
      </w:pPr>
    </w:p>
    <w:p>
      <w:pPr>
        <w:ind w:left="1150"/>
        <w:spacing w:after="0"/>
        <w:tabs>
          <w:tab w:leader="none" w:pos="4749"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1-12154</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8" w:lineRule="exact"/>
        <w:rPr>
          <w:sz w:val="24"/>
          <w:szCs w:val="24"/>
          <w:color w:val="auto"/>
        </w:rPr>
      </w:pPr>
    </w:p>
    <w:tbl>
      <w:tblPr>
        <w:tblLayout w:type="fixed"/>
        <w:tblInd w:w="170" w:type="dxa"/>
        <w:tblCellMar>
          <w:top w:w="0" w:type="dxa"/>
          <w:left w:w="0" w:type="dxa"/>
          <w:bottom w:w="0" w:type="dxa"/>
          <w:right w:w="0" w:type="dxa"/>
        </w:tblCellMar>
      </w:tblPr>
      <w:tr>
        <w:trPr>
          <w:trHeight w:val="170"/>
        </w:trPr>
        <w:tc>
          <w:tcPr>
            <w:tcW w:w="432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DELAWARE</w:t>
            </w:r>
          </w:p>
        </w:tc>
        <w:tc>
          <w:tcPr>
            <w:tcW w:w="248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73-1309529</w:t>
            </w:r>
          </w:p>
        </w:tc>
      </w:tr>
      <w:tr>
        <w:trPr>
          <w:trHeight w:val="170"/>
        </w:trPr>
        <w:tc>
          <w:tcPr>
            <w:tcW w:w="4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 or other jurisdiction of</w:t>
            </w:r>
          </w:p>
        </w:tc>
        <w:tc>
          <w:tcPr>
            <w:tcW w:w="248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incorporation or</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organization)</w:t>
            </w:r>
          </w:p>
        </w:tc>
        <w:tc>
          <w:tcPr>
            <w:tcW w:w="248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8"/>
              </w:rPr>
              <w:t>Identification No.)</w:t>
            </w:r>
          </w:p>
        </w:tc>
      </w:tr>
      <w:tr>
        <w:trPr>
          <w:trHeight w:val="170"/>
        </w:trPr>
        <w:tc>
          <w:tcPr>
            <w:tcW w:w="4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1001 FANNIN STREET, SUITE 4000</w:t>
            </w:r>
          </w:p>
        </w:tc>
        <w:tc>
          <w:tcPr>
            <w:tcW w:w="2480" w:type="dxa"/>
            <w:vAlign w:val="bottom"/>
          </w:tcPr>
          <w:p>
            <w:pPr>
              <w:spacing w:after="0"/>
              <w:rPr>
                <w:sz w:val="14"/>
                <w:szCs w:val="14"/>
                <w:color w:val="auto"/>
              </w:rPr>
            </w:pP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HOUSTON,</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TEXAS</w:t>
            </w:r>
          </w:p>
        </w:tc>
        <w:tc>
          <w:tcPr>
            <w:tcW w:w="24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77002</w:t>
            </w:r>
          </w:p>
        </w:tc>
      </w:tr>
      <w:tr>
        <w:trPr>
          <w:trHeight w:val="170"/>
        </w:trPr>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w w:val="97"/>
              </w:rPr>
              <w:t>(Address of principal</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executive offices)</w:t>
            </w:r>
          </w:p>
        </w:tc>
        <w:tc>
          <w:tcPr>
            <w:tcW w:w="248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(Zip code)</w:t>
            </w:r>
          </w:p>
        </w:tc>
      </w:tr>
    </w:tbl>
    <w:p>
      <w:pPr>
        <w:spacing w:after="0" w:line="339" w:lineRule="exact"/>
        <w:rPr>
          <w:sz w:val="24"/>
          <w:szCs w:val="24"/>
          <w:color w:val="auto"/>
        </w:rPr>
      </w:pPr>
    </w:p>
    <w:p>
      <w:pPr>
        <w:ind w:left="610"/>
        <w:spacing w:after="0"/>
        <w:rPr>
          <w:sz w:val="20"/>
          <w:szCs w:val="20"/>
          <w:color w:val="auto"/>
        </w:rPr>
      </w:pPr>
      <w:r>
        <w:rPr>
          <w:rFonts w:ascii="Courier New" w:cs="Courier New" w:eastAsia="Courier New" w:hAnsi="Courier New"/>
          <w:sz w:val="15"/>
          <w:szCs w:val="15"/>
          <w:color w:val="auto"/>
        </w:rPr>
        <w:t>Registrant's telephone number, including area code: (713) 512-6200</w:t>
      </w:r>
    </w:p>
    <w:p>
      <w:pPr>
        <w:spacing w:after="0" w:line="169"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226" w:right="1440" w:bottom="967" w:gutter="0" w:footer="0" w:header="0"/>
        </w:sectPr>
      </w:pPr>
    </w:p>
    <w:p>
      <w:pPr>
        <w:spacing w:after="0" w:line="200" w:lineRule="exact"/>
        <w:rPr>
          <w:sz w:val="24"/>
          <w:szCs w:val="24"/>
          <w:color w:val="auto"/>
        </w:rPr>
      </w:pPr>
    </w:p>
    <w:p>
      <w:pPr>
        <w:spacing w:after="0" w:line="314" w:lineRule="exact"/>
        <w:rPr>
          <w:sz w:val="24"/>
          <w:szCs w:val="24"/>
          <w:color w:val="auto"/>
        </w:rPr>
      </w:pPr>
    </w:p>
    <w:p>
      <w:pPr>
        <w:ind w:left="1150"/>
        <w:spacing w:after="0"/>
        <w:rPr>
          <w:sz w:val="20"/>
          <w:szCs w:val="20"/>
          <w:color w:val="auto"/>
        </w:rPr>
      </w:pPr>
      <w:r>
        <w:rPr>
          <w:rFonts w:ascii="Courier New" w:cs="Courier New" w:eastAsia="Courier New" w:hAnsi="Courier New"/>
          <w:sz w:val="14"/>
          <w:szCs w:val="14"/>
          <w:color w:val="auto"/>
        </w:rPr>
        <w:t>TITLE OF EACH CLASS</w:t>
      </w:r>
    </w:p>
    <w:p>
      <w:pPr>
        <w:spacing w:after="0" w:line="11" w:lineRule="exact"/>
        <w:rPr>
          <w:sz w:val="24"/>
          <w:szCs w:val="24"/>
          <w:color w:val="auto"/>
        </w:rPr>
      </w:pPr>
    </w:p>
    <w:p>
      <w:pPr>
        <w:ind w:left="11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EXCHANGE ON WHICH REGISTERED</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3770" w:space="720"/>
            <w:col w:w="5739"/>
          </w:cols>
          <w:pgMar w:left="230" w:top="226" w:right="1440" w:bottom="967" w:gutter="0" w:footer="0" w:header="0"/>
          <w:type w:val="continuous"/>
        </w:sectPr>
      </w:pPr>
    </w:p>
    <w:p>
      <w:pPr>
        <w:ind w:left="10"/>
        <w:spacing w:after="0"/>
        <w:rPr>
          <w:sz w:val="20"/>
          <w:szCs w:val="20"/>
          <w:color w:val="auto"/>
        </w:rPr>
      </w:pPr>
      <w:r>
        <w:rPr>
          <w:rFonts w:ascii="Courier New" w:cs="Courier New" w:eastAsia="Courier New" w:hAnsi="Courier New"/>
          <w:sz w:val="15"/>
          <w:szCs w:val="15"/>
          <w:color w:val="auto"/>
        </w:rPr>
        <w:t>Common Stock, $.01 par value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4% Convertible Subordinated Debentures due</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44" w:lineRule="exact"/>
        <w:rPr>
          <w:sz w:val="24"/>
          <w:szCs w:val="24"/>
          <w:color w:val="auto"/>
        </w:rPr>
      </w:pPr>
    </w:p>
    <w:p>
      <w:pPr>
        <w:sectPr>
          <w:pgSz w:w="11900" w:h="16838" w:orient="portrait"/>
          <w:cols w:equalWidth="0" w:num="2">
            <w:col w:w="4390" w:space="720"/>
            <w:col w:w="5119"/>
          </w:cols>
          <w:pgMar w:left="230" w:top="226" w:right="1440" w:bottom="967" w:gutter="0" w:footer="0" w:header="0"/>
          <w:type w:val="continuous"/>
        </w:sectPr>
      </w:pPr>
    </w:p>
    <w:p>
      <w:pPr>
        <w:spacing w:after="0" w:line="13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ind w:left="1490"/>
        <w:spacing w:after="0"/>
        <w:rPr>
          <w:sz w:val="20"/>
          <w:szCs w:val="20"/>
          <w:color w:val="auto"/>
        </w:rPr>
      </w:pPr>
      <w:r>
        <w:rPr>
          <w:rFonts w:ascii="Courier New" w:cs="Courier New" w:eastAsia="Courier New" w:hAnsi="Courier New"/>
          <w:sz w:val="15"/>
          <w:szCs w:val="15"/>
          <w:color w:val="auto"/>
        </w:rPr>
        <w:t>5.75% Convertible Subordinated Notes due 2005</w:t>
      </w:r>
    </w:p>
    <w:p>
      <w:pPr>
        <w:spacing w:after="0" w:line="174"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8"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439" w:firstLine="441"/>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17, 1999, was approximately $27,437,506,000.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176"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March 17, 1999, was 601,810,986 (excluding 7,892,612 shares held in the Waste Management, Inc. Employee Stock Benefit Trust).</w:t>
      </w:r>
    </w:p>
    <w:p>
      <w:pPr>
        <w:spacing w:after="0" w:line="169"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29"/>
          </w:cols>
          <w:pgMar w:left="230" w:top="226" w:right="1440" w:bottom="967"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left="1590"/>
        <w:spacing w:after="0"/>
        <w:rPr>
          <w:sz w:val="20"/>
          <w:szCs w:val="20"/>
          <w:color w:val="auto"/>
        </w:rPr>
      </w:pPr>
      <w:r>
        <w:rPr>
          <w:rFonts w:ascii="Courier New" w:cs="Courier New" w:eastAsia="Courier New" w:hAnsi="Courier New"/>
          <w:sz w:val="14"/>
          <w:szCs w:val="14"/>
          <w:color w:val="auto"/>
        </w:rPr>
        <w:t>DOCUMENT</w:t>
      </w:r>
    </w:p>
    <w:p>
      <w:pPr>
        <w:spacing w:after="0" w:line="11" w:lineRule="exact"/>
        <w:rPr>
          <w:sz w:val="24"/>
          <w:szCs w:val="24"/>
          <w:color w:val="auto"/>
        </w:rPr>
      </w:pPr>
    </w:p>
    <w:p>
      <w:pPr>
        <w:ind w:left="159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INCORPORATED AS TO</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570" w:space="720"/>
            <w:col w:w="4939"/>
          </w:cols>
          <w:pgMar w:left="230" w:top="226" w:right="1440" w:bottom="967" w:gutter="0" w:footer="0" w:header="0"/>
          <w:type w:val="continuous"/>
        </w:sectPr>
      </w:pPr>
    </w:p>
    <w:p>
      <w:pPr>
        <w:jc w:val="center"/>
        <w:ind w:right="1030"/>
        <w:spacing w:after="0"/>
        <w:rPr>
          <w:sz w:val="20"/>
          <w:szCs w:val="20"/>
          <w:color w:val="auto"/>
        </w:rPr>
      </w:pPr>
      <w:r>
        <w:rPr>
          <w:rFonts w:ascii="Courier New" w:cs="Courier New" w:eastAsia="Courier New" w:hAnsi="Courier New"/>
          <w:sz w:val="15"/>
          <w:szCs w:val="15"/>
          <w:color w:val="auto"/>
        </w:rPr>
        <w:t>Proxy Statement for the</w:t>
      </w:r>
    </w:p>
    <w:p>
      <w:pPr>
        <w:spacing w:after="0" w:line="5" w:lineRule="exact"/>
        <w:rPr>
          <w:sz w:val="24"/>
          <w:szCs w:val="24"/>
          <w:color w:val="auto"/>
        </w:rPr>
      </w:pPr>
    </w:p>
    <w:p>
      <w:pPr>
        <w:jc w:val="center"/>
        <w:ind w:right="1030"/>
        <w:spacing w:after="0"/>
        <w:rPr>
          <w:sz w:val="20"/>
          <w:szCs w:val="20"/>
          <w:color w:val="auto"/>
        </w:rPr>
      </w:pPr>
      <w:r>
        <w:rPr>
          <w:rFonts w:ascii="Courier New" w:cs="Courier New" w:eastAsia="Courier New" w:hAnsi="Courier New"/>
          <w:sz w:val="14"/>
          <w:szCs w:val="14"/>
          <w:color w:val="auto"/>
        </w:rPr>
        <w:t>1999 Annual Meeting of Stockholders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200" w:lineRule="exact"/>
        <w:rPr>
          <w:sz w:val="24"/>
          <w:szCs w:val="24"/>
          <w:color w:val="auto"/>
        </w:rPr>
      </w:pPr>
    </w:p>
    <w:p>
      <w:pPr>
        <w:sectPr>
          <w:pgSz w:w="11900" w:h="16838" w:orient="portrait"/>
          <w:cols w:equalWidth="0" w:num="2">
            <w:col w:w="5010" w:space="720"/>
            <w:col w:w="4499"/>
          </w:cols>
          <w:pgMar w:left="230" w:top="226" w:right="1440" w:bottom="967" w:gutter="0" w:footer="0" w:header="0"/>
          <w:type w:val="continuous"/>
        </w:sectPr>
      </w:pPr>
    </w:p>
    <w:p>
      <w:pPr>
        <w:spacing w:after="0" w:line="150"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967"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5520" w:type="dxa"/>
            <w:vAlign w:val="bottom"/>
          </w:tcPr>
          <w:p>
            <w:pPr>
              <w:ind w:left="1940"/>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678"/>
        </w:trPr>
        <w:tc>
          <w:tcPr>
            <w:tcW w:w="7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7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4"/>
                <w:szCs w:val="24"/>
                <w:color w:val="auto"/>
              </w:rPr>
            </w:pPr>
          </w:p>
        </w:tc>
        <w:tc>
          <w:tcPr>
            <w:tcW w:w="5520" w:type="dxa"/>
            <w:vAlign w:val="bottom"/>
          </w:tcPr>
          <w:p>
            <w:pPr>
              <w:ind w:left="2300"/>
              <w:spacing w:after="0"/>
              <w:rPr>
                <w:sz w:val="20"/>
                <w:szCs w:val="20"/>
                <w:color w:val="auto"/>
              </w:rPr>
            </w:pPr>
            <w:r>
              <w:rPr>
                <w:rFonts w:ascii="Courier New" w:cs="Courier New" w:eastAsia="Courier New" w:hAnsi="Courier New"/>
                <w:sz w:val="15"/>
                <w:szCs w:val="15"/>
                <w:color w:val="auto"/>
              </w:rPr>
              <w:t>PART I</w:t>
            </w:r>
          </w:p>
        </w:tc>
        <w:tc>
          <w:tcPr>
            <w:tcW w:w="48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Business....................................................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Properties..................................................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Legal Proceedings...........................................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339"/>
        </w:trPr>
        <w:tc>
          <w:tcPr>
            <w:tcW w:w="780" w:type="dxa"/>
            <w:vAlign w:val="bottom"/>
          </w:tcPr>
          <w:p>
            <w:pPr>
              <w:spacing w:after="0"/>
              <w:rPr>
                <w:sz w:val="24"/>
                <w:szCs w:val="24"/>
                <w:color w:val="auto"/>
              </w:rPr>
            </w:pPr>
          </w:p>
        </w:tc>
        <w:tc>
          <w:tcPr>
            <w:tcW w:w="5520" w:type="dxa"/>
            <w:vAlign w:val="bottom"/>
          </w:tcPr>
          <w:p>
            <w:pPr>
              <w:ind w:left="2300"/>
              <w:spacing w:after="0"/>
              <w:rPr>
                <w:sz w:val="20"/>
                <w:szCs w:val="20"/>
                <w:color w:val="auto"/>
              </w:rPr>
            </w:pPr>
            <w:r>
              <w:rPr>
                <w:rFonts w:ascii="Courier New" w:cs="Courier New" w:eastAsia="Courier New" w:hAnsi="Courier New"/>
                <w:sz w:val="15"/>
                <w:szCs w:val="15"/>
                <w:color w:val="auto"/>
              </w:rPr>
              <w:t>PART II</w:t>
            </w:r>
          </w:p>
        </w:tc>
        <w:tc>
          <w:tcPr>
            <w:tcW w:w="48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4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Stockholder Matters.........................................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Selected Financial Data.....................................</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and Results of Operations...................................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Quantitative and Qualitative Disclosure About Market Risk...</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and Financial Disclosure....................................</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339"/>
        </w:trPr>
        <w:tc>
          <w:tcPr>
            <w:tcW w:w="780" w:type="dxa"/>
            <w:vAlign w:val="bottom"/>
          </w:tcPr>
          <w:p>
            <w:pPr>
              <w:spacing w:after="0"/>
              <w:rPr>
                <w:sz w:val="24"/>
                <w:szCs w:val="24"/>
                <w:color w:val="auto"/>
              </w:rPr>
            </w:pPr>
          </w:p>
        </w:tc>
        <w:tc>
          <w:tcPr>
            <w:tcW w:w="5520" w:type="dxa"/>
            <w:vAlign w:val="bottom"/>
          </w:tcPr>
          <w:p>
            <w:pPr>
              <w:ind w:left="2200"/>
              <w:spacing w:after="0"/>
              <w:rPr>
                <w:sz w:val="20"/>
                <w:szCs w:val="20"/>
                <w:color w:val="auto"/>
              </w:rPr>
            </w:pPr>
            <w:r>
              <w:rPr>
                <w:rFonts w:ascii="Courier New" w:cs="Courier New" w:eastAsia="Courier New" w:hAnsi="Courier New"/>
                <w:sz w:val="15"/>
                <w:szCs w:val="15"/>
                <w:color w:val="auto"/>
              </w:rPr>
              <w:t>PART III</w:t>
            </w:r>
          </w:p>
        </w:tc>
        <w:tc>
          <w:tcPr>
            <w:tcW w:w="48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Directors and Executive Officers of the Registrant..........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Executive Compensation......................................</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Management..................................................</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r>
      <w:tr>
        <w:trPr>
          <w:trHeight w:val="339"/>
        </w:trPr>
        <w:tc>
          <w:tcPr>
            <w:tcW w:w="780" w:type="dxa"/>
            <w:vAlign w:val="bottom"/>
          </w:tcPr>
          <w:p>
            <w:pPr>
              <w:spacing w:after="0"/>
              <w:rPr>
                <w:sz w:val="24"/>
                <w:szCs w:val="24"/>
                <w:color w:val="auto"/>
              </w:rPr>
            </w:pPr>
          </w:p>
        </w:tc>
        <w:tc>
          <w:tcPr>
            <w:tcW w:w="5520" w:type="dxa"/>
            <w:vAlign w:val="bottom"/>
          </w:tcPr>
          <w:p>
            <w:pPr>
              <w:ind w:left="2300"/>
              <w:spacing w:after="0"/>
              <w:rPr>
                <w:sz w:val="20"/>
                <w:szCs w:val="20"/>
                <w:color w:val="auto"/>
              </w:rPr>
            </w:pPr>
            <w:r>
              <w:rPr>
                <w:rFonts w:ascii="Courier New" w:cs="Courier New" w:eastAsia="Courier New" w:hAnsi="Courier New"/>
                <w:sz w:val="15"/>
                <w:szCs w:val="15"/>
                <w:color w:val="auto"/>
              </w:rPr>
              <w:t>PART IV</w:t>
            </w:r>
          </w:p>
        </w:tc>
        <w:tc>
          <w:tcPr>
            <w:tcW w:w="480" w:type="dxa"/>
            <w:vAlign w:val="bottom"/>
          </w:tcPr>
          <w:p>
            <w:pPr>
              <w:spacing w:after="0"/>
              <w:rPr>
                <w:sz w:val="24"/>
                <w:szCs w:val="2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Financial Statement Schedules, Exhibits, and Reports on Form</w:t>
            </w:r>
          </w:p>
        </w:tc>
        <w:tc>
          <w:tcPr>
            <w:tcW w:w="4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w w:val="99"/>
              </w:rPr>
              <w:t>8-K.........................................................</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w:t>
            </w:r>
          </w:p>
        </w:tc>
      </w:tr>
    </w:tbl>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Waste Management, Inc. ("Waste Management" or the "Company") is a global leader in providing integrated waste management services. The Company's principal operations are providing waste management services in North America (primarily the United States, Canada and Puerto Rico). The waste management services provided consist of collection, transfer, recycling and resource recovery services, as well as disposal services, including landfill disposal of hazardous wastes. In addition, the Company is a leading operator and owner of waste-to-energy and waste-fuel powered independent power facilities in the United States. Other North American operations include additional hazardous waste management services, as well as low-level and other radioactive waste services. Outside of North America, the Company operates throughout Europe, the Pacific Rim, South America and other select international markets. Included in the Company's international operations are the collection and transportation of solid, hazardous and medical wastes, and the collection, treatment and disposal of recyclable materials. The Company also operates solid and hazardous waste landfills, municipal and hazardous waste incinerators, water and wastewater treatment facilities, hazardous waste treatment facilities and constructs treatment or disposal facilities for third parties internationally. The Company's diversified customer base, which was in excess of 30 million customers as of December 31, 1998, includes commercial, industrial, municipal and residential customers, other waste management companies, governmental entities and independent power markets, with no single customer accounting for more than 5% of the Company's operating revenues during 1998. The Company employed approximately 68,000 people as of December 31, 1998.</w:t>
      </w:r>
    </w:p>
    <w:p>
      <w:pPr>
        <w:spacing w:after="0" w:line="347" w:lineRule="exact"/>
        <w:rPr>
          <w:sz w:val="20"/>
          <w:szCs w:val="20"/>
          <w:color w:val="auto"/>
        </w:rPr>
      </w:pPr>
    </w:p>
    <w:p>
      <w:pPr>
        <w:ind w:right="3359" w:firstLine="441"/>
        <w:spacing w:after="0" w:line="256" w:lineRule="auto"/>
        <w:rPr>
          <w:sz w:val="20"/>
          <w:szCs w:val="20"/>
          <w:color w:val="auto"/>
        </w:rPr>
      </w:pPr>
      <w:r>
        <w:rPr>
          <w:rFonts w:ascii="Courier New" w:cs="Courier New" w:eastAsia="Courier New" w:hAnsi="Courier New"/>
          <w:sz w:val="14"/>
          <w:szCs w:val="14"/>
          <w:color w:val="auto"/>
        </w:rPr>
        <w:t>The terms "Waste Management" and the "Company" refer to Waste Management, Inc., a Delaware corporation incorporated on April 28, 1995, and includes its predecessors, subsidiaries, and affiliates, unless the context requires otherwise. Waste Management's executive offices are located at 1001 Fannin Street, Suite 4000, Houston, Texas 77002, and its telephone number is (713)</w:t>
      </w:r>
    </w:p>
    <w:p>
      <w:pPr>
        <w:spacing w:after="0" w:line="2"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512-6200. The Company's common stock is listed on the New York Stock Exchange under the trading symbol "WMI."</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solid waste management industry in North America has historically been highly fragmented, with a multitude of local private operators and municipal operators servicing relatively centralized areas. The industry has been undergoing a period of significant consolidation which continues today. However, there remain a large number of private operators and municipalities that continue to account for a significant portion of the North American solid waste business.</w:t>
      </w:r>
    </w:p>
    <w:p>
      <w:pPr>
        <w:spacing w:after="0" w:line="177"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As consolidation in the North American solid waste industry has continued, many smaller companies face strategic difficulties including economies of scale and higher costs of capital.</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Increases in significant economies of scale, efficient operations and more readily available capital caused by consolidation have also affected municipalities, many of which have sold or leased their transfer and disposal facilities as well as contracted its collection services with private concerns.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Another important factor in the consolidation of the North American solid waste management industry is government regulation and enforcement, which has increased the cost of collection and disposal activities throughout North America. The most significant new legislation was in 1991 when the U.S. Environmental Protection Agency ("EPA") adopted new regulations pursuant to Subtitle D of the Resource Conservation and Recovery Act ("RCRA"), governing the disposal of nonhazardous municipal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at the landfills, post-closure monitoring of sites as well as financial assurances that landfill operators will comply with the stringent regulations. These regulations significantly increased the costs</w:t>
      </w: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of compliance and landfill operations, leading to many closures, especially by small operators. Additionally, the increased costs associated with constructing new landfills caused disposal fees to increase. The higher costs associated with the regulations caused many in the industry to seek consolidation. Larger solid waste management companies are better able to absorb the increased costs of constructing new landfills and, because of the economies of scale that are necessary under the regulations, most new landfills are larger by historical standards, serving geographic regions rather than small localities.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Many larger solid waste companies have pursued acquisitions to complement existing businesses or otherwise improve their cost structure and flexibility. The Company believes waste management companies active in various segments of the industry will continue to seek vertical integration to enable them to become more cost-effective and competitive. However, there still exists a large number of small local and regional companies, municipalities and other governmental authorities that provide waste services. Many of the smaller companies are able to effectively compete on the basis of local name recognition as well as cost structure. Additionally, municipalities and counties can sometimes offer services at lower direct costs to the customer through the use of tax revenues and tax-exempt financings. See "Competition."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Key components of the Company's strategy are:</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Growth</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Internal Growth</w:t>
      </w:r>
    </w:p>
    <w:p>
      <w:pPr>
        <w:spacing w:after="0" w:line="175" w:lineRule="exact"/>
        <w:rPr>
          <w:sz w:val="20"/>
          <w:szCs w:val="20"/>
          <w:color w:val="auto"/>
        </w:rPr>
      </w:pPr>
    </w:p>
    <w:p>
      <w:pPr>
        <w:ind w:left="600" w:right="3359" w:hanging="169"/>
        <w:spacing w:after="0" w:line="237" w:lineRule="auto"/>
        <w:tabs>
          <w:tab w:leader="none" w:pos="6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through the expansion of existing operations. The Company continually strives to grow its existing operations by pursuing new waste volumes and properly pricing its services.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External Growth</w:t>
      </w:r>
    </w:p>
    <w:p>
      <w:pPr>
        <w:spacing w:after="0" w:line="175" w:lineRule="exact"/>
        <w:rPr>
          <w:sz w:val="20"/>
          <w:szCs w:val="20"/>
          <w:color w:val="auto"/>
        </w:rPr>
      </w:pPr>
    </w:p>
    <w:p>
      <w:pPr>
        <w:ind w:left="600" w:right="3179" w:hanging="169"/>
        <w:spacing w:after="0" w:line="238" w:lineRule="auto"/>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7"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also continues to pursue acquisitions in new markets where the Company believes it can strengthen its overall competitive position as an important provider of integrated waste management services. Additionally, acquisitions are pursued where opportunities exist to apply its operating and management expertise to enhance the performance of operations acquired.</w:t>
      </w:r>
    </w:p>
    <w:p>
      <w:pPr>
        <w:spacing w:after="0" w:line="176" w:lineRule="exact"/>
        <w:rPr>
          <w:rFonts w:ascii="Courier New" w:cs="Courier New" w:eastAsia="Courier New" w:hAnsi="Courier New"/>
          <w:sz w:val="15"/>
          <w:szCs w:val="15"/>
          <w:color w:val="auto"/>
        </w:rPr>
      </w:pPr>
    </w:p>
    <w:p>
      <w:pPr>
        <w:ind w:left="600" w:right="3359" w:hanging="169"/>
        <w:spacing w:after="0" w:line="257" w:lineRule="auto"/>
        <w:tabs>
          <w:tab w:leader="none" w:pos="6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Benefiting from the privatization of solid waste services provided by municipalities. Municipalities currently provide a large percentage of the solid waste management services. Due to the capital and regulatory requirement demands, as well as the economics of the solid waste industry, certain portions of these services have been privatized each year. The Company pursues privatization opportunities where it believes solid waste services can be provided at a profitable level.</w:t>
      </w:r>
    </w:p>
    <w:p>
      <w:pPr>
        <w:spacing w:after="0" w:line="16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Operational Efficiencies</w:t>
      </w:r>
    </w:p>
    <w:p>
      <w:pPr>
        <w:spacing w:after="0" w:line="175" w:lineRule="exact"/>
        <w:rPr>
          <w:sz w:val="20"/>
          <w:szCs w:val="20"/>
          <w:color w:val="auto"/>
        </w:rPr>
      </w:pPr>
    </w:p>
    <w:p>
      <w:pPr>
        <w:ind w:left="600" w:right="3179" w:hanging="169"/>
        <w:spacing w:after="0" w:line="238" w:lineRule="auto"/>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productivity and operating efficiencies. The Company seeks to increase productivity, achieve administrative and operating efficiencies and improve profitability in existing operations and acquired businesses, with the objective of becoming the low-cost operator in each of its markets. Measures taken by the Company in this area include consolidating and implementing uniform administrative and management systems, restructuring and consolidating collection routes, improving equipment utilization, and increasing employee productivity through incentive compensation and training programs. The Company believes that its ability to serve markets as a low-cost operator is</w:t>
      </w: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fundamental to achieving sustainable internal growth and to realizing the benefits of its acquisition activity.</w:t>
      </w:r>
    </w:p>
    <w:p>
      <w:pPr>
        <w:spacing w:after="0" w:line="176" w:lineRule="exact"/>
        <w:rPr>
          <w:sz w:val="20"/>
          <w:szCs w:val="20"/>
          <w:color w:val="auto"/>
        </w:rPr>
      </w:pPr>
    </w:p>
    <w:p>
      <w:pPr>
        <w:ind w:left="600" w:right="343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Focusing on core businesses. The Company intends to focus on its core businesses, providing waste services including collection, transfer, disposal (landfill and waste-to-energy), recycling and other complementary services. The Company has marketed for sale certain business lines that include services not easily integrated in order to focus on those businesses that strengthen its overall competitive position.</w:t>
      </w:r>
    </w:p>
    <w:p>
      <w:pPr>
        <w:spacing w:after="0" w:line="176"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Internalization. The Company strives to strengthen its position in its existing markets by expanding the scope of services through the integration of its collection, transfer station, and disposal operations. Internalization is the disposal of waste collected by the Company at a facility owned or operated by the Company. Waste that can be internalized generally has greater profitability than waste that is disposed of at a third party facility. The utilization of internal disposal capacity is an integral component of the Company's ability to achieve its financial goals and objectives.</w:t>
      </w:r>
    </w:p>
    <w:p>
      <w:pPr>
        <w:spacing w:after="0" w:line="178"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Decentralized management. Because the Company believes the solid waste industry is a local and regional business, the Company is organized based upon a decentralized management and a streamlined corporate structure. The Company believes this approach enhances its ability to manage the local aspects of daily operations and service its customers more effectively.</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Flexibility and Strength</w:t>
      </w:r>
    </w:p>
    <w:p>
      <w:pPr>
        <w:spacing w:after="0" w:line="175" w:lineRule="exact"/>
        <w:rPr>
          <w:sz w:val="20"/>
          <w:szCs w:val="20"/>
          <w:color w:val="auto"/>
        </w:rPr>
      </w:pPr>
    </w:p>
    <w:p>
      <w:pPr>
        <w:ind w:left="600" w:right="3259" w:hanging="169"/>
        <w:spacing w:after="0" w:line="257"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Preserving the financial foundation. The Company monitors the financial demands of its existing operations, acquisition activities, and capital expenditures program in an attempt to maintain its financial flexibility and strength and its ability to capitalize on future opportunities. In managing its financial resources, the Company utilizes commercial banks, equity and debt offerings, and issues equity instruments in certain acquisitions. The Company believes that its ability to continue as an industry consolidator is directly related to its ability to maintain its financial flexibility and strength.</w:t>
      </w:r>
    </w:p>
    <w:p>
      <w:pPr>
        <w:spacing w:after="0" w:line="166" w:lineRule="exact"/>
        <w:rPr>
          <w:rFonts w:ascii="Courier New" w:cs="Courier New" w:eastAsia="Courier New" w:hAnsi="Courier New"/>
          <w:sz w:val="14"/>
          <w:szCs w:val="14"/>
          <w:color w:val="auto"/>
        </w:rPr>
      </w:pPr>
    </w:p>
    <w:p>
      <w:pPr>
        <w:ind w:left="600" w:right="3259" w:hanging="169"/>
        <w:spacing w:after="0" w:line="238"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Maximizing cash flows from operations. The industry in which the Company operates typically experiences significant positive cash flows from properly managed operations. The Company believes that it can be the low-cost service provider and strives to maximize cash flows from its operations in all markets. The Company expects to use these cash flows, in part, to continue its growth and believes it can do so without compromising its financial condition.</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business is subject to extensive foreign, federal, state, and local regulation and legislative initiatives. Further, in some locations, its business is subject to environmental regulation, mandatory recycling laws, prohibitions on the deposit of certain types of waste in landfills, and restrictions on the flow of solid waste. Because of continuing public awareness and influence regarding the collection, transfer, and disposal of waste and the preservation of the environment, and uncertainty with respect to the enactment and enforcement of future laws and regulations, the Company cannot always accurately predict the impact that any future regulations or laws may have on its operations. See "-- Regulation" and "-- Legal Proceedings."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AND DIVESTITURE ACTIVITY IN 1998</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16, 1998, the Company, then known as USA Waste Services, Inc., completed a merger with Waste Management, Inc., at which time Waste Management, Inc. was renamed Waste Management Holdings, Inc. ("WM Holdings") (the "WM Holdings Merger"). Under the terms of the WM Holdings Merger, the Company issued 0.725 of a share of its common stock for each outstanding share of WM Holdings common stock. The WM Holdings Merger increased the Company's outstanding shares of common stock by approximately 354,000,000 shares, and the Company assumed WM Holdings' stock options equivalent to approximately 16,000,000 underlying shares of the Company's common stock. Any unvested WM Holdings options issued prior to March 10, 1998 vested upon consummation of the WM Holdings Merger due to change of control provisions in the related plans. WM Holdings was previously the largest publicly traded solid waste company in the U.S., providing integrated solid waste management and hazardous waste management services in North America and comprehensive waste management and related services, including solid and hazardous waste management services, internationally. WM Holdings was also a leading</w:t>
      </w:r>
    </w:p>
    <w:p>
      <w:pPr>
        <w:sectPr>
          <w:pgSz w:w="11900" w:h="16838" w:orient="portrait"/>
          <w:cols w:equalWidth="0" w:num="1">
            <w:col w:w="10219"/>
          </w:cols>
          <w:pgMar w:left="240" w:top="283" w:right="1440" w:bottom="1440" w:gutter="0" w:footer="0" w:header="0"/>
        </w:sectPr>
      </w:pP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jc w:val="both"/>
        <w:ind w:right="3359"/>
        <w:spacing w:after="0" w:line="260" w:lineRule="auto"/>
        <w:rPr>
          <w:sz w:val="20"/>
          <w:szCs w:val="20"/>
          <w:color w:val="auto"/>
        </w:rPr>
      </w:pPr>
      <w:r>
        <w:rPr>
          <w:rFonts w:ascii="Courier New" w:cs="Courier New" w:eastAsia="Courier New" w:hAnsi="Courier New"/>
          <w:sz w:val="14"/>
          <w:szCs w:val="14"/>
          <w:color w:val="auto"/>
        </w:rPr>
        <w:t>developer of facilities for, and provider of services to, the waste-to-energy and waste-fuel powered independent power markets. On the effective date of the WM Holdings Merger, the Company changed its name to "Waste Management, Inc."</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December 31, 1998, the Company consummated a merger with Eastern Environmental Services, Inc. ("Eastern") pursuant to which the Company issued approximately 24,460,000 shares of its common stock in exchange for all of the outstanding shares of Eastern (the "Eastern Merger").</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November 30, 1998, the Company acquired the 49% interest of the United Kingdom operations that were previously owned by Wessex Water Plc for approximately $342,000,000.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November 3, 1998, the Company completed the acquisition of the publicly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shares of Waste Management International plc, an indirect majority-owned</w:t>
      </w:r>
    </w:p>
    <w:p>
      <w:pPr>
        <w:spacing w:after="0"/>
        <w:rPr>
          <w:sz w:val="20"/>
          <w:szCs w:val="20"/>
          <w:color w:val="auto"/>
        </w:rPr>
      </w:pPr>
      <w:r>
        <w:rPr>
          <w:rFonts w:ascii="Courier New" w:cs="Courier New" w:eastAsia="Courier New" w:hAnsi="Courier New"/>
          <w:sz w:val="15"/>
          <w:szCs w:val="15"/>
          <w:color w:val="auto"/>
        </w:rPr>
        <w:t>subsidiary ("WMI plc"). Pursuant to the acquisition, holders of the</w:t>
      </w:r>
    </w:p>
    <w:p>
      <w:pPr>
        <w:spacing w:after="0"/>
        <w:rPr>
          <w:sz w:val="20"/>
          <w:szCs w:val="20"/>
          <w:color w:val="auto"/>
        </w:rPr>
      </w:pPr>
      <w:r>
        <w:rPr>
          <w:rFonts w:ascii="Courier New" w:cs="Courier New" w:eastAsia="Courier New" w:hAnsi="Courier New"/>
          <w:sz w:val="15"/>
          <w:szCs w:val="15"/>
          <w:color w:val="auto"/>
        </w:rPr>
        <w:t>approximately 75 million ordinary shares not already owned by the Company</w:t>
      </w:r>
    </w:p>
    <w:p>
      <w:pPr>
        <w:spacing w:after="0" w:line="238" w:lineRule="auto"/>
        <w:rPr>
          <w:sz w:val="20"/>
          <w:szCs w:val="20"/>
          <w:color w:val="auto"/>
        </w:rPr>
      </w:pPr>
      <w:r>
        <w:rPr>
          <w:rFonts w:ascii="Courier New" w:cs="Courier New" w:eastAsia="Courier New" w:hAnsi="Courier New"/>
          <w:sz w:val="15"/>
          <w:szCs w:val="15"/>
          <w:color w:val="auto"/>
        </w:rPr>
        <w:t>(including those represented by American Depositary Receipts) received</w:t>
      </w:r>
    </w:p>
    <w:p>
      <w:pPr>
        <w:spacing w:after="0"/>
        <w:rPr>
          <w:sz w:val="20"/>
          <w:szCs w:val="20"/>
          <w:color w:val="auto"/>
        </w:rPr>
      </w:pPr>
      <w:r>
        <w:rPr>
          <w:rFonts w:ascii="Courier New" w:cs="Courier New" w:eastAsia="Courier New" w:hAnsi="Courier New"/>
          <w:sz w:val="15"/>
          <w:szCs w:val="15"/>
          <w:color w:val="auto"/>
        </w:rPr>
        <w:t>approximately $5.72 for each share held, for a total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$443,000,000. The Company liquidated WMI plc after the acquisition in an effort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simplify the corporate structure and provide enhanced tax planning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The Company's international operations are now conducted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International BV, a Netherlands corporation ("WM</w:t>
      </w:r>
    </w:p>
    <w:p>
      <w:pPr>
        <w:spacing w:after="0"/>
        <w:rPr>
          <w:sz w:val="20"/>
          <w:szCs w:val="20"/>
          <w:color w:val="auto"/>
        </w:rPr>
      </w:pPr>
      <w:r>
        <w:rPr>
          <w:rFonts w:ascii="Courier New" w:cs="Courier New" w:eastAsia="Courier New" w:hAnsi="Courier New"/>
          <w:sz w:val="15"/>
          <w:szCs w:val="15"/>
          <w:color w:val="auto"/>
        </w:rPr>
        <w:t>International").</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("American Waste") for approximately $150,000,000 in cash. The businesses acquired include three landfills and one collection operation located in Ohio.</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On May 6, 1998, the Company consummated a merger with TransAmerican Waste Industries, Inc. ("TransAmerican"), pursuant to which the Company issued approximately 1,975,000 shares of its common stock in exchange for all outstanding shares of TransAmerican. The businesses acquired include five collection operations, nine landfills and two transfer stations located throughout the southern U.S.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On March 31, 1998, the Company acquired all of the outstanding shares of Wheelabrator Technologies Inc. ("WTI") which it did not already own for $876,200,000 in cash.</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of cash, and assumed debt. The businesses acquired are primarily located in Michigan and include collection operations, landfills, and transfer stations.</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addition to the aforementioned acquisitions, the Company paid an aggregate of $1,453,880,000 in cash, common stock, and liabilities assumed to acquire solid waste assets and businesses.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WM Holdings Merger and the Eastern Merger, the Company entered into agreements with the Antitrust Division of the Department of Justice and several states. Under the terms of the agreements, the Company is required to divest of future airspace rights and certain waste disposal, transfer and commercial collection assets. Included in the required divestitures are landfills in Ohio, Colorado, Michigan, Texas, California, Kentucky, Florida, New York and Pennsylvania; commercial waste hauling assets in Ohio, Pennsylvania, Colorado, Michigan, Texas, Kentucky, Oregon, Arizona and Florida; and certain commercial collection routes in Pennsylvania, New Jersey, New York, Virginia and Florida.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Additionally, in September 1998, the Company completed the sale of 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&amp; Infrastructure, Inc. ("REI"). The Company sold the environmental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infrastructure, engineering, and consulting firm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$68,000,000, subject to certain post-closing adjustments, in furtherance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previous decision to sell or otherwise discontinue certain lines of</w:t>
      </w:r>
    </w:p>
    <w:p>
      <w:pPr>
        <w:spacing w:after="0"/>
        <w:rPr>
          <w:sz w:val="20"/>
          <w:szCs w:val="20"/>
          <w:color w:val="auto"/>
        </w:rPr>
      </w:pPr>
      <w:r>
        <w:rPr>
          <w:rFonts w:ascii="Courier New" w:cs="Courier New" w:eastAsia="Courier New" w:hAnsi="Courier New"/>
          <w:sz w:val="15"/>
          <w:szCs w:val="15"/>
          <w:color w:val="auto"/>
        </w:rPr>
        <w:t>business of its subsidiary, Rust International,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March 1999, the Company entered into an agreement with a subsidiary of the French conglomerate Vivendi SA to form a non-landfill hazardous waste and industrial cleaning business joint venture. Under the agreement, the Company will transfer certain assets of the non-core industrial cleaning and hazardous waste</w:t>
      </w:r>
    </w:p>
    <w:p>
      <w:pPr>
        <w:sectPr>
          <w:pgSz w:w="11900" w:h="16838" w:orient="portrait"/>
          <w:cols w:equalWidth="0" w:num="1">
            <w:col w:w="10219"/>
          </w:cols>
          <w:pgMar w:left="240" w:top="283" w:right="1440" w:bottom="1440" w:gutter="0" w:footer="0" w:header="0"/>
        </w:sectPr>
      </w:pP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3"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businesses to the joint venture, but will retain its hazardous waste landfill operations and national and regional account customers.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The following table reflects the Company's operating revenues for each of the three years ended December 31, 1998 for each of the Company's principal lines of business. Additional information regarding the results of operations for the Company's business lines is included in Note 13 to the Company's consolidated financial statements included elsewhere herein (in millions).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960" w:type="dxa"/>
            <w:vAlign w:val="bottom"/>
          </w:tcPr>
          <w:p>
            <w:pPr>
              <w:spacing w:after="0"/>
              <w:rPr>
                <w:sz w:val="14"/>
                <w:szCs w:val="14"/>
                <w:color w:val="auto"/>
              </w:rPr>
            </w:pPr>
          </w:p>
        </w:tc>
        <w:tc>
          <w:tcPr>
            <w:tcW w:w="30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96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7"/>
              </w:rPr>
              <w:t>North American Solid Waste: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Collection................................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6,963.5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$ 6,071.2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$ 5,257.5</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Disposal..................................</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2,811.9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2,580.2</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Transfer..................................</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1,054.3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814.5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709.1</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Recycling and other.......................</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683.5</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Intercompany..............................</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(1,646.3)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(1,172.7)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(1,132.4)</w:t>
            </w:r>
          </w:p>
        </w:tc>
      </w:tr>
      <w:tr>
        <w:trPr>
          <w:trHeight w:val="170"/>
        </w:trPr>
        <w:tc>
          <w:tcPr>
            <w:tcW w:w="396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10,220.5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9,244.9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8,097.9</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WM International............................</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1,533.6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1,913.8</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Non-solid waste.............................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986.9</w:t>
            </w:r>
          </w:p>
        </w:tc>
      </w:tr>
      <w:tr>
        <w:trPr>
          <w:trHeight w:val="170"/>
        </w:trPr>
        <w:tc>
          <w:tcPr>
            <w:tcW w:w="396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Operating revenue...........................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12,703.5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$11,972.5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$10,998.6</w:t>
            </w:r>
          </w:p>
        </w:tc>
      </w:tr>
      <w:tr>
        <w:trPr>
          <w:trHeight w:val="170"/>
        </w:trPr>
        <w:tc>
          <w:tcPr>
            <w:tcW w:w="396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North American Solid Waste Management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Management of the Company's North American solid waste management operations is primarily achieved through an alignment that currently includes five geographic areas. Each area is directed by a senior Company officer who is responsible for oversight of the area's sales and marketing, administration and finance, operations, and maintenance functions and who typically has a small staff that works interactively with the corporate office to provide regulatory compliance and reporting, legal, engineering, internal and external development, and strategic planning services. Areas are organized into regions which are managed by a vice-president of the Company. Regions are further organized into divisions and districts which are led by local managers. Geographically, an area encompasses several states or provinces and may have up to eight regions, each of which is responsible for the oversight of several markets. The division or district manager is responsible for the day-to-day oversight of that local operation, with direct responsibility for customer satisfaction, employee motivation, labor and equipment productivity, internal growth, financial budgets, and profit and loss activity.</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Collection. The Company provides different types of solid waste collection services depending on the customer serviced. Commercial and industrial collection services are generally performed under one to three-year service agreements, and fees are determined by such factors as collection frequency, type of collection equipment furnished by the Company, type and volume or weight of the waste collected, the distance to the disposal facility, labor cost, and cost of disposal. Most residential solid waste collection services are performed under contracts with, or franchises granted by, municipalities or regional authorities that have granted the Company exclusive rights to service all or a portion of the homes in their respective jurisdictions. Such contracts or franchises usually range in duration from one to five years, however, in certain cases, they have significantly longer terms. Some municipalities have requested bids on their residential collection contracts based on the volume of waste collected. Residential collection fees are either paid by the municipalities from their tax revenues or service charges or are paid directly by the residents receiving the service.</w:t>
      </w:r>
    </w:p>
    <w:p>
      <w:pPr>
        <w:spacing w:after="0" w:line="18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part of its services, the Company provides steel containers to most of its commercial and industrial customers to store solid waste. These containers, ranging in size from one to 45 cubic yards, are designed to be lifted mechanically and either emptied into a collection vehicle's compaction hopper or directly into a disposal</w:t>
      </w:r>
    </w:p>
    <w:p>
      <w:pPr>
        <w:sectPr>
          <w:pgSz w:w="11900" w:h="16838" w:orient="portrait"/>
          <w:cols w:equalWidth="0" w:num="1">
            <w:col w:w="10219"/>
          </w:cols>
          <w:pgMar w:left="240" w:top="283" w:right="1440" w:bottom="1440" w:gutter="0" w:footer="0" w:header="0"/>
        </w:sectPr>
      </w:pPr>
    </w:p>
    <w:p>
      <w:pPr>
        <w:spacing w:after="0" w:line="178"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3"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site in the case of industrial customers. The use of containers enables the Company to service most of its commercial and industrial customers with collection vehicles operated by a single employee.</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often obtains waste collection accounts through acquisitions. Once a collection operation is acquired, the Company implements programs designed to improve equipment utilization, employee productivity, operating efficiencies, and overall profitability. The Company also solicits commercial and industrial customers in areas surrounding acquired residential collection markets as a means of further improving operating efficiencies and increasing solid waste collection volumes.</w:t>
      </w:r>
    </w:p>
    <w:p>
      <w:pPr>
        <w:spacing w:after="0" w:line="17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cost of transporting solid waste to a disposal location effectively constrains where collection operations can be located. In addition, the Company believes that it is generally preferable for its collection operations to utilize disposal facilities owned or operated by affiliated parties so that access can be assured on reasonable terms. The Company's collection operations internalized approximately 58.5% of disposal costs paid to disposal facilities for 1998 as compared to 55.7% for 1997. In the remaining markets, waste is collected and delivered to a municipal, county or privately-owned unaffiliated landfill or transfer station.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Disposal. Landfills are the primary depository for solid waste. A solid waste landfill site must have geological and hydrogeological properties and design features which limit the possibility of water pollution, directly or by leaching. Solid waste landfill operations, which include carefully planned excavation, continuous spreading, compacting and covering of solid waste, are designed to maintain sanitary conditions, insure optimum utilization of the airspace and prepare the site for ultimate use for other purposes. Solid waste landfill operations are required to be conducted in accordance with the terms of permits obtained from various regulatory authorities, which typically incorporate the requirements of Subtitle D of RCRA or applicable state requirements, whichever are stricter. These requirements address such matters as daily volume limitations, placement of daily, interim and final site cover materials on waste disposed at the site, construction and operation of methane gas and leachate management systems, periodic groundwater monitoring activity and final closure requirements and post-closure monitoring and maintenance activities.</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Solid waste landfill customers are charged disposal charges, known as "tipping fees", based on market factors and the type and volume or weight of solid waste deposited and the type and size of vehicles used in the conveyance of solid waste. The ownership or lease of a solid waste landfill enables the Company to dispose of waste without payment of tipping fees to unaffiliated parties. The Company's solid waste landfills are also used by unaffiliated waste collection companies and government agencies. Excluding solid waste landfills required to be sold as a result of 1998 governmental consent decrees related to the WM Holdings Merger and the Eastern Merger, the average landfill volume of the Company's North American sites for the year ended December 31, 1998, was approximately 414,000 tons per day, and the average remaining life of landfills owned or operated was approximately 20 years based on remaining permitted capacity and current average daily disposal volumes.</w:t>
      </w:r>
    </w:p>
    <w:p>
      <w:pPr>
        <w:spacing w:after="0" w:line="18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Suitable solid waste landfill facilities and permission to expand existing facilities may be difficult to obtain in some areas because of land scarcity, local resident opposition and governmental regulation. As its existing facilities become filled in such areas, the Company's solid waste disposal operations are and will continue to be materially dependent on its ability to purchase, lease or otherwise obtain operating rights for additional sites or expansion of existing sites and to obtain the necessary permits from regulatory authorities to construct and operate them. In addition, there can be no assurance that additional sites can be obtained or that existing facilities can continue to be expanded or operated.</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develops, operates, and owns waste-to-energy facilities in the U.S. The Company's waste-to-energy projects use boiler and grate technology and are capable of processing up to 23,750 tons of solid waste per day. The heat from this combustion process is converted into high-pressure steam, which typically is used to generate electricity for sale to public utility companies under long-term contracts.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also operates secure hazardous waste land disposal facilities. All of the Company's five secure hazardous waste land disposal facilities in the U.S. have been issued permits under RCRA. See "Regulation -- RCRA." In general, the Company's hazardous waste land disposal facilities have received the necessary permits and approvals to accept hazardous wastes, although some of such sites may accept only</w:t>
      </w:r>
    </w:p>
    <w:p>
      <w:pPr>
        <w:sectPr>
          <w:pgSz w:w="11900" w:h="16838" w:orient="portrait"/>
          <w:cols w:equalWidth="0" w:num="1">
            <w:col w:w="10219"/>
          </w:cols>
          <w:pgMar w:left="240" w:top="283" w:right="1440" w:bottom="1440" w:gutter="0" w:footer="0" w:header="0"/>
        </w:sectPr>
      </w:pP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certain hazardous wastes. Only hazardous waste in a stable, solid form which meets applicable regulatory requirements may be buried in the Company's secure disposal cells. These land disposal facilities are sited, constructed and operated in a manner designed to provide long-term containment of such waste. Hazardous wastes may be treated prior to disposal. Physical treatment methods include distillation, evaporation and separation, all of which effectively result in the separation or removal of solid materials from liquids. Chemical treatment methods include chemical oxidation and reduction, chemical precipitation of heavy metals, hydrolysis and neutralization of acid and alkaline wastes and essentially involve the transformation of wastes into inert materials through one or more chemical reaction processes. At two of its locations, the Company isolates treated hazardous wastes in liquid form by injection into deep wells. Deep well technology involves drilling wells in suitable rock formations far below the base of fresh water to a point that is separated by other substantial geological confining layers. See "Non-Solid Waste Services -- Chemical Waste Management Services."</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 develop a new disposal facility, the Company must expend significant time and capital resources without any certainty that the necessary permits will ultimately be issued for such facility or that the Company will be able to achieve and maintain the desired disposal volume at such facility. If the inability to obtain and retain necessary permits, the failure of a facility to achieve the desired disposal volume or other factors cause the Company to abandon development efforts for a facility, the capitalized development costs of the facility are charged to expense.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Transfer Stations. A transfer station is a facility located near residential and commercial collection routes where solid waste is received from collection vehicles and then transferred to and compacted in large, specially-constructed trailers for transportation to disposal facilities. This consolidation reduces costs by improving the utilization of collection personnel and equipment. Fees are generally based on such factors as the type and volume or weight of the waste transferred and the transportation distance to disposal sites. Transfer stations can also be used to facilitate internalizing disposal costs by giving Company collection operations more cost-effective access to disposal facilities owned or operated by the Company.</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Recycling. The Company provides recycling services in the U.S. and Canada through its Recycle America(R), Recycle Canada(R) and other programs. Recycling involves the removal of reusable materials from the waste stream for processing and sale or other disposition for use in various applications. Participating commercial and industrial operations use containers to separate recyclable paper, glass, plastic and metal wastes for collection, processing and sale by the Company. Fees are determined by such considerations as competition, frequency of collection, type and volume or weight of the recyclable materials, degree of processing required, distance the recyclable materials must be transported and value of the recyclable materials.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its residential solid waste collection services, the Company engages in curbside collection of recyclable materials from residences in the U.S. and Canada. Curbside recycling services generally involve the collection of recyclable paper, glass, plastic and metal waste materials, which may be separated by residents into different waste containers or commingled with other recyclable materials. The recyclable materials are then typically deposited at a local materials recovery facility ("MRF") where they are sorted and processed for sale.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prices received by the Company for recyclable materials fluctuate substantially from quarter to quarter and year to year depending upon domestic and foreign demand for such materials, the quality of such materials, prices for new materials and other factors. In some instances, the Company enters into agreements with customers or the local governments of municipalities in which it provides recycling services whereby the customers or the governments share in the gains and losses resulting from fluctuation in prices of recyclable commodities. These agreements can reduce both the Company's gains and losses from such fluctuations.</w:t>
      </w:r>
    </w:p>
    <w:p>
      <w:pPr>
        <w:spacing w:after="0" w:line="179"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operates over 150 MRFs for the receipt and processing of recyclable materials. Such processing consists of separating recyclable materials according to type, and baling or otherwise preparing the separated materials for sale.</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Energy Recovery. At 65 Company-owned or Company-operated solid waste landfill facilities, the Company is engaged in methane gas recovery operations. These operations involve the installation of a gas collection system into a solid waste landfill facility. Through the gas collection system, gas generated by decomposing solid waste is collected and transported to a gas-processing facility at the landfill site. Through physical processes methane gas is separated from contaminants. The processed methane gas is then generally either sold directly to industrial users or to an affiliate of the Company which uses it as a fuel to power electricity generators. Electricity generated by these facilities is sold, usually to public utilities under long-term sales contracts, often under terms or conditions which are subject to approval by regulatory authorities.</w:t>
      </w:r>
    </w:p>
    <w:p>
      <w:pPr>
        <w:spacing w:after="0" w:line="182"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Portable Sanitation Services. The Company also provides portable sanitation services to municipalities and commercial customers. The portable sanitation services, which are primarily marketed under the Port-O-Let(R) trade name, are used at numerous special events and public gatherings.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International Waste Management and Related Services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is a leading provider of waste management and related services internationally, primarily through WM International, which conducts essentially all of the waste management operations of the Company located outside North America. WM International's business may broadly be characterized into two areas of activity, collection services and treatment and disposal services. The bulk of the Company's international operations and revenues are derived from the acquisition from 1990 to 1995 of numerous companies and interests in Europe. Excluding the minority interest buyout of Wessex Water Plc's holdings in the United Kingdom, WM International has engaged in only a few small acquisitions since 1995 and has divested of certain operations which do not fit within its long-term strategy. The Company intends to continue to evaluate its international operations and may attempt to grow through acquisitions in certain markets. In addition, the Company may, over time, exit certain markets if it determines that financial performance in those markets is not acceptable.</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While WM International has considerable experience in mobilizing for and managing foreign projects, its operations continue to be subject generally to such risks as currency fluctuations and exchange controls, the need to recruit and retain suitable local labor forces and to control and coordinate operations in different jurisdictions, changes in foreign laws or governmental policies or attitudes concerning their enforcement, political changes, local economic conditions and international tensions. In addition, price adjustment provisions based on certain formulas or indices may not accurately reflect the actual impact of inflation on the cost of performance.</w:t>
      </w:r>
    </w:p>
    <w:p>
      <w:pPr>
        <w:spacing w:after="0" w:line="179"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Collection. Collection services include collection and transportation of solid, hazardous and medical wastes and recyclable material from residential, commercial and industrial customers. The residential solid waste collection process, as well as the commercial and industrial solid and hazardous waste collection process, is similar to that utilized by the Company in its North American operations. Business is obtained through public bids or tenders, negotiated contracts, and, in the case of commercial and industrial customers, direct contracts.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Residential solid waste collection is typically performed by WM International pursuant to municipal contracts. The scope, specifications, services provided and duration of such contracts vary substantially, with some contracts encompassing landfill disposal of collected waste, street sweeping and other related municipal services. Pricing for municipal contracts is generally based on volume of waste, number and frequency of collection pick-ups, and disposal arrangements. Longer-term contracts typically have formulas for periodic price increases or adjustments. WM International also provides curbside recycling services similar to those provided by the Company's North American operations.</w:t>
      </w:r>
    </w:p>
    <w:p>
      <w:pPr>
        <w:spacing w:after="0" w:line="180"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WM International's commercial and industrial solid and hazardous waste collection services are generally contracted for by individual establishments. In addition to solid waste collection customers, WM International provides services to small quantity waste generators, as well as larger petrochemical, pharmaceutical and other industrial customers, including collection of hazardous, chemical or medical wastes or residues. Contract</w:t>
      </w:r>
    </w:p>
    <w:p>
      <w:pPr>
        <w:spacing w:after="0" w:line="15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and prices vary substantially among jurisdictions and types of customer.</w:t>
      </w:r>
    </w:p>
    <w:p>
      <w:pPr>
        <w:spacing w:after="0"/>
        <w:rPr>
          <w:sz w:val="20"/>
          <w:szCs w:val="20"/>
          <w:color w:val="auto"/>
        </w:rPr>
      </w:pPr>
      <w:r>
        <w:rPr>
          <w:rFonts w:ascii="Courier New" w:cs="Courier New" w:eastAsia="Courier New" w:hAnsi="Courier New"/>
          <w:sz w:val="15"/>
          <w:szCs w:val="15"/>
          <w:color w:val="auto"/>
        </w:rPr>
        <w:t>WM International also provides commercial and industrial recycling services.</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Treatment and Disposal. Treatment and disposal services include processing of recyclable materials, operation of both solid and hazardous waste landfills, operation of municipal and hazardous waste incinerators, operation of water and wastewater treatment facilities, operation of hazardous waste treatment facilities and construction of treatment or disposal facilities for third parties. Treatment and disposal services are provided under contracts which may be obtained through public bid or tender or direct negotiation, and are also provided directly to other waste service companies.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Once collected, solid waste processed in a MRF may be sold, utilized or disposed of in various applications. Unprocessed solid wastes, or the portion of the waste stream remaining after recovery of recyclable materials, require disposal, which may be accomplished through incineration (in which the energy value may be recovered in a waste-to-energy facility) or through disposal in a solid waste landfill. The relative use of landfills versus incinerators differs from country to country and will depend on many factors, including the availability of land, geological and hydrogeological conditions, the availability and cost of technology and capital, and the regulatory environment. The main determinants of the disposal method are the disposal costs at local landfills, as incineration is generally more expensive, community preferences and regulatory provisions.</w:t>
      </w:r>
    </w:p>
    <w:p>
      <w:pPr>
        <w:spacing w:after="0" w:line="182"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At present, in most countries in which WM International operates, landfilling is the predominant disposal method employed. WM International owns or operates solid waste landfills in Australia, Brazil, Denmark, Germany, Hong Kong, Italy, New Zealand, Sweden and the United Kingdom. Landfill disposal agreements may be separate contracts or an integrated portion of collection or treatment contracts. WM International operates five small, conventional municipal solid and other waste incineration facilities. Prior to January 1998, WM International also operated a waste-to-energy incinerator in Hamm, Germany. In light of the current overcapacity in the German waste-to-energy market and the pending renegotiation of WM International's disposal contracts with the local communities, WM International entered into an agreement in April 1997 to sell the facility. The transaction was completed in January 1998.</w:t>
      </w:r>
    </w:p>
    <w:p>
      <w:pPr>
        <w:spacing w:after="0" w:line="16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WM International owns or operates hazardous waste treatment facilities in Brazil, Brunei, Finland, Germany, Hong Kong, Indonesia, the Netherlands, Sweden and the United Kingdom.</w:t>
      </w:r>
    </w:p>
    <w:p>
      <w:pPr>
        <w:spacing w:after="0" w:line="175"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Other. Industrial premises, office, street and parking lot cleaning services are also performed by WM International, along with portable sanitation services for occasions such as outdoor concerts and special events.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Non-Solid Waste Services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Hazardous Waste Management Services. In addition to the disposal facilities discussed above, the hazardous wastes handled by the Company include industrial by-products and residues that have been identified as "hazardous" pursuant to RCRA, as well as other materials contaminated with a wide variety of chemical substances.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Hazardous waste may be collected from customers and transported by the Company or contractors retained by the Company or delivered by customers to their facilities. Hazardous waste is transported primarily in specially constructed tankers and semi-trailers, including stainless steel and rubber or epoxy-lined tankers and vacuum trucks, or in containers or drums on trailers designed to comply with applicable regulations and specifications of the U.S. Department of Transportation ("DOT") relating to the transportation of hazardous materials. The Company also operates several facilities at which waste collected from or delivered by customers may be analyzed and consolidated prior to further shipment.</w:t>
      </w:r>
    </w:p>
    <w:p>
      <w:pPr>
        <w:spacing w:after="0" w:line="180"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In the U.S., most hazardous wastes generated by industrial processes are handled "on-site" at the generators' facilities. Since the mid-1970's, public awareness of the harmful effects of unregulated disposal of hazardous wastes on the environment and health has led to extensive and evolving federal, state and local regulation of hazardous waste management activities. The major federal statutes regulating the management of hazardous wastes or substances include RCRA, the Toxic Substances Control Act ("TSCA") and the Comprehensive Environmental Response, Compensation and Liabilities Act of 1980, as amended</w:t>
      </w:r>
    </w:p>
    <w:p>
      <w:pPr>
        <w:ind w:left="3520"/>
        <w:spacing w:after="0" w:line="235" w:lineRule="auto"/>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("CERCLA" or "Superfund"), all primarily administered by the EPA. The hazardous waste management business is heavily dependent upon the extent to which regulations promulgated under these or similar state statutes and their enforcement over time effectively require wastes to be specially handled or managed and disposed of in facilities of the type owned and operated by the Company. See "Regulation -- Hazardous Waste," "-- RCRA" and "-- Superfund." The hazardous waste services industry currently has substantial excess capacity caused by a number of factors, including a decline in environmental remediation projects generating hazardous waste for off-site treatment and disposal, continuing efforts by hazardous waste generators to reduce volume and to manage the wastes on-site, and the uncertain regulatory environment regarding hazardous waste management and remediation requirements. These factors have led to reduced demand and increased pressure on pricing for hazardous waste management services; conditions which the Company expects to continue for the foreseeable future.</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Low-Level and Other Radioactive Waste Services. Radioactive wastes with varying degrees of radioactivity are generated by nuclear reactors and by medical, industrial, research and governmental users of radioactive material. Radioactive wastes are generally classified as either high-level or low-level. High-level radioactive waste, such as spent nuclear fuel and waste generated during the reprocessing of spent fuel from nuclear reactors, contains substantial quantities of long-lived radionuclides and is the ultimate responsibility of the federal government. Low-level radioactive waste, which decays more quickly than high-level waste, largely consists of dry compressible wastes (such as contaminated gloves, paper, tools and clothing), resins and filters which have removed radioactive contaminants from nuclear reactor cooling water, and solidified wastes from power plants which have become contaminated with radioactive substances and irradiated hardware.</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Chem-Nuclear Systems LLC subsidiary ("Chem-Nuclear") provides comprehensive low-level radioactive waste management services in the U.S., consisting of disposal, processing and various other special services. To a lesser extent, it provides services with respect to radioactive waste that has become mixed with regulated hazardous waste. Its Barnwell, South Carolina facility, which has been in operation since 1971, is one of three licensed commercial low-level radioactive waste disposal facilities in the U.S. A trust has been established and funded to pay the estimated cost of decommissioning the Barnwell facility. A second fund, for the extended care of the facility, is funded by a surcharge on each cubic foot of waste received. Chem-Nuclear may be liable for additional costs if the extra charges collected to restore and maintain the facility are insufficient to cover the cost of restoring or maintaining the site after its closure. The Company does not expect this to have a material adverse impact on future operating results.</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state legislation enacted in 1995, the Barnwell site is authorized to operate until its current permitted disposal capacity is fully utilized. However, that legislation was attached to a state appropriations bill that included a provision for a state tax of $235 to be imposed on every cubic foot of waste disposed of at the Barnwell facility. As a result of decreased disposal volume and a shortfall in anticipated tax revenue, in June 1997, the State of South Carolina enacted new legislation requiring that Chem-Nuclear guarantee certain portions of anticipated tax revenues from the facility. Such reduced disposal volume and the requirement that Chem-Nuclear fund such tax payments have caused Chem-Nuclear to review its alternatives with respect to the Barnwell facility. If Chem-Nuclear determines to close the Barnwell site, there could be a material adverse affect on the Company's consolidated financial statements.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Chem-Nuclear also processes low-level radioactive waste at its customers' plants to enable such waste to be shipped in dry rather than liquid form to meet the requirements for receipt at disposal facilities and to reduce the volume of waste that must be transported. Processing operations include solidification, demineralization, dewatering and filtration. Other services offered by Chem-Nuclear include providing electro-chemical, abrasive and chemical removal of radioactive contamination, providing management services for spent nuclear fuel storage pools and storing and incinerating liquid radioactive organic wastes.</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Through its Waste Management Federal Services, Inc. subsidiary, the Company provides hazardous, radioactive and mixed waste program and facilities management services, primarily to the U.S. Department of Energy and other federal government agencies. Such services include waste treatment, storage, characterization and disposal, and privatization services.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Independent Power Projects. The Company also operates and, in some cases, owns independent power projects which either cogenerate electricity and thermal energy or generate electricity alone for sale to customers, including utilities and private customers.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waste industry is still highly competitive despite the recent consolidation in the industry. See "Industry Overview." The Company encounters intense competition, primarily in the pricing and rendering of services, from various sources in all phases of its operations. The industry is comprised of a number of companies of various sizes, numerous municipalities and other regional or multi-governmental authorities, and large commercial and industrial companies handling their own waste collection or disposal operations. Local governmental entities are at times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Operating costs, disposal costs, and collection fees vary widely throughout the geographic areas in which the Company operates. The prices that the Company charges are determined locally, and typically vary by the volume or weight, type of waste collected, treatment requirements, risks involved in the handling or disposing of waste, frequency of collections, distance to final disposal sites, labor costs and amount and type of equipment furnished to the customer. Long-term solid waste collection contracts typically contain a formula, generally based on published price indices, for automatic adjustment of fees.</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competes for landfill business on the basis of tipping fees, geographical location, and quality of operations. The Company's ability to obtain landfill volume may be limited by the fact that some major collection companies also own or operate landfills to which they internalize their waste. The Company competes for collection accounts primarily based on price and the quality of its services. Intense competition is encountered for both quality of service and pricing. From time to time, competitors may reduce the price of their services and accept lower profit margins in an effort to expand or maintain market share or to successfully obtain competitively bid contracts.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provides residential collection services under a number of municipal contracts. Such contracts are subject to periodic competitive bidding, and there is no assurance that the Company will be the successful bidder and will be able to retain such contracts. If the Company is unable to replace any contract lost through the competitive bidding process with a comparable contract within a reasonable time period, the earnings of the Company could be adversely affected.</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Increased public environmental awareness and certain mandated state regulations have resulted in increased recycling, composting and waste reduction efforts in many different areas of North America. Such efforts tend to reduce the amount of solid waste directed to landfills and waste-to-energy facilities. Although the Company believes that landfills and waste-to-energy facilities will continue to be the primary depository for solid waste well into the future, there can be no assurance that recycling, composting, and waste reduction efforts will not affect future disposal volumes. The effect, if any, on such volumes could also vary between different geographic regions as well as within individual market areas in each region.</w:t>
      </w:r>
    </w:p>
    <w:p>
      <w:pPr>
        <w:spacing w:after="0" w:line="180"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also encounters intense competition in pricing and rendering of services in its portable sanitation service business, from numerous large and small competitors. In addition, the Company's program and facilities management business encounters intense competition, primarily in pricing, quality and reliability of services, from various sources in all aspects of its business.</w:t>
      </w:r>
    </w:p>
    <w:p>
      <w:pPr>
        <w:spacing w:after="0" w:line="16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In its hazardous waste management operations, the Company encounters competition from a number of sources, including several national or regional firms specializing primarily in hazardous waste management, local waste management concerns and, to a much greater extent, generators of hazardous wastes which seek to reduce the volume of or otherwise process and dispose of such wastes themselves. The basis of competition is primarily technical expertise and the price, quality and reliability of service.</w:t>
      </w:r>
    </w:p>
    <w:p>
      <w:pPr>
        <w:spacing w:after="0" w:line="16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Similarly, WM International encounters intense competition from local companies and governmental entities in particular countries, as well as from major international companies. Pricing, quality of service and</w:t>
      </w: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type of equipment utilized are the primary methods of competition for collection services, and proximity of suitable treatment or disposal facilities, technical expertise, price, quality and reliability of services are the primary methods of competition for treatment and disposal services.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At December 31, 1998, the Company had approximately 68,000 full-time employees, of which approximately 8,900 were employed in clerical, administrative, and sales positions, 2,700 in management, and the balance in collection, disposal, transfer station and other operations. Approximately 19,000 of the Company's employees are covered by collective bargaining agreements. The Company has not experienced a significant work stoppage, and management considers its employee relations to be good.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FINANCIAL ASSURANCE OBLIGATIONS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carries a broad range of insurance coverages, which management considers prudent for the protection of the Company's assets and operations. Some of these coverages are subject to varying retentions of risk by the Company. At December 31, 1998, the casualty coverages included $2,000,000 primary commercial general liability and $1,000,000 primary automobile liability (including coverage for pollution exposures arising out of trucking operations) supported by $400,000,000 in umbrella insurance protection. The property policy provides insurance coverages for all of the Company's real and personal property, including California earthquake perils. The Company also carries $200,000,000 in aircraft liability protection.</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$10,000,000 of coverage per loss with a $20,000,000 aggregate limit.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Through the date of the WM Holdings Merger, certain of WM Holdings' auto,</w:t>
      </w:r>
    </w:p>
    <w:p>
      <w:pPr>
        <w:spacing w:after="0"/>
        <w:rPr>
          <w:sz w:val="20"/>
          <w:szCs w:val="20"/>
          <w:color w:val="auto"/>
        </w:rPr>
      </w:pPr>
      <w:r>
        <w:rPr>
          <w:rFonts w:ascii="Courier New" w:cs="Courier New" w:eastAsia="Courier New" w:hAnsi="Courier New"/>
          <w:sz w:val="15"/>
          <w:szCs w:val="15"/>
          <w:color w:val="auto"/>
        </w:rPr>
        <w:t>general liability and workers compensation risks were self insured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per accident. See Note 17 to the consolidated financial statements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included elsewhere herein.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results of operations or cash flows. Additionally, continued availability of casualty and EIL insurance with sufficient limits at acceptable terms is an important aspect of obtaining revenue-producing waste service contracts. The Company believes these are appropriate levels for its operations and that such levels meet applicable requirements of the various states and countries in which it operates.</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Municipal and governmental waste management contracts typically require performance bonds or bank letters of credit to secure performance. In addition, the Company is required to provide financial assurance for closure and post-closure obligations with respect to its landfills. The Company has not experienced difficulty in obtaining performance bonds or letters of credit for its current operations. As of December 31, 1998, the Company had provided letters of credit of approximately $2,089,100,000 and surety bonds of approximately $521,807,000 to municipalities and other customers and other regulatory authorities supporting tax-exempt bonds, performance of landfill final closure and post-closure requirements, insurance contracts, and other contracts. Continued availability of surety bonds and letters of credit in sufficient amounts at acceptable rates is an important aspect of obtaining additional municipal collection contracts and obtaining or retaining disposal site operating permits.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 Potential Adverse Effect of Government Regulations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principal business activities are subject to extensive and evolving federal, state, local and foreign environmental, health, safety, and transportation laws and regulations. These regulations are administered by the EPA in the U.S., various other federal, state, and local environmental, zoning, health, and safety agencies in the U.S. and elsewhere, including the European Environmental Agency in Europe and various other national agencies outside of Europe. Many of these agencies periodically examine the Company's operations to monitor compliance with such laws and regulations.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Generally, the regulatory process requires the Company, and other companies in the industry, to obtain and retain numerous governmental permits to conduct various aspects of its operations, any of which may be subject to revocation, modification or denial. Particularly, the development, expansion, and operation of landfills and transfer stations are subject to extensive regulations governing siting, design, operations, monitoring, site maintenance, corrective action, financial assurance, and final closure and post-closure obligations. In order to construct, expand, and operate a landfill or transfer station, the Company must obtain and maintain one or more construction or operating permits and licenses and, in certain instances, applicable zoning approvals. Obtaining the necessary permits and approvals in connection with the acquisition, development, or expansion of a landfill or transfer station is difficult, time-consuming (often taking two to three years or more), and expensive, and is frequently opposed by local citizen as well as environmental groups. Once obtained, operating permits are subject to modification and revocation by the issuing agency. Compliance with current and future regulatory requirements may require the Company, as well as others in the waste management industry, from time to time, to make significant capital and operating expenditures.</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collection operations, regulation takes such forms as licensing collection vehicles, health and safety requirements, vehicular weight limitations, and, in certain localities, limitations on weight, area, time, and frequency of collection.</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Federal, state, local and foreign governments have, from time to time, proposed or adopted other types of laws, regulations, or initiatives with respect to the environmental services industry, including laws, regulations, and initiatives to ban or restrict the international, interstate, or intrastate shipment of wastes, impose higher taxes on out-of-state waste shipments than on in-state shipments, limit the types of wastes that may be disposed of at existing landfills, mandate waste minimization initiatives, require recycling and yard waste composting, reclassify certain categories of nonhazardous waste as hazardous, and regulate disposal facilities as public utilities. Congress has from, time to time, considered legislation that would enable or facilitate such bans, restrictions, taxes, and regulations, many of which could adversely affect the demand for the Company's services. Similar types of laws, regulations, and initiatives have also, from time to time, been proposed or adjusted in other jurisdictions in which the Company operates. The effect of these and similar laws could be a reduction of the volume of waste that would otherwise be disposed of in the Company's landfills. The Company makes a continuing effort to anticipate regulatory, political, and legal developments that might affect its operations, but it is not always able to do so. The Company cannot predict the extent to which any legislation or regulation that may be enacted, amended, repealed, reinterpreted, or enforced in the future may affect its operations. Such actions could adversely affect the Company's operations or impact the Company's financial condition or earnings for one or more fiscal quarters or years.</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1997, the EPA began requiring federal, state, or local permitting authorities receiving money from the EPA to consider the discriminatory effects that may result from permit issuances. The EPA will now entertain challenges to any such permits on the grounds that the permitted activities, alone or in conjunction with other permitted activities, subject minority communities to disparate exposure to pollution. The lack of specific standards in the EPA's guidance creates significant uncertainty about the effects any such challenges could have on the Company's ability to obtain or renew necessary permits.</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demand for certain of the services provided by the Company, particularly its hazardous waste management services, is dependent in part on the existence and enforcement of federal, state and foreign laws and regulations which govern the discharge of hazardous substances into the environment and on the funding</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of agencies and programs under such laws and regulations. Such businesses will be adversely affected to the extent that such laws or regulations are amended or repealed, with the effect of reducing the regulation of, or liability for, such activity, that the enforcement of such laws and regulations is lessened or that funding of agencies and programs under such laws and regulations is delayed or reduced. In particular, the EPA continues to consider proposals under RCRA to redefine the term "hazardous waste" for regulatory purposes. Under some such proposals, wastes containing minimal concentrations of hazardous substances would no longer be subject to the stringent record-keeping, handling, treatment and disposal rules applied to hazardous wastes under RCRA. Other EPA proposals would cause certain wastes which presently must be managed in facilities approved under TSCA to be eligible for disposal in facilities not approved under TSCA. These proposals would, if adopted, reduce the volume of wastes for which the Company's hazardous waste management services are needed.</w:t>
      </w:r>
    </w:p>
    <w:p>
      <w:pPr>
        <w:spacing w:after="0" w:line="16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addition to environmental laws and regulations, federal government contractors, including the Company, are subject to extensive regulation under the U.S. Federal Acquisition Regulation and numerous statutes which deal with the accuracy of cost and pricing information furnished to the U.S. government, the allowability of costs charged to the U.S. government, the conditions under which contracts may be modified or terminated, and other similar matters. Various aspects of the Company's operations are subject to audit by agencies of the U.S. government in connection with its performance of work under such contracts as well as its submission of bids or proposals to the U.S. government. Failure to comply with contract provisions or other applicable requirements may result in termination of the contract, the imposition of civil and criminal penalties against the Company, or the suspension or debarment of all or a part of the Company from U.S. government work, which could have a material adverse impact upon the Company's financial condition or earnings for one or more fiscal quarters or years. Among the reasons for debarment are violations of various statutes, including those related to employment practices, the protection of the environment, the accuracy of records and the recording of costs. Other governmental authorities have similar suspension and debarment laws or regulations or regulations which are applicable to their respective jurisdictions.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Governmental authorities have the power to enforce compliance with regulations and permit conditions and to obtain injunctions or impose fines in case of violations. During the ordinary course of its operations, the Company may, from time to time, receive citations or notices from such authorities that a facility is not in full compliance with applicable environmental or health and safety regulations. Upon receipt of such citations or notices, the Company will work with the authorities to address their concerns. Failure to correct the problems to the satisfaction of the authorities could lead to monetary penalties, curtailed operations, jail terms, facility closure, or an inability to obtain permits for additional sites.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a result of changing government and public attitudes in the area of environmental regulation and enforcement, management anticipates that continually changing requirements in health, safety, and environmental protection laws will require the Company and others engaged in the waste management industry to continually modify or replace various facilities and alter methods of operation at costs that may be substantial. The Company's significant expenditures incurred in the operation of its disposal facilities relating to complying with the requirements of laws concerning the environment. These expenditures relate to facility upgrades, corrective actions, and facility final closure and post-closure care. The majority of these expenditures are made in the normal course of the Company's business and neither materially adversely affect the Company's earnings nor place the Company at any competitive disadvantage. Although the Company, to its knowledge, is currently in compliance in all material respects with all applicable federal, state, and local laws, permits, regulations, and orders affecting its operations where noncompliance would result in a material adverse effect on the Company's financial condition, results of operations or cash flows, there is no assurance that the Company will not have to expend substantial amounts for such actions in the future.</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expects to grow in part by acquiring existing landfills, transfer stations, and collection operations. Although the Company conducts due diligence investigations of the past waste management practices of the businesses that it acquires, it can have no assurance that, through its investigation, it will identify all potential environmental problems or risks. As a result, the Company may have acquired, or may in the future acquire, landfills or other properties or businesses that have unknown environmental problems and related liabilities. The Company will be subject to similar risks and uncertainties in connection with the</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acquisition of closed facilities that had been previously operated by businesses acquired by the Company. The Company seeks to mitigate the foregoing risks by obtaining environmental representations and indemnities from the sellers of the businesses that it acquires. However, there can be no assurance that the Company will be able to rely on any such indemnities if an environmental liability exists.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Solid Waste</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Operating permits are generally required at the state and local level for landfills, transfer stations and collection vehicles. Operating permits need to be renewed periodically and may be subject to revocation, modification, denial or non-renewal for various reasons, including failure of the Company to satisfy regulatory concerns. With respect to solid waste collection, regulation takes such forms as licensing of collection vehicles, truck safety requirements, vehicular weight limitations and, in certain localities, limitations on rates, area, time and frequency of collection. With respect to solid waste disposal, regulation covers various matters, including landfill location and design, groundwater monitoring, gas control, liquid runoff and rodent, pest, litter and traffic control. Zoning and land use requirements and limitations are encountered in the solid waste collection, transfer, recycling and energy recovery and disposal phases of the Company's business. In almost all cases the Company is required to obtain conditional use permits or zoning law changes in order to develop transfer station, resource recovery or disposal facilities. In addition, the Company's disposal facilities are subject to water and air pollution laws and regulations. Noise pollution laws and regulations may also affect the Company's operations. Governmental authorities have the power to enforce compliance with these various laws and regulations and violators are subject to injunctions, fines and revocation of permits. Private individuals may also have the right to sue to enforce compliance. Safety standards under the Occupational Safety and Health Act ("OSHA") are also applicable to the Company's solid waste and related services operations.</w:t>
      </w:r>
    </w:p>
    <w:p>
      <w:pPr>
        <w:spacing w:after="0" w:line="34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EPA and various states acting pursuant to EPA-delegated authority have promulgated rules pursuant to RCRA which serve as minimum requirements for land disposal of municipal wastes. The rules establish more stringent requirements than previously applied to the siting, construction, operations, final closure and post-closure monitoring and maintenance of all but the smallest municipal waste landfill facilities. The Company does not believe that continued compliance with the more stringent minimum requirements will have a material adverse effect on the Company's operations. See also "RCRA" and "Superfund" below for additional regulatory information.</w:t>
      </w:r>
    </w:p>
    <w:p>
      <w:pPr>
        <w:spacing w:after="0" w:line="179"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In March 1996, the EPA issued regulations that require large, municipal solid waste landfills to install and monitor systems to collect and control landfill gas. The regulations apply to landfills that are designed to accommodate 2.5 million cubic meters or more of municipal solid waste and that accepted waste for disposal after November 8, 1987, regardless of whether the site is active or closed. The date by which each affected landfill must have such a gas collection and control system depends on whether the landfill began operation before or after May 30, 1991. In the U.S., landfills constructed, reconstructed, modified or first accepting waste after May 30, 1991, generally must have had systems in place by late 1998. Older landfills are generally regulated by states and will be required to have landfill gas systems in place within approximately 30 months of EPA's approval of the state program. Many state solid waste regulations already require collection and control systems. Compliance with the new regulations is not expected to have a material adverse effect on the Company.</w:t>
      </w:r>
    </w:p>
    <w:p>
      <w:pPr>
        <w:spacing w:after="0" w:line="32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Hazardous Waste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required to obtain federal, state, local and foreign governmental permits for its hazardous waste treatment, storage and disposal facilities. Such permits are difficult to obtain, and in most instances, extensive geological studies, tests and public hearings are required before permits may be issued. The Company's hazardous waste treatment, storage and disposal facilities are also subject to siting, zoning and land use restrictions, as well as to regulations (including certain requirements pursuant to federal statutes) which may govern operating procedures and water and air pollution, among other matters. In particular, the Company's operations in the U.S. are subject to the Safe Drinking Water Act (which regulates deep well injection), TSCA (pursuant to which the EPA has promulgated regulations concerning the disposal of</w:t>
      </w:r>
    </w:p>
    <w:p>
      <w:pPr>
        <w:spacing w:after="0" w:line="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polychlorinated biphenyls ("PCBs")), the Clean Water Act (which regulates the discharge of pollutants into surface waters and sewers by municipal, industrial and other sources) and the Clean Air Act (which regulates emissions into the air of certain potentially harmful substances). In transportation operations, the Company is subject to the jurisdiction of the Interstate Commerce Commission and regulated by the DOT and by regulatory agencies in each state. Employee safety and health standards under OSHA are also applicable.</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All of the Company's hazardous waste treatment, storage or disposal facilities in the U.S. have been issued permits under RCRA. The regulations governing issuance of permits contain detailed standards for hazardous waste facilities on matters such as construction, waste analysis, security, inspections, training, preparedness and prevention, emergency procedures, reporting and recordkeeping, final closure and post-closure monitoring and maintenance. Once issued, a final permit has a maximum fixed term of ten years, and such permits for land disposal facilities are required to be reviewed five years from the date of issuance. The issuing agency (either the EPA or an authorized state) may review or modify a permit at any time during its term.</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it maintains each of its operating treatment, storage or disposal facilities in substantial compliance with the applicable requirements promulgated pursuant to RCRA. It is possible, however, that the issuance or renewal of a permit could be made conditional upon the initiation or completion of modifications or corrective actions at facilities, which might involve substantial additional capital expenditures. Although the Company anticipates the reauthorization of each permit at the end of its term if the facility's operations are in compliance with applicable requirements, there can be no assurance that such will be the case.</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radioactive waste services of Chem-Nuclear are also subject to extensive governmental regulation. Due to the extensive geological and hydrogeological testing and environmental data required, and the complex political environment, it is difficult to obtain permits for radioactive waste disposal facilities. Various phases of Chem-Nuclear's low-level radioactive waste management services are regulated by various state agencies, the U.S. Nuclear Regulatory Commission (the "NRC") and the DOT. Regulations applicable to Chem-Nuclear's operations include those dealing with packaging, handling, labeling and routing of radioactive materials, and prescribe detailed safety and equipment standards and requirements for training, quality control and insurance, among other matters. Employee safety and health standards under OSHA are also applicable.</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Waste-to-Energy and Related Services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The Company provides waste-to-energy and related services through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wholly-owned subsidiary WTI, which is now managed as part of the North American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solid waste management service operations. WTI's business activities are subject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environmental regulation under federal, state and local laws and regulations.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regulations include the Clean Air Act, the Clean Water Act and RCRA. The</w:t>
      </w:r>
    </w:p>
    <w:p>
      <w:pPr>
        <w:spacing w:after="0"/>
        <w:rPr>
          <w:sz w:val="20"/>
          <w:szCs w:val="20"/>
          <w:color w:val="auto"/>
        </w:rPr>
      </w:pPr>
      <w:r>
        <w:rPr>
          <w:rFonts w:ascii="Courier New" w:cs="Courier New" w:eastAsia="Courier New" w:hAnsi="Courier New"/>
          <w:sz w:val="15"/>
          <w:szCs w:val="15"/>
          <w:color w:val="auto"/>
        </w:rPr>
        <w:t>Company believes that this business is conducted in material compliance with</w:t>
      </w:r>
    </w:p>
    <w:p>
      <w:pPr>
        <w:spacing w:after="0"/>
        <w:rPr>
          <w:sz w:val="20"/>
          <w:szCs w:val="20"/>
          <w:color w:val="auto"/>
        </w:rPr>
      </w:pPr>
      <w:r>
        <w:rPr>
          <w:rFonts w:ascii="Courier New" w:cs="Courier New" w:eastAsia="Courier New" w:hAnsi="Courier New"/>
          <w:sz w:val="15"/>
          <w:szCs w:val="15"/>
          <w:color w:val="auto"/>
        </w:rPr>
        <w:t>applicable laws and regulations. There can be no assurance, however, that such</w:t>
      </w:r>
    </w:p>
    <w:p>
      <w:pPr>
        <w:spacing w:after="0" w:line="238" w:lineRule="auto"/>
        <w:rPr>
          <w:sz w:val="20"/>
          <w:szCs w:val="20"/>
          <w:color w:val="auto"/>
        </w:rPr>
      </w:pPr>
      <w:r>
        <w:rPr>
          <w:rFonts w:ascii="Courier New" w:cs="Courier New" w:eastAsia="Courier New" w:hAnsi="Courier New"/>
          <w:sz w:val="15"/>
          <w:szCs w:val="15"/>
          <w:color w:val="auto"/>
        </w:rPr>
        <w:t>requirements will not change to the extent that it would materially affect the</w:t>
      </w:r>
    </w:p>
    <w:p>
      <w:pPr>
        <w:spacing w:after="0"/>
        <w:rPr>
          <w:sz w:val="20"/>
          <w:szCs w:val="20"/>
          <w:color w:val="auto"/>
        </w:rPr>
      </w:pPr>
      <w:r>
        <w:rPr>
          <w:rFonts w:ascii="Courier New" w:cs="Courier New" w:eastAsia="Courier New" w:hAnsi="Courier New"/>
          <w:sz w:val="15"/>
          <w:szCs w:val="15"/>
          <w:color w:val="auto"/>
        </w:rPr>
        <w:t>Company's consolidated financial statements. The Company believes that the air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pollution control systems at certain waste-to-energy facilities owned or leased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use in these operations most likely will be required to be modified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comply with more stringent air pollution control standards adopted by the EPA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1995 for large municipal waste combusters. The compliance dates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vary by facility, but all affected facilities most likely will be required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compliance with the standards by the end of the year 2000. Currently</w:t>
      </w:r>
    </w:p>
    <w:p>
      <w:pPr>
        <w:spacing w:after="0"/>
        <w:rPr>
          <w:sz w:val="20"/>
          <w:szCs w:val="20"/>
          <w:color w:val="auto"/>
        </w:rPr>
      </w:pPr>
      <w:r>
        <w:rPr>
          <w:rFonts w:ascii="Courier New" w:cs="Courier New" w:eastAsia="Courier New" w:hAnsi="Courier New"/>
          <w:sz w:val="15"/>
          <w:szCs w:val="15"/>
          <w:color w:val="auto"/>
        </w:rPr>
        <w:t>available technologies are adequate to meet the new standards. Although the</w:t>
      </w:r>
    </w:p>
    <w:p>
      <w:pPr>
        <w:spacing w:after="0"/>
        <w:rPr>
          <w:sz w:val="20"/>
          <w:szCs w:val="20"/>
          <w:color w:val="auto"/>
        </w:rPr>
      </w:pPr>
      <w:r>
        <w:rPr>
          <w:rFonts w:ascii="Courier New" w:cs="Courier New" w:eastAsia="Courier New" w:hAnsi="Courier New"/>
          <w:sz w:val="15"/>
          <w:szCs w:val="15"/>
          <w:color w:val="auto"/>
        </w:rPr>
        <w:t>total expenditures required for such modifications are approximately</w:t>
      </w:r>
    </w:p>
    <w:p>
      <w:pPr>
        <w:spacing w:after="0" w:line="238" w:lineRule="auto"/>
        <w:rPr>
          <w:sz w:val="20"/>
          <w:szCs w:val="20"/>
          <w:color w:val="auto"/>
        </w:rPr>
      </w:pPr>
      <w:r>
        <w:rPr>
          <w:rFonts w:ascii="Courier New" w:cs="Courier New" w:eastAsia="Courier New" w:hAnsi="Courier New"/>
          <w:sz w:val="15"/>
          <w:szCs w:val="15"/>
          <w:color w:val="auto"/>
        </w:rPr>
        <w:t>$200,000,000, they are not expected to have a material adverse effect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liquidity or results of operations because provisions in the impacted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long-term waste supply agreements generally allow the Company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 from customers the majority of incremental capital and operating costs.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customer's share of capital and financing costs is typically recovered over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life of the waste supply agreements, and pro rata operating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recovered in the period incurred. There can be no assurance, however,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will be able to recover, for each project, all such increased costs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customers. Moreover, it is possible that future developments, such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increasingly strict requirements of environmental laws, and enforcement policies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thereunder, could affect the manner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which the Company operates its waste-to-energy projects and conducts its business, including the handling, processing or disposal of the wastes, by-products and residues generated thereby.</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Also, in May 1994, the U.S. Supreme Court ruled that state and local governments may not constitutionally restrict the free movement of waste in interstate commerce through the use of flow control laws. Such laws typically involve a local government specifying a jurisdictional disposal site for all solid waste generated within its borders. Since the ruling, several decisions of state or federal courts have invalidated regulatory flow control schemes in a number of jurisdictions. Other judicial decisions have upheld non-regulatory means by which municipalities may effectively control the flow of municipal solid waste. In addition, federal legislation has been proposed, but not yet enacted, to effectively grandfather existing flow control mandates. There can be no assurance that such alternatives to regulatory flow control will in every case be found lawful or that such legislation will be enacted into law. However, the Supreme Court's 1994 ruling and subsequent court decisions have not to date had a material adverse effect on any of the Company's waste-to-energy operations. In the event that such legislation is not adopted, the Company believes that affected municipalities will endeavor to implement alternative lawful means to continue controlling the flow of waste. In view of the uncertain state of the law at this time, however, the Company is unable to predict whether such efforts would be successful or what impact, if any, this matter might have on the Company's waste-to-energy facilities.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Company's Gloucester County, New Jersey waste-to-energy facility historically relied on a disposal franchise for substantially all of its supply of municipal solid waste. On May 1, 1997, the Third Circuit Court of Appeals (the "Third Circuit") permanently enjoined the State of New Jersey from enforcing its franchise system as a form of unconditional solid waste flow control, but stayed the injunction for so long as any appeals were pending. On November 10, 1997, the U.S. Supreme Court announced its decision not to review the Third Circuit decision, thereby ending the stay and, effectively, the facility's disposal franchise. In response, the Gloucester facility lowered its prices. In early 1999, the Company entered into an agreement pursuant to which the Company will operate the Gloucester facility and provide disposal services under a new service agreement for the next ten years. As part of the agreement, Gloucester County has agreed to cooperate in a refinancing of the existing project debt. The refinancing, which is expected to close in the second quarter of 1999, will settle all disputes and release the existing letters of credit. As a result of the agreement and refinancing, the Company expects the Gloucester project to operate profitably, albeit at reduced levels, in the absence of regulatory control.</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Company's energy facilities in the U.S. are also subject to the provisions of various energy-related laws and regulations, including the Public Utility Regulatory Policies Act of 1978 ("PURPA"). The ability of the Company's waste-to-energy and small power production facilities to sell power to electric utilities on advantageous terms and conditions and to avoid burdensome public utility regulation has historically depended, in part, upon the applicability of certain provisions of PURPA, which generally exempts the Company from state and federal regulatory control over electricity prices charged by, and the finances of, the Company and its energy-producing subsidiaries. As state legislatures and the U.S. Congress have accelerated their consideration of the manner in which economic efficiencies can be gained by deregulating the electric generation industry, utilities and others have taken the position that power sales agreements entered into pursuant to PURPA which provide for rates in excess of current market rates should be voidable as "stranded assets." The Company's power production facilities are qualifying facilities under PURPA and depend on the sanctity of their power sales agreements for their economic viability. Although a repeal or modification of PURPA is possible within the next two years, the Company believes that federal law offers strong protection to the PURPA contracts and recent state and federal agency and court decisions have unanimously upheld the inviolate nature of these contracts. In addition, state legislative actions to date have not attempted to abrogate these contracts. While there is some risk that future utility restructurings, court decisions and/or legislative or administrative action in this area could have an adverse effect on the business of the Company, in light of recent developments, the Company currently believes such risk is remote. In addition, the passage of the Energy Policy Act of 1992 created an alternative ownership mechanism by which the Company's future independent power projects would be able to participate in the electricity generation industry without the burdens of traditional public utility regulation. For those reasons, the operations of existing waste-to-energy</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and other small power production facilities business are not currently expected to be materially and adversely affected if the various benefits of PURPA are repealed or substantially reduced on a prospective basis. However, the Company can give no assurances that future utility restructurings, court decisions or legislative or administrative action in this area will not have a material adverse impact on its consolidated financial statements.</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RCRA</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Pursuant to RCRA, the EPA has established and administers a comprehensive, "cradle-to-grave" system for the management of a wide range of industrial by-products and residues identified as "hazardous" wastes. States that have adopted hazardous waste management programs with standards at least as stringent as those promulgated by the EPA may be authorized by the EPA to administer their programs in lieu of RCRA.</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Under RCRA and federal transportation laws, a transporter must deliver hazardous waste in accordance with a manifest prepared by the generator of the waste and only to a treatment, storage or disposal facility having a RCRA permit or interim status under RCRA. Every facility that treats or disposes of hazardous wastes must obtain a RCRA permit from the EPA or an authorized state and must comply with certain operating standards. The RCRA permitting process involves applying for interim status and also for a final permit. Under RCRA and the implementing regulations, facilities which have obtained interim status are allowed to continue operating by complying with certain minimum standards pending issuance of a permit.</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RCRA also imposes restrictions on land disposal of certain hazardous wastes and prescribes standards for hazardous waste land disposal facilities. Under RCRA, land disposal of certain types of untreated hazardous wastes has been banned except where the EPA has determined that land disposal of such wastes and treatment residuals should be permitted. The disposal of liquids in hazardous waste land disposal facilities is also prohibited.</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EPA, from time to time, considers fundamental changes to its regulations under RCRA that could facilitate exemptions from hazardous waste management requirements, including policies and regulations that could implement the following changes: redefine the criteria for determining whether wastes are hazardous; prescribe treatment levels which, if achieved, could render wastes nonhazardous; encourage further recycling and waste immunization; reduce treatment requirements for certain wastes to encourage alternatives to incineration; establish new operating standards for combustion technologies; and indirectly encourage on-site remediation. To the extent such changes are adopted, they can be expected to adversely affect the demand for the Company's hazardous waste management services. In this regard, the EPA has recently proposed regulations which would have the effect of reducing the volume of waste classified as hazardous for RCRA regulatory purposes.</w:t>
      </w:r>
    </w:p>
    <w:p>
      <w:pPr>
        <w:spacing w:after="0" w:line="183" w:lineRule="exact"/>
        <w:rPr>
          <w:sz w:val="20"/>
          <w:szCs w:val="20"/>
          <w:color w:val="auto"/>
        </w:rPr>
      </w:pPr>
    </w:p>
    <w:p>
      <w:pPr>
        <w:ind w:right="3259" w:firstLine="441"/>
        <w:spacing w:after="0" w:line="239" w:lineRule="auto"/>
        <w:rPr>
          <w:sz w:val="20"/>
          <w:szCs w:val="20"/>
          <w:color w:val="auto"/>
        </w:rPr>
      </w:pPr>
      <w:r>
        <w:rPr>
          <w:rFonts w:ascii="Courier New" w:cs="Courier New" w:eastAsia="Courier New" w:hAnsi="Courier New"/>
          <w:sz w:val="15"/>
          <w:szCs w:val="15"/>
          <w:color w:val="auto"/>
        </w:rPr>
        <w:t>In addition to the foregoing provisions, RCRA regulations require the Company to demonstrate financial responsibility for possible bodily injury and property damage to third parties caused by both sudden and nonsudden accidental occurrences. See "-- Insurance and Financial Insurance Obligations." Also, RCRA regulations require the Company to provide financial assurance that funds will be available when needed for closure and post-closure care at its waste treatment, storage and disposal facilities, the costs of which could be substantial. Such regulations allow the financial assurance requirements to be satisfied by various means, including letters of credit, surety bonds, trust funds, a financial (net worth) test and a guarantee by a parent corporation. Under RCRA regulations, a company must pay the closure costs for a waste treatment, storage or disposal facility owned by it upon the closure of the facility and thereafter pay post-closure care costs. If such a facility is closed prior to its originally anticipated time, it is unlikely that sufficient funds or reserves will have been accrued over the life of the facility to provide for such costs, and the owner of the facility could suffer a material adverse impact as a result. Consequently, it may be difficult to close such facilities to reduce operating costs at times when, as is currently the case in the hazardous waste services industry, excess treatment, storage or disposal capacity exists.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Superfund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Among other things, Superfund generally provides for the remediation of sites from which there has been a release or threatened release of a hazardous substance into the environment. Superfund imposes joint and several liability for the costs of remediation and for damages to natural resources upon the present and former owners or operators of facilities or sites from which there is a release or threatened release of hazardous substances. Waste generators and waste transporters are also strictly liable. Under the authority of CERCLA, detailed requirements apply to the manner and degree of remediation of facilities and sites where hazardous substances have been or are threatened to be released into the environment.</w:t>
      </w:r>
    </w:p>
    <w:p>
      <w:pPr>
        <w:spacing w:after="0" w:line="180"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Liability under CERCLA is not dependent upon the intentional disposal of "hazardous wastes," as defined under RCRA. It can be founded upon a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remediation. The EPA's primary way of determining whether a site is to be included on the NPL is the Hazard Ranking System, which evaluates the relative potential for a release of hazardous substances to pose a threat to human health or the environment pursuant to a scoring system based on factors grouped into three categories: (1) likelihood of release, (2) hazardous substance characteristics, and (3) receptors. As of February 1999, the EPA had proposed or identified approximately 10,000 sites for preliminary assessment. These sites are compiled on the Comprehensive Environmental Response, Compensation, and Liability Information System ("CERCLIS") list. The identification of a site on the CERCLIS list indicates only that the site has been brought to the attention of the EPA and will undergo an assessment of environmental conditions thereon, but it does not necessarily mean that an actual health or environmental threat currently exists or has ever existed.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More than 23% of the sites on the NPL are solid waste landfills. Thus, even if the Company's landfills have never received "hazardous wastes" as such, one or more hazardous substances may have come to be located at its landfills. Because of the extremely broad definition of "hazardous substances," the same is true of other industrial properties with which the Company or its predecessors has been, or with which the Company may become, associated as an owner or operator. Consequently, if there is a release or threatened release of such substances into the environment from a site currently or previously owned or operated by the Company, the Company could be liable under CERCLA for the cost of removing such hazardous substances at the site, remediation of contaminated soil or groundwater, and for damages to natural resources, even if those substances were deposited at the Company's facilities before the Company acquired or operated them. Given the limited amount of EIL insurance maintained by the Company as compared to the substantial cost of a CERCLA cleanup, a finding of such liability could have a material adverse impact on the Company's business and financial condition. See "-- Insurance and Financial Assurance Obligations."</w:t>
      </w:r>
    </w:p>
    <w:p>
      <w:pPr>
        <w:spacing w:after="0" w:line="18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Under CERCLA, the Company may not be liable for the remediation of a disposal site that was never owned or operated by the Company ("third party site") containing hazardous substances transported to such site by the Company if the site was selected by the generator of the hazardous substance. However, the Company would be responsible for any hazardous substances during actual transportation. Also, the Company could be liable under CERCLA for environmental contamination caused by the release of hazardous substances transported by the Company where the Company selected the disposal site. CERCLA imposes liability for certain environmental response measures upon transporters who selected the disposal site at which a release or threatened release of hazardous substances occurs. It therefore is common in the solid waste transport business to receive information requests from the EPA about transporting activities to disposal sites. The Company has received information requests regarding transporting activities to its own disposal sites as well as third party sites. The environmental agencies or other potentially responsible parties could assert that the Company is liable for environmental response measures arising out of disposal at a third party site that was selected by the Company, a waste transporter acquired by the Company, or a waste transporter with whom the Company contracted.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Several bills have been introduced in the U.S. Congress to reauthorize and substantially amend CERCLA. In addition to possible changes in the statute's funding mechanisms and provisions for allocating cleanup responsibility, Congress may also fundamentally alter the statute's provisions governing the selection of appropriate site remedial action. In this regard, new approaches to cleanup, removal, treatment, and remediation of hazardous substance releases may be adopted which rely on nationally or site-specific risk based standards. These types of policy changes could significantly affect the stringency and extent of site remediation, the types of remediation techniques employed, and the types of waste management facilities that may be used for the treatment and disposal of hazardous substances. Congress may additionally consider revision of the liability imposed by CERCLA on current owners of property for contamination caused prior to a party's acquisition of a site. This consideration could potentially reduce responsibility for remediation obligations under CERCLA that the Company could otherwise incur.</w:t>
      </w:r>
    </w:p>
    <w:p>
      <w:pPr>
        <w:spacing w:after="0" w:line="17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International Waste Management and Related Services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Company's international operations, which are conducted through WM International, are subject to the general business, liability, land-use planning and other environmental laws and regulations of the countries where the services are performed and, in Europe, to European Union ("EU") regulations and directives. The degree of local enforcement of applicable laws and regulations varies substantially between, and even within, the various countries in which WM International operates. In addition to the statutes and regulations imposed by national, state or provincial, and municipal or other local authorities, many of the countries in which WM International operates are members of the EU. The EU has issued and continues to issue environmental directives and regulations covering a broad range of environmental matters and has created a European Environmental Agency responsible for monitoring and collating member state environmental data. The Single European Act, passed in 1987, established three fundamental principles to guide the development of future EU environmental law:</w:t>
      </w:r>
    </w:p>
    <w:p>
      <w:pPr>
        <w:spacing w:after="0" w:line="5" w:lineRule="exact"/>
        <w:rPr>
          <w:sz w:val="20"/>
          <w:szCs w:val="20"/>
          <w:color w:val="auto"/>
        </w:rPr>
      </w:pPr>
    </w:p>
    <w:p>
      <w:pPr>
        <w:ind w:left="10" w:right="3539" w:hanging="10"/>
        <w:spacing w:after="0" w:line="237" w:lineRule="auto"/>
        <w:tabs>
          <w:tab w:leader="none" w:pos="36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for preventative action; (ii) the correction of environmental problems at the source; and (iii) the polluter's liability for environmental damage.</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Treaty on European Union, signed in December 1991, came into force in November 1993. Revised in Amsterdam in June 1997, the Treaty now regards "sustainable development" as a key component of EU policy-making and requires that environmental protection be integrated into the definition and application of all EU laws.</w:t>
      </w:r>
    </w:p>
    <w:p>
      <w:pPr>
        <w:spacing w:after="0" w:line="178"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impact of current and future EU legislation will vary from country to country according to the degree to which existing national requirements already meet or fall short of the new EU standards and, in some jurisdictions, may require extensive public and private sector investment and the development and provision of the necessary technology, expertise, administrative procedures and regulatory structures. These extensive laws and regulations are continually evolving in response to technological advances and heightened public and political concern.</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Outside Europe, continuing industrialization, population expansion and urbanization have caused increased levels of pollution with all of the resultant social and economic implications. The desire to sustain economic growth and address historical pollution problems is being accompanied by investments in environmental infrastructure and the introduction of regulatory standards to further control industrial activities.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WM International's business is conducted in material compliance with applicable laws and regulations and does not anticipate that maintaining such compliance will adversely affect the Company's consolidated financial statements or operations. There can be no assurance, however, that such requirements will not change so as to require significant additional expenditures or operating costs.</w:t>
      </w:r>
    </w:p>
    <w:p>
      <w:pPr>
        <w:spacing w:after="0" w:line="170"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State and Local Regulation</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states in which the Company operates have their own laws and regulations that may be more strict than comparable federal laws and regulations governing hazardous and nonhazardous solid waste disposal, water and air pollution, releases and cleanup of hazardous substances and liability for such matters. The states also have adopted regulations governing the siting, design, operation, maintenance, final closure, and post-closure maintenance of landfills and transfer stations. The Company's facilities and operations are likely to be</w:t>
      </w:r>
    </w:p>
    <w:p>
      <w:pPr>
        <w:ind w:left="3430"/>
        <w:spacing w:after="0" w:line="235" w:lineRule="auto"/>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subject to many, if not all, of these types of requirements. In addition, the Company's collection and landfill operations may be affected by the trend in many states toward requiring the development of waste reduction and recycling programs. For example, several states have enacted laws that require counties to adopt comprehensive plans to reduce, through waste planning, composting, recycling, or other programs, the volume of solid waste deposited in landfills. Additionally, the disposal of yard waste in solid waste landfills has been banned in several states. Legislative and regulatory measures to mandate or encourage waste reduction at the source and waste recycling have also been considered from time to time by the U.S. Congress and the EPA.</w:t>
      </w:r>
    </w:p>
    <w:p>
      <w:pPr>
        <w:spacing w:after="0" w:line="180"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Various states have enacted, or are considering enacting, laws that restrict the disposal within the state of hazardous and nonhazardous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disposal sites. In May 1994, the U.S. Supreme Court ruled that a flow control ordinance was unconstitutional. Recently, lower courts have refused to overturn locally enacted ordinances which effectively circumvent the Supreme Court's ruling. Whether these laws will survive the appellate process is uncertain. From time to time, the U.S. Congress has considered legislation authorizing states to adopt regulations, restrictions, or taxes on the importation of extraterritorial waste, and granting states and local governments authority to enact partial flow control legislation. To date, such congressional efforts have been unsuccessful. The U.S. Congress' adoption of such legislation allowing for restrictions on importation of extraterritorial waste or certain types of flow control, or the adoption of legislation affecting interstate transportation of waste at the federal or state level, could adversely affect the Company's solid waste management services, including collection, transfer, disposal, and recycling operations, and in particular the Company's ability to expand landfill operations acquired in certain areas.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Many states and local jurisdictions in which the Company operates have enacted "fitness" laws that allow agencies having jurisdiction over waste services contracts or permits to deny or revoke such contracts or permits on the basis of an applicant's (or permit holder's) compliance history. These laws authorize the agencies to make determinations of an applicant's fitness to be awarded a contract or to operate and to deny or revoke a contract or permit because of unfitness absent a showing that the applicant has been rehabilitated through the adoption of various operating policies and procedures put in place to assure future compliance with applicable laws and regulations.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INFLUENCING FUTURE RESULTS AND ACCURACY OF FORWARD-LOOKING STATEMENTS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the normal course of its business, the Company, in an effort to help keep its stockholders and the public informed about the Company's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the Company, or projections involving anticipated revenues, earnings, or other aspects of operating results. The words "may," "expect," "believe," "anticipate," "project," "estimate," their opposites and similar expressions are intended to identify forward-looking statements. The Company cautions readers that such statements are not guarantees of future performance or events and are subject to a number of factors that may tend to influence the accuracy of the statements and the projections upon which the statements are based, including but not limited to those discussed below. As noted elsewhere in this report, all phases of the Company's operations are subject to a number of uncertainties, risks, and other influences, many of which are outside the control of the Company, and any one of which, or a combination of which, could materially affect the Company's consolidated financial statements and operations and whether forward-looking statements made by the Company ultimately prove to be accurate.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following discussion outlines certain factors that could affect the Company's consolidated financial statements for 1999 and beyond and cause them to differ materially from those that may be set forth in forward-looking statements made by or on behalf of the Company: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Potential Difficulties in Continuing to Expand and Manage Growth</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future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the Company to achieve administrative cost savings, rationalization of collection routes, insurance and bonding cost reductions, general economies of scale, and the ability of the Company, generally, to capitalize on its asset base and strategic position. Moreover, the ability of the Company to continue to grow will depend on a number of factors, including competition from other waste management companies, availability of attractive acquisition opportunities and the ability to mitigate anti-trust concerns related to acquisitions in several markets, availability of working capital, ability to maintain margins on existing or acquired operations, and the management of costs in a changing regulatory environment. There can be no assurance that the Company will be able to continue to expand and successfully manage its growth or that the pace of its growth will not adversely affect its existing or acquired operations.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Potential Risks of Acquisition Strategy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regularly pursues opportunities to expand through the acquisition of additional waste management businesses and operations that can be effectively integrated with the Company's existing operations. In addition, the Company regularly pursues mergers and acquisition transactions, some of which are significant, in new markets where the Company believes that it can successfully become a provider of integrated waste management services. As one of the leading industry consolidators, the Company could announce transactions with either publicly or privately owned businesses at any time.</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acquisition strategy involves certain potential risks. These include the risk that the Company may not accurately assess all of the pre-existing liabilities of acquired companies and that the Company may encounter unexpected difficulties in successfully integrating the operations of acquired companies with the Company's existing operations. Although the Company generally has been successful in implementing its acquisition strategy, there can be no assurance that attractive acquisition opportunities will continue to be available to the Company,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Operations in foreign countries generally are subject to a number of risks inherent in any business operating in foreign countries, including political, social, economic instability, and inflation, general strikes, nationalization of assets, currency restrictions and exchange rate fluctuations, nullification, modification or renegotiation of contracts, and governmental regulation, all of which are beyond the control of the Company. No prediction can be made as to how existing or future foreign governmental regulations in any jurisdiction may affect the Company in particular or the waste management industry in general.</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Capital Requirements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expects to generate sufficient cash flow from its operations in 1999 to cover its anticipated cash needs for capital expenditures and acquisitions. If the Company's cash flow from operations during 1999 is less than currently expected, or if the Company's capital requirements increase, either due to strategic decisions or otherwise, the Company may elect to incur future indebtedness or issue equity securities to cover any additional capital needs. However, there can be no assurance that the Company will be successful in</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obtaining additional capital on acceptable terms through such debt incurrences or issuances of additional equity securities. Additionally, there can be no assurances that the Company will be successful in renewing its existing credit facility, which must be renewed annually, or that any such renewal will be on terms acceptable to the Company. Any failure by the Company to successfully renew its existing credit facility, or to obtain other financing sources could have a material adverse effect on the Company's consolidated financial statements. See Note 5 to the consolidated financial statements included elsewhere herein.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historically used variable rate debt under revolving bank credit arrangements as one method of financing its rapid growth. Although recent financings by the Company have reduced the amount of variable rate debt as a percentage of total indebtedness outstanding, the Company intends to continue to use variable rate debt as a financing alternative. To the extent that variable interest rates tend to fluctuate as general interest rates change, an increase in interest rates could have a material adverse effect on the Company's earnings in the future.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Effect of Competition on Profitability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waste management industry is highly competitive. In North America, the industry consists of several large national waste management companies, and numerous local and regional companies of varying sizes and financial resources. The Company competes with numerous waste management companies, and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Although the Company is a leading provider of waste management and related services outside of North America, the Company does not believe that any non-governmental entity accounts for a material portion of the very decentralized, highly fragmented international market. In some markets, however, the Company competes with substantial companies which hold significant market shares, particularly in Finland, Germany, the Netherlands, Sweden and the United Kingdom. The international waste management and related services industry is highly competitive and certain aspects require substantial human and capital resources. The Company encounters intense competition from governmental, quasi-governmental and private sources in all aspects of its international operations.</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Some competitors of the Company in its international operations may have greater financial resources and may have greater technical resources with respect to specific matters. Particularly with respect to larger contracts, such as for city-cleaning services, contracts or bids with respect to the construction or development of water and wastewater facilities, or permitting and development of a new treatment facility, waste-to-energy facility, incinerator or landfill, the Company may be required to commit substantial resources over a long period of time during the proposal phase without any assurance of successfully obtaining the contract.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Capitalized Expenditures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accordance with generally accepted accounting principles, the Company capitalizes certain expenditures and advances relating to acquisitions, pending acquisitions, and disposal site development and expansion projects. The Company expenses indirect acquisition costs, such as executive salaries, general corporate overhead, public affairs and other corporate services, as incurred. The Company's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the Company estimates will be recoverable, through sale or otherwise. In future periods, the Company may be required to incur a charge against earnings in accordance with such policy. Depending on the magnitude of any such charge, it could have a material adverse effect on the Company's consolidated financial statements.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Restrictions and Costs Associated with Government Regulation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operations are substantially affected by stringent government regulations at the federal, state and local level in the U.S. and in other countries. These laws, rules, orders and interpretations govern environmental protection, health and safety, land use, zoning, and other matters. They may impose restrictions on operations that could adversely affect the Company's results of operations and financial condition, such as limitations on the expansion of waste disposal, transfer or processing facilities, limitations or bans on disposal of out-of-state waste or certain categories of waste, or mandates regarding the disposal of solid waste. In order to develop, expand or operate a landfill or other waste management facility, the Company must obtain and maintain in effect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the Company's ability to change the facility.</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There can be no assurance that the Company will be successful in obtaining and maintaining in effect permits and approvals required for the successful operation and growth of its business, including permits and approvals for the development of additional disposal capacity needed to replace existing capacity that is exhausted. The siting, design, operation and closure of landfills are also subject to extensive regulations. These regulations could also require the Company to undertake investigatory or remedial activities, to curtail operations or to close a landfill temporarily or permanently. Future changes in these regulations may require the Company to modify, supplement, or replace equipment or facilities at costs which could be substantial.</w:t>
      </w:r>
    </w:p>
    <w:p>
      <w:pPr>
        <w:spacing w:after="0" w:line="16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In the U.S., court decisions have ruled that state and local governments may not use regulatory flow control laws constitutionally to restrict the free movement of waste in interstate commerce. The Company cannot predict what impact, if any, these decisions will have on its disposal facilities.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Potential Environmental Liability and Insurance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could be liable if its disposal facilities and collection operations cause environmental damage to the Company's properties or to nearby landowners, particularly as a result of the contamination of drinking water sources or soil, including damage resulting from conditions existing prior to the acquisition of such assets or operations. Also, the Company could be liable for any off-site environmental contamination caused by hazardous substances, the transportation, disposal or treatment of which was arranged for by the Company or predecessor owners where the Company is liable as a successor to such prior owners. Any substantial liability for environmental damage could materially adversely affect the operating results and financial condition of the Company.</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the ordinary course of its business, the Company may become involved in a variety of legal and administrative proceedings relating to land use and environmental laws and regulations. These may include proceedings by foreign, federal, state or local agencies seeking to impose civil or criminal penalties on the Company for violations of such laws and regulations, or to impose liability on the Company under applicable statutes, or to revoke or deny renewal of a permit; actions brought by citizens groups, adjacent landowners or governmental agencies opposing the issuance of a permit or approval to the Company or alleging violations of the permits pursuant to which the Company operates or laws or regulations to which the Company is subject; and actions seeking to impose liability on the Company for any environmental damage at its owned or operated facilities (or at facilities formerly owned by the Company or its predecessors or facilities at which the Company or its predecessors arranged for the disposal of hazardous substances) or damage that those facilities or other properties may have caused to adjacent landowners or others, including groundwater or soil contamination. The adverse outcome of one or more of these proceedings could have a material adverse effect on the Company's financial position, results of operations or cash flows.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the ordinary course of operations, the Company has from time to time received, and expects that it may in the future from time to time receive, citations or notices from governmental authorities that its operations are not in compliance with its permits or certain applicable environmental or land use laws and regulations. The Company generally seeks to work with the authorities to resolve the issues raised by such</w:t>
      </w: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citations or notices. There can be no assurance, however, that the Company will always be successful in this regard or that such future citations or notices will not have a materially adverse effect on the Company's financial position, results of operations or cash flows.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insurance for environmental liability meets or exceeds statutory requirements. However, because the Company believes that the cost for such insurance is high relative to the coverage it would provide, such coverages are generally maintained at statutorily required levels. Due to the limited nature of such insurance coverage for environmental liability, if the Company were to incur liability for environmental damage, such liability could have a material adverse effect on the Company's financial position, results of operations or cash flows.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Alternatives to Landfill Disposal and Waste-to-Energy Facilities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Alternatives to disposal, such as recycling and composting, are increasingly being used. There also has been an increasing trend to mandate recycling and waste reduction at the source and to prohibit the disposal of certain types of wastes, such as yard wastes, at landfills or waste-to-energy facilities. These developments could reduce the volume of waste going to landfills and waste-to-energy facilities in certain areas, which may affect the Company's ability to operate its landfills and waste-to-energy facilities at full capacity, and the prices that can be charged for landfill disposal and waste-to-energy services.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Dependence on Key Personnel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business is partially dependent upon the performance of certain of its executive officers. The Company is particularly dependent upon John E. Drury, Chief Executive Officer of the Company, because of his knowledge of the Company's operations as well as his industry experience. The Company has entered into employment agreements with its executive officers. Notwithstanding such agreements, there can be no assurance that the Company will be able to retain such officers or that it will be able to enforce non-compete provisions that are contained in such agreements in the event of their departure. The loss of the services of the Company's management could have a material adverse effect upon the Company. The Company is in the process of establishing a formalized management succession plan to prepare itself in the event of an unexpected departure.</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Recyclable Materials Price Fluctuations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Recyclable materials processed by the Company for sale include paper, plastics, aluminum and other commodities which are subject to significant price fluctuations. These fluctuations will affect the Company's future operating revenues and income.</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Matters Related to WM Holdings Accounting Practices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U.S. Securities and Exchange Commission has commenced a formal investigation with respect to WM Holdings' previously filed financial statements (which were subsequently restated) and the related accounting policies, procedures and system of internal controls. The Company is fully cooperating with such investigations. Additionally, several lawsuits and claims have been filed against WM Holdings and several of its former officers and directors in connection with the restatement of WM Holdings' financial statements. The Company is unable to predict the outcome or impact of the investigation or any previously filed or future lawsuits or claims arising out of the restatement at this time. See "Legal Proceedings."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Seasonality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operating revenues are usually lower in the winter months primarily because the volume of waste relating to construction and demolition activities usually increases in the spring and summer months, and the volume of industrial and residential waste in certain regions where the Company operates usually decreases during the winter months. The Company's first and fourth quarter results of operations typically reflect this seasonality.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principal property and equipment of the Company consists of land (primarily disposal sites), buildings, waste treatment or processing facilities (other than disposal sites) and vehicles and equipment. The Company owns or leases real property in most locations in which it is doing business. At December 31, 1998, the Company owned and operated 246 active disposal sites in North America, which aggregated approximately 119,700 acres of land, including approximately 28,000 permitted acres for landfill use. Additionally, the Company operated 32 disposal sites in North America through leasing arrangements, which aggregated approximately 7,700 total acres, including approximately 2,000 acres permitted for landfill use as well as operated an additional 27 disposal sites through agreements with municipalities. At December 31, 1998, pursuant to certain governmental orders, the Company had for sale, 12 landfill sites, consisting of approximately 4,700 total acres of which 1,700 were permitted for landfill utilization. The WM International landfill operations at December 31, 1998, included 39 sites, which aggregated approximately 2,630 total acres, including approximately 2,045 acres which were permitted for landfill use. Furthermore, the Company owned or operated through agreements 23 waste-to-energy facilities in North America. See "Business -- Acquisition Activity and Divestitures."</w:t>
      </w:r>
    </w:p>
    <w:p>
      <w:pPr>
        <w:spacing w:after="0" w:line="17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Company leases approximately 193,000 square feet of office space in Houston, Texas, for its executive offices under leasing arrangements expiring through 2008. For the year ended December 31, 1998, aggregate annual rental payments on real estate leased by the Company were approximately $133,002,000.</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owns approximately 53,000 items of equipment, including waste collection vehicles and related support vehicles, as well as bulldozers, compactors, earth movers, and other related heavy equipment and vehicles used in landfill operations. The Company has approximately 2,580,000 steel containers in use, ranging from one to 45 cubic yards, and a number of stationary compactors and self-dumping hoppers.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its vehicles, equipment, and operating properties are well maintained and adequate for its current operations. However, the Company expects to make substantial investments in additional equipment and property for expansion, for replacement of assets, and in connection with future acquisitions. See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Company subsidiary has been involved in litigation challenging a municipal zoning ordinance which restricted the height of its New Milford, Connecticut, landfill to a level below that allowed by the permit previously issued by the Connecticut Department of Environmental Protection ("DEP"). Although a lower Court had declared the zoning ordinance's height limitation unconstitutional, during 1995 the Connecticut Supreme Court reversed this ruling and remanded the case for further proceedings in the Superior Court. In November 1995, the Superior Court ordered the subsidiary to apply for all governmental permits needed to remove all waste above the height allowed by the zoning ordinance, and the Connecticut Supreme Court has upheld that ruling. In September 1998, the Company reached a settlement with the town of New Milford, requiring annual payments to the town for a 25 year period. The settlement agreement was adopted by the Superior Court, which modified its order by substituting the payments for the removal of the waste.</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w:t>
      </w:r>
    </w:p>
    <w:p>
      <w:pPr>
        <w:spacing w:after="0" w:line="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In December 1998, the Company announced an agreement to settle the consolidated action against all defendants and establish a settlement fund of $220,000,000 for the class of open market purchasers of WM Holdings equity securities between November 3, 1994, and February 24, 1998. The settlement agreement with the plaintiffs is subject to various conditions, including preliminary approval by the Court, notice to the class and final approval by the Court after a hearing. There can be no assurances that the Court will find the settlement to be fair to the class or that, because members of the class may opt out of the lawsuit, WM Holdings will not be a party to additional lawsuits or claims brought by individuals.</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aware of another action arising out of the same set of facts alleging a cause of action under Illinois state law. Additionally, there are several other actions and claims arising out of the same set of facts, including one purported class action brought by business owners who received WM Holdings shares in the sales of their businesses to WM Holdings that alleges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 It is not possible at this time to predict the impact this litigation may have on WM Holdings or the Company, nor is it possible to predict whether any other suits or claims arising out of these matters may be brought in the future. However, it is reasonably possible that the outcome of any present or future litigation may have a material adverse impact on their respective financial condition or results of operations in one or more future periods. WM Holdings intends to defend itself vigorously in the litigation.</w:t>
      </w:r>
    </w:p>
    <w:p>
      <w:pPr>
        <w:spacing w:after="0" w:line="18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The Company is also aware that the U.S.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WM Holdings Merger will prevent members of the purported class from receiving their fair portion of 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 members of the class action will suffer irreparable damage unless the defendants are enjoined from breaching their fiduciary duties. The complaint seeks equitable relief that would rescind the WM Holdings Merger and monetary damages from the defendants for unlawfully gained profits and special benefits. The Company believes the suit to be without merit and intends to contest it vigorously.</w:t>
      </w:r>
    </w:p>
    <w:p>
      <w:pPr>
        <w:spacing w:after="0" w:line="187"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 to alleged technical violations of licenses or permits pursuant to which the Company operates or is seeking to operate or laws or regulations to which its operations are subject or are the result of different interpretations of the applicable requirements. From time to time, the Company pays fines or penalties in environmental proceedings relating primarily to waste treatment, storage or disposal facilities. As of December 31, 1998, two Company</w:t>
      </w: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subsidiaries engaged in providing hazardous waste and municipal solid waste management services respectively, were each involved in proceedings where it is believed that sanctions involved may exceed $100,000.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or certain of its subsidiaries have been identified as potentially responsible parties in a number of governmental investigations and actions relating to waste disposal facilities which may be subject to remedial action under Superfund. The majority of these proceedings are based on allegations that certain subsidiaries of the Company (or their predecessors) transported hazardous substances to the sites in question, often prior to acquisition of such subsidiaries by the Company. Such proceedings arising under Superfund typically involve numerous waste generators and other waste transportation and disposal companies and seek to allocate or recover costs associated with site investigation and cleanup, which costs could be substantial.</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of December 31, 1998, the Company or its subsidiaries had been notified that they are potentially responsible parties in connection with 88 locations listed on the NPL. Of the 88 NPL sites at which claims have been made against the Company, 17 are sites which the Company has come to own over time. All of the NPL sites owned by the Company were initially sited by others as land disposal facilities. At each of the 17 owned facilities, the Company is working in conjunction with the government to characterize or to remediate identified site problems. In addition, at these 17 facilities the Company has either agreed with other legally liable parties on an arrangement for sharing the costs of remediation or is pursuing resolution of an allocation formula. The 71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w:t>
      </w:r>
    </w:p>
    <w:p>
      <w:pPr>
        <w:spacing w:after="0" w:line="164"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periodically reviews its role, if any, with respect to each such site, giving consideration to the nature of the Company's alleged connection to the location (e.g., owner, operator, transporter or generator), the extent of the Company's alleged connection to the location (e.g., amount and nature of waste hauled to the location, number of years of site operation by the Company or other relevant factors), the accuracy and strength of evidence connecting the Company to the location, the number, connection and financial ability of other named and unnamed potentially responsible parties at the location, and the nature and estimated cost of the likely remedy. Where the Company concludes that it is probable that a liability has been incurred, a provision is made in the Company's consolidated financial statements for the Company's best estimate of the liability based on management's judgment and experience, information available from regulatory agencies and the number, financial resources and relative degree of responsibility of other potentially responsible parties who are jointly and severally liable for remediation of a specific site, as well as the typical allocation of costs among such parties. If a range of possible outcomes is estimated and no amount within the range appears to be a better estimate than any other, then the Company provides for the minimum amount within the range, in accordance with generally accepted accounting principles. Amounts recorded are discounted where appropriate. Sites subject to state action under state laws similar to the federal Superfund statute are treated by the Company in the same way as NPL sites.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estimates are subsequently revised, as deemed necessary, as additional information becomes available. While the Company does not anticipate that the amount of any such revisions will have a material adverse effect on the Company's operations or financial condition, the measurement of environmental liabilities is inherently difficult and the possibility remains that technological, regulatory or enforcement developments, the results of environmental studies, or other factors could materially alter this expectation at any time. Such matters could have a material adverse impact on the Company's consolidated financial statements.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From time to time, the Company and certain of its subsidiaries are named as defendants in personal injury and property damage lawsuits, including purported class actions, on the basis of a Company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been advised by the U.S. Department of Justice that Laurel Ridge Landfill, Inc., a wholly-owned subsidiary of the Company as a result of the Company's acquisition of United Waste Systems, Inc. ("United"), is a target of a federal investigation relating to alleged violations of the Clean Water Act at the Laurel Ridge Landfill in Kentucky. The investigation relates to a period prior to the Company's acquisition of United in August 1997. The Company is attempting to negotiate a resolution with the government which may involve a guilty plea to a criminal misdemeanor, a fine and in-kind services. The Company believes that the ultimate outcome of this matter will not have a material adverse effect on the Company's consolidated financial statements.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June 1996, an indictment was brought against All-Waste Systems, Inc. ("All-Waste"), an indirect subsidiary of the Company acquired in December 1998 in connection with the Eastern Merger, thirteen other corporations and seven individuals in the Southern District of New York. In September 1997 nineteen of the defendants entered guilty pleas and collectively agreed to pay $17,000,000 in restitution to the IRS and Westchester County, fines and civil forfeitures. All-Waste pled guilty to mail fraud, which arose out of an alleged bid-rigging scheme for the Town of New Windsor, paid an $85,000 fine and was sentenced to a five year probation period. The probation period was terminated upon the closing of the sale of All-Waste to Eastern in June 1998.</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March 1999, the Company was notified that All-Waste, two other indirect subsidiaries acquired in the Eastern Merger, as well as a current employee of the Company were suspended from future contracting with any agency in the executive branch of the U.S. government pending proceedings. The suspension and potential debarment are based on the September 1997 conviction of All-Waste and activities that occurred prior to ownership of the entities by Eastern. The Company is attempting to remove the three entities from the suspension and proposed debarment list. The Company believes that the ultimate outcome of this matter will not have a material adverse effect on the Company's consolidated financial statements.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18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nearly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consolidated financial statements for potential recoveries.</w:t>
      </w:r>
    </w:p>
    <w:p>
      <w:pPr>
        <w:spacing w:after="0" w:line="18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and, on that basis, has agreed to a settlement providing for the dismissal of all of the lawsuits against all defendants. The settlement agreement with the plaintiffs is subject to various conditions, including notice to the putative class and approval by the Court after a hearing.</w:t>
      </w:r>
    </w:p>
    <w:p>
      <w:pPr>
        <w:spacing w:after="0" w:line="18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No matters were submitted to the stockholders of the Company during the fourth quarter of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Set forth below are the names and ages, as of March 1, 1999, of the Company's executive officers (as defined by regulations of the Securities and Exchange Commission), the positions they hold with the Company, and summaries of their business experience.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John E. Drury, age 54, has been Chief Executive Officer and a director of the Company since May 1994 and served as Chairman of the Board from June 1995 until the consummation of the WM Holdings Merger in July 1998. From 1991 to May 1994, Mr. Drury served as a Managing Director of Sanders Morris Mundy Inc., a Houston based investment banking firm. Prior thereto, Mr. Drury served in various management capacities at Browning-Ferris Industries ("BFI") including President and Chief Operating Officer of BFI from 1982 to 1991. Mr. Drury is also a member of the board of directors of PalEx, Inc.</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Rodney R. Proto, age 50, has been President, Chief Operating Officer, and a director since joining the Company in August 1996. From 1992 to 1996, Mr. Proto was President, Chief Operating Officer, and a director of Sanifill, Inc. ("Sanifill"). Prior to such time, Mr. Proto was employed by BFI for twelve years where he served, among other positions, as President of Browning-Ferris Industries Europe, Inc. from 1987 through 1991 and Chairman of BFI Overseas from 1985 through 1987. Mr. Proto is also a member of the board of directors of Quanta Services, Inc.</w:t>
      </w:r>
    </w:p>
    <w:p>
      <w:pPr>
        <w:spacing w:after="0" w:line="178" w:lineRule="exact"/>
        <w:rPr>
          <w:sz w:val="20"/>
          <w:szCs w:val="20"/>
          <w:color w:val="auto"/>
        </w:rPr>
      </w:pPr>
    </w:p>
    <w:p>
      <w:pPr>
        <w:jc w:val="both"/>
        <w:ind w:right="3699" w:firstLine="441"/>
        <w:spacing w:after="0" w:line="237" w:lineRule="auto"/>
        <w:rPr>
          <w:sz w:val="20"/>
          <w:szCs w:val="20"/>
          <w:color w:val="auto"/>
        </w:rPr>
      </w:pPr>
      <w:r>
        <w:rPr>
          <w:rFonts w:ascii="Courier New" w:cs="Courier New" w:eastAsia="Courier New" w:hAnsi="Courier New"/>
          <w:sz w:val="15"/>
          <w:szCs w:val="15"/>
          <w:color w:val="auto"/>
        </w:rPr>
        <w:t>Earl E. DeFrates, age 55, has been Executive Vice President and Chief Financial Officer since May 1994. From October 1990 to April 1995, he also served as the Company's Secretary. Mr. DeFrates joined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Company as Vice President -- Finance and Chief Financial Officer in October 1990 and was elected Executive Vice President in May 1994. Prior thereto, Mr. DeFrates was employed by Acadiana Energy Inc. (formerly Tatham Oil &amp; Gas, Inc.) serving in various officer capacities, including the company's Chief Financial Officer from 1980 through 1990.</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Donald R. Chappel, age 47, has been Senior Vice President -- Operations and Administration since the consummation of the WM Holdings Merger in July 1998. Prior thereto, Mr. Chappel held several positions at WM Holdings, including serving as Acting Chief Financial Officer since October 1997, Vice President -- Financial Services since November 1996 and Vice President and Controller (North American operations) since August 1995. From 1991 to July 1995, Mr. Chappel was Vice President and Controller -- West and Mountain Areas of Waste Management of North America, Inc., and from July to August 1995 served as Vice President and Controller of Chemical Waste Management, Inc. Prior thereto he had served as Vice President and Controller -- WMI Urban Services, beginning in June 1987 when he joined WM Holdings.</w:t>
      </w:r>
    </w:p>
    <w:p>
      <w:pPr>
        <w:spacing w:after="0" w:line="181"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Robert P. Damico, age 50, has been Senior Vice President -- Midwest Area since the consummation of the WM Holdings Merger in July 1998. Prior thereto, Mr. Damico had served in various capacities at WM Holdings since 1980, including District Manager, Division Manager and region Manager for the Mountain Region.</w:t>
      </w:r>
    </w:p>
    <w:p>
      <w:pPr>
        <w:spacing w:after="0" w:line="163"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David R. Hopkins, age 55, has been Senior Vice President -- International Operations since November 1998 and has been Chief Executive Officer of WM International during that same period. Prior thereto, Mr. Hopkins had served as Vice President, Controller and Chief Accounting Officer of BFI since 1987.</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Miller J. Mathews, Jr., age 61, has been the Senior Vice</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President -- Southern Area since the consummation of the WM Holdings Merger. Prior thereto, Mr. Mathews was the Company's Region Vice President -- Southern Region since 1995 when the waste company which he had owned since 1981, Sunray Services, Inc., was acquired by the Company.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Ronald H. Jones, age 48, has been Vice President and Treasurer since joining the Company in June 1995. Prior to joining the Company, Mr. Jones was employed by Chambers Development Company, Inc. ("Chambers") as Vice President and Treasurer from July 1992 to June 1995, Director, Corporate Development from December 1990 to July 1992, and Assistant Vice President -- Finance from July 1989 to December 1990. Prior to joining Chambers, Mr. Jones was a Vice President and Manager of the Cincinnati regional office engaged in corporate and middle market lending with Bank of New York (formerly Irving Trust Company) and with Chase Manhattan Bank.</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Susan J. Piller, age 46, has been Senior Vice President -- Employee Relations since May 1996. Prior to joining the Company, Ms. Piller was with BFI from 1984 until 1996, where she held various labor and employment positions, including Vice President -- Employee Relations. Prior thereto, Ms. Piller was employed by the Houston law firm of Fulbright &amp; Jaworski.</w:t>
      </w:r>
    </w:p>
    <w:p>
      <w:pPr>
        <w:spacing w:after="0" w:line="178"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William A. Rothrock, age 46, has been Senior Vice President -- Business Development of the Company since August 1996. Mr. Rothrock held similar business development positions with Sanifill from 1990 to 1996 and BFI from 1985 to 1990.</w:t>
      </w:r>
    </w:p>
    <w:p>
      <w:pPr>
        <w:spacing w:after="0" w:line="163"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Gregory T. Sangalis, age 43, has been Vice President, General Counsel and Secretary since April 1995 and Senior Vice President since July 1998. Prior to joining the Company, Mr. Sangalis was employed by WM Holdings, serving in various legal capacities since 1986 including Group Vice President and General Counsel from August 1992 to April 1995. Prior to joining the Company, he was General Counsel of Peavey Company and had been engaged in the private practice of law in Minnesota.</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Robert G. Simpson, age 47, has been Vice President -- Taxation since November 1998. From July 1997 to November 1998, Mr. Simpson served as Vice President and General Manager of Tenneco Inc. and Tenneco Business Services, a diversified industrial company. From April 1990 to July 1997, Mr. Simpson served as Vice President -- Tax of Tenneco Inc.</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Bruce E. Snyder, age 43, has been Vice President and Chief Accounting Officer of the Company since July 1992. Prior to joining the Company, Mr. Snyder was employed by the international accounting firm of</w:t>
      </w: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Coopers &amp; Lybrand L.L.P., serving there since 1989 as an audit manager. From 1985 to 1989, Mr. Snyder held various financial positions with Price Edwards Henderson &amp; Co., a privately held real estate development and management company in Oklahoma City, Oklahoma, and its affiliated companies, ultimately serving as Senior Vice President.</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Douglas G. Sobey, age 47, has been Senior Vice President -- Western Area, since July 1998. From 1996 to July 1998, Mr. Sobey was the Company's Region Vice President -- Northwest Region. From 1990 to 1996, Mr. Sobey held similar positions with Sanifill.</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David Sutherland-Yoest, age 42, has been Senior Vice President -- Atlantic Area since July 1998. From August 1996 to July 1998, Mr. Sutherland-Yoest was the Company's Vice Chairman of the Board and Vice President -- Atlantic Region and President of Canadian Waste Services, Inc. ("Canadian Waste"). From May 1994 to August 1996, he was President, Chief Operating Officer and a director of the Company. Prior to joining the Company, he was President, Chief Executive Officer and a director of Envirofil, Inc. ("Envirofil"). Between 1987 and 1992, Mr. Sutherland-Yoest served in various capacities at Laidlaw Waste Systems, Inc. and Browning-Ferris Industries, Ltd.</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Charles A. Wilcox, age 46, has been Senior Vice President -- Eastern Area since July 1998. From August 1996 to July 1998, Mr. Wilcox was Region Vice President of the Eastern Region. From December 1994 to August 1996, Mr. Wilcox served as an Executive Vice President of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Company's common stock is traded on the New York Stock Exchange ("NYSE") under the symbol "WMI." The following table sets forth the range of the high and low per share sales prices for the common stock as reported on the NYSE Composite Tape.</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360" w:type="dxa"/>
            <w:vAlign w:val="bottom"/>
          </w:tcPr>
          <w:p>
            <w:pPr>
              <w:spacing w:after="0"/>
              <w:rPr>
                <w:sz w:val="14"/>
                <w:szCs w:val="1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$28.63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39.25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29.50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44.13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32.63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$34.44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44.69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42.88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35.25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 (through March 17, 1999)....................</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$45.50</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March 17, 1999, the closing sale price as reported on the NYSE was</w:t>
      </w:r>
    </w:p>
    <w:p>
      <w:pPr>
        <w:spacing w:after="0"/>
        <w:rPr>
          <w:sz w:val="20"/>
          <w:szCs w:val="20"/>
          <w:color w:val="auto"/>
        </w:rPr>
      </w:pPr>
      <w:r>
        <w:rPr>
          <w:rFonts w:ascii="Courier New" w:cs="Courier New" w:eastAsia="Courier New" w:hAnsi="Courier New"/>
          <w:sz w:val="15"/>
          <w:szCs w:val="15"/>
          <w:color w:val="auto"/>
        </w:rPr>
        <w:t>$45.88 per share. The number of holders of record of common stock based on the</w:t>
      </w:r>
    </w:p>
    <w:p>
      <w:pPr>
        <w:spacing w:after="0"/>
        <w:rPr>
          <w:sz w:val="20"/>
          <w:szCs w:val="20"/>
          <w:color w:val="auto"/>
        </w:rPr>
      </w:pPr>
      <w:r>
        <w:rPr>
          <w:rFonts w:ascii="Courier New" w:cs="Courier New" w:eastAsia="Courier New" w:hAnsi="Courier New"/>
          <w:sz w:val="15"/>
          <w:szCs w:val="15"/>
          <w:color w:val="auto"/>
        </w:rPr>
        <w:t>transfer records of the Company at March 17, 1999, was 32,037.</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of December 31, 1998, the Company is limited in its ability to pay dividends pursuant to its current credit agreements to amounts not to exceed $100,000,000 per year. The Company declared cash dividends of $0.01 per share, or approximately $5,700,000 and $6,100,000 during the third and fourth quarters of 1998, respectively. See Note 9 to the consolidated financial statements included elsewhere herein.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600" w:firstLine="441"/>
        <w:spacing w:after="0" w:line="238" w:lineRule="auto"/>
        <w:rPr>
          <w:sz w:val="20"/>
          <w:szCs w:val="20"/>
          <w:color w:val="auto"/>
        </w:rPr>
      </w:pPr>
      <w:r>
        <w:rPr>
          <w:rFonts w:ascii="Courier New" w:cs="Courier New" w:eastAsia="Courier New" w:hAnsi="Courier New"/>
          <w:sz w:val="15"/>
          <w:szCs w:val="15"/>
          <w:color w:val="auto"/>
        </w:rPr>
        <w:t>The following selected consolidated financial information as of December 31, 1998 and 1997, and for each of the years in the three year period ended December 31, 1998, has been derived from the audited consolidated financial statements of the Company included elsewhere herein. This information should be read in conjunction with such consolidated financial statements and related notes thereto. The selected consolidated financial information as of December 31, 1996, 1995 and 1994, and for each of the years in the two year period ended December 31, 1995, has been derived from audited consolidated financial statements, that have been previously included in the Company's reports under the Exchange Act, restated for certain pooling of interests transactions that are not included herein. See "Management's Discussion and Analysis of Financial Condition and Results of Operations."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gridSpan w:val="5"/>
          </w:tcPr>
          <w:p>
            <w:pPr>
              <w:jc w:val="center"/>
              <w:ind w:right="287"/>
              <w:spacing w:after="0"/>
              <w:rPr>
                <w:sz w:val="20"/>
                <w:szCs w:val="20"/>
                <w:color w:val="auto"/>
              </w:rPr>
            </w:pPr>
            <w:r>
              <w:rPr>
                <w:rFonts w:ascii="Courier New" w:cs="Courier New" w:eastAsia="Courier New" w:hAnsi="Courier New"/>
                <w:sz w:val="15"/>
                <w:szCs w:val="15"/>
                <w:color w:val="auto"/>
                <w:w w:val="98"/>
              </w:rPr>
              <w:t>YEARS ENDED DECEMBER 31,</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spacing w:after="0"/>
              <w:rPr>
                <w:sz w:val="14"/>
                <w:szCs w:val="14"/>
                <w:color w:val="auto"/>
              </w:rPr>
            </w:pPr>
          </w:p>
        </w:tc>
        <w:tc>
          <w:tcPr>
            <w:tcW w:w="6080" w:type="dxa"/>
            <w:vAlign w:val="bottom"/>
            <w:gridSpan w:val="10"/>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4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40" w:type="dxa"/>
            <w:vAlign w:val="bottom"/>
            <w:gridSpan w:val="6"/>
          </w:tcPr>
          <w:p>
            <w:pPr>
              <w:jc w:val="center"/>
              <w:ind w:right="67"/>
              <w:spacing w:after="0"/>
              <w:rPr>
                <w:sz w:val="20"/>
                <w:szCs w:val="20"/>
                <w:color w:val="auto"/>
              </w:rPr>
            </w:pPr>
            <w:r>
              <w:rPr>
                <w:rFonts w:ascii="Courier New" w:cs="Courier New" w:eastAsia="Courier New" w:hAnsi="Courier New"/>
                <w:sz w:val="15"/>
                <w:szCs w:val="15"/>
                <w:color w:val="auto"/>
                <w:w w:val="97"/>
              </w:rPr>
              <w:t>(IN THOUSANDS, EXCEPT PER SHARE AMOUNTS)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$12,703,469</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$11,972,498</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$10,998,602</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$10,432,775</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$ 9,677,048</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7,383,751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7,482,273</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6,564,234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6,261,745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5,705,355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1,309,936</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1,438,501</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1,316,480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1,279,719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1,236,765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1,498,712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1,391,810</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1,264,196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1,186,492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1,129,890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1,807,245</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112,748</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126,626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26,539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864,063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1,771,145</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529,768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394,092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122,233</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sale, net of minority interest..................</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151</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9,930</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(25,110)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(24,143)</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12,863,858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12,206,407</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9,800,989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9,123,477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8,173,882</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(160,389)</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(233,909)</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1,197,613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1,309,298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1,503,166</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(681,457)</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(555,576)</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(525,340)</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(534,964)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(437,946)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26,829</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45,214</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34,603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41,565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47,878</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(24,254)</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(45,442)</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(41,289)</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(81,367)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(126,042)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139,392</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127,216</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108,645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257,773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113,526</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(539,490)</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(428,588)</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(423,381)</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(316,993)</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(402,584)</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(699,879)</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(662,497)</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774,232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992,305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1,100,582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66,923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363,341</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486,700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493,375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498,233</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(766,802)</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(1,025,838)</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287,532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498,930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602,349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discontinued operations........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(263,301)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4,863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27,324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item................................</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(6,809)</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Accounting change.................................</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(1,281)</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(770,702)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24,231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503,793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628,392</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48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Working capital...................................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(412,269)</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$(1,967,278)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(258,210)</w:t>
            </w:r>
          </w:p>
        </w:tc>
        <w:tc>
          <w:tcPr>
            <w:tcW w:w="12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$(1,027,093)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(681,813)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Intangible assets, net............................</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6,250,324</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4,848,176</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4,681,381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4,329,909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3,661,594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22,715,198</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20,156,424</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20,727,524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19,950,426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18,124,674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including current maturities......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11,697,943</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9,479,961</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9,064,566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8,404,034</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7,677,360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4,372,496</w:t>
            </w:r>
          </w:p>
        </w:tc>
        <w:tc>
          <w:tcPr>
            <w:tcW w:w="2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3,854,929</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5,201,610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5,184,104</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4,506,454</w:t>
            </w:r>
          </w:p>
        </w:tc>
      </w:tr>
    </w:tbl>
    <w:p>
      <w:pPr>
        <w:spacing w:after="0" w:line="200" w:lineRule="exact"/>
        <w:rPr>
          <w:sz w:val="20"/>
          <w:szCs w:val="20"/>
          <w:color w:val="auto"/>
        </w:rPr>
      </w:pPr>
    </w:p>
    <w:p>
      <w:pPr>
        <w:sectPr>
          <w:pgSz w:w="11900" w:h="16838" w:orient="portrait"/>
          <w:cols w:equalWidth="0" w:num="1">
            <w:col w:w="10560"/>
          </w:cols>
          <w:pgMar w:left="240" w:top="283" w:right="1099"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560"/>
          </w:cols>
          <w:pgMar w:left="240" w:top="283" w:right="1099"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5"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following discussion reviews the Company's operations for the three years ended December 31, 1998, and should be read in conjunction with the Company's consolidated financial statements and related notes thereto included elsewhere herein. The Company has restated its previously issued financial statements for years prior to 1998 to reflect the Eastern Merger accounted for under the pooling of interests method of accounting.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Item 1 of this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is a global leader in providing integrated waste management services. In North America, the Company provides solid waste management services throughout the U.S., as well as in Canada and Puerto Rico, including collection, transfer, recycling and resource recovery services, and disposal services, including the landfill disposal of hazardous wastes. In addition, the Company is a leading developer, operator and owner of waste-to-energy facilities in the U.S. The Company also engages in other hazardous waste management services throughout North America, as well as low-level and other radioactive waste services. Internationally, the Company operates throughout Europe, the Pacific Rim, South America and other select international markets.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The Company's diversified customer base, which was in excess of 30 million customers as of December 31, 1998, includes commercial, industrial, municipal and residential customers, other waste management companies, governmental entities and independent power markets, with no single customer accounting for more than 5% of the Company's operating revenues during 1998.</w:t>
      </w:r>
    </w:p>
    <w:p>
      <w:pPr>
        <w:spacing w:after="0" w:line="17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solid waste collected. The Company's operating revenues from its disposal operations consist of disposal fees (known as tipping fees) charged to third parties and are normally billed monthly or semi-monthly. Tipping fees are based on the volume or weight of waste being disposed of at the Company's disposal facilities. Fees are charged at transfer stations based on the volume or weight of waste deposited, taking into account the Company's cost of loading, transporting, and disposing of the waste at a disposal site. Intercompany revenues between the Company's operations have been eliminated in the consolidated financial statements presented elsewhere herein.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Operating expenses from waste management operations include direct and indirect labor and the related taxes and benefits, fuel, maintenance and repairs of equipment and facilities, tipping fees paid to third party disposal facilities, property taxes,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7" w:name="page38"/>
    <w:bookmarkEnd w:id="37"/>
    <w:p>
      <w:pPr>
        <w:ind w:left="270"/>
        <w:spacing w:after="0"/>
        <w:rPr>
          <w:sz w:val="20"/>
          <w:szCs w:val="20"/>
          <w:color w:val="auto"/>
        </w:rPr>
      </w:pPr>
      <w:r>
        <w:rPr>
          <w:rFonts w:ascii="Courier New" w:cs="Courier New" w:eastAsia="Courier New" w:hAnsi="Courier New"/>
          <w:sz w:val="15"/>
          <w:szCs w:val="15"/>
          <w:color w:val="auto"/>
        </w:rPr>
        <w:t>38</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percentages for the various consolidated statements of operations line items and for certain supplementary data.</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w w:val="99"/>
              </w:rPr>
              <w:t>PERIOD TO PERIOD CHANGE</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4400" w:type="dxa"/>
            <w:vAlign w:val="bottom"/>
            <w:gridSpan w:val="6"/>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5"/>
              </w:rPr>
              <w:t>FOR THE YEARS ENDED</w:t>
            </w:r>
          </w:p>
        </w:tc>
        <w:tc>
          <w:tcPr>
            <w:tcW w:w="220" w:type="dxa"/>
            <w:vAlign w:val="bottom"/>
          </w:tcPr>
          <w:p>
            <w:pPr>
              <w:spacing w:after="0"/>
              <w:rPr>
                <w:sz w:val="14"/>
                <w:szCs w:val="1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FOR THE YEARS ENDED</w:t>
            </w:r>
          </w:p>
        </w:tc>
      </w:tr>
      <w:tr>
        <w:trPr>
          <w:trHeight w:val="170"/>
        </w:trPr>
        <w:tc>
          <w:tcPr>
            <w:tcW w:w="4400" w:type="dxa"/>
            <w:vAlign w:val="bottom"/>
          </w:tcPr>
          <w:p>
            <w:pPr>
              <w:spacing w:after="0"/>
              <w:rPr>
                <w:sz w:val="14"/>
                <w:szCs w:val="14"/>
                <w:color w:val="auto"/>
              </w:rPr>
            </w:pPr>
          </w:p>
        </w:tc>
        <w:tc>
          <w:tcPr>
            <w:tcW w:w="21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DECEMBER 31, 1998 AND</w:t>
            </w:r>
          </w:p>
        </w:tc>
        <w:tc>
          <w:tcPr>
            <w:tcW w:w="22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DECEMBER 31, 1997 AND</w:t>
            </w: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5"/>
              </w:rPr>
              <w:t>----------------------</w:t>
            </w:r>
          </w:p>
        </w:tc>
        <w:tc>
          <w:tcPr>
            <w:tcW w:w="1060" w:type="dxa"/>
            <w:vAlign w:val="bottom"/>
          </w:tcPr>
          <w:p>
            <w:pPr>
              <w:spacing w:after="0"/>
              <w:rPr>
                <w:sz w:val="14"/>
                <w:szCs w:val="14"/>
                <w:color w:val="auto"/>
              </w:rPr>
            </w:pPr>
          </w:p>
        </w:tc>
        <w:tc>
          <w:tcPr>
            <w:tcW w:w="22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730,971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973,896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Operating (exclusive of depreciation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amortization shown below)...................</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(98,522)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918,039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(128,565)</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(8.9)</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122,021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106,902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127,614</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1,694,497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1,502.9</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(13,878)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(907,082)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(51.2)</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1,241,377</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234.3</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continuing operations held for</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sale, net of minority interest.................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(9,779)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(98.5)</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10,245</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3,252.4</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657,451</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2,405,418</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73,520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(1,431,522)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(119.5)</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(125,881)</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(30,236)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(6,209)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29,182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21,188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(110,902)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(5,207)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(37,382)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(1,436,729)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(185.6)</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(296,418)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(81.6)</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(123,359)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259,036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(1,313,370)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(456.8)</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Discontinued operations..........................</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(95,688)</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358,989</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136.3</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Extraordinary item...............................</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2,909</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Accounting change................................</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168,193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(963,126)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(3,974.8)%</w:t>
            </w:r>
          </w:p>
        </w:tc>
      </w:tr>
      <w:tr>
        <w:trPr>
          <w:trHeight w:val="170"/>
        </w:trPr>
        <w:tc>
          <w:tcPr>
            <w:tcW w:w="440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EBITDA(1)........................................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180,422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w:t>
            </w:r>
          </w:p>
        </w:tc>
        <w:tc>
          <w:tcPr>
            <w:tcW w:w="13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$(1,303,908)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0"/>
        </w:trPr>
        <w:tc>
          <w:tcPr>
            <w:tcW w:w="44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EBITDA, as adjusted(1)(2)........................</w:t>
            </w:r>
          </w:p>
        </w:tc>
        <w:tc>
          <w:tcPr>
            <w:tcW w:w="18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958,058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(66,164)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58"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64" w:lineRule="exact"/>
        <w:rPr>
          <w:rFonts w:ascii="Courier New" w:cs="Courier New" w:eastAsia="Courier New" w:hAnsi="Courier New"/>
          <w:sz w:val="14"/>
          <w:szCs w:val="14"/>
          <w:color w:val="auto"/>
        </w:rPr>
      </w:pPr>
    </w:p>
    <w:p>
      <w:pPr>
        <w:ind w:left="350" w:right="3359"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EBITDA "as adjusted" excludes merger costs, asset impairments and unusual items, and (income) loss from continuing operations held for sale, net of minority interest.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283"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39</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consolidated statements of operations line items and certain supplementary data bear to operating revenues: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6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Operating revenues..........................................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shown below)...........................................</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58.1</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59.7</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11.8</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costs..............................................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14.8</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minority interest......................................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101.2</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and other income, net............................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Discontinued operations.....................................</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item..........................................</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Accounting change...........................................</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8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536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EBITDA(1)...................................................</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EBITDA, as adjusted(1)(2)...................................</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31.6</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58"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64" w:lineRule="exact"/>
        <w:rPr>
          <w:rFonts w:ascii="Courier New" w:cs="Courier New" w:eastAsia="Courier New" w:hAnsi="Courier New"/>
          <w:sz w:val="14"/>
          <w:szCs w:val="14"/>
          <w:color w:val="auto"/>
        </w:rPr>
      </w:pPr>
    </w:p>
    <w:p>
      <w:pPr>
        <w:ind w:left="350" w:right="3359" w:hanging="350"/>
        <w:spacing w:after="0" w:line="237"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EBITDA "as adjusted" excludes merger costs, asset impairments and unusual items, and (income) loss from continuing operations held for sale, net of minority interest.</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YEARS ENDED DECEMBER 31, 1998</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Operating Revenues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principal operations are North American solid waste ("NASW"),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("WM International"). Furthermore, the Company performs certain non-solid waste services such as hazardous waste management, low-level and other radioactive waste management, high organic waste fuels blending, on-site industrial cleaning services, and waste fuel powered independent power facilities.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The Company's operating revenues increased $730,971,000, or 6.1%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1998</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6120" w:type="dxa"/>
            <w:vAlign w:val="bottom"/>
            <w:gridSpan w:val="4"/>
          </w:tcPr>
          <w:p>
            <w:pPr>
              <w:spacing w:after="0"/>
              <w:rPr>
                <w:sz w:val="20"/>
                <w:szCs w:val="20"/>
                <w:color w:val="auto"/>
              </w:rPr>
            </w:pPr>
            <w:r>
              <w:rPr>
                <w:rFonts w:ascii="Courier New" w:cs="Courier New" w:eastAsia="Courier New" w:hAnsi="Courier New"/>
                <w:sz w:val="15"/>
                <w:szCs w:val="15"/>
                <w:color w:val="auto"/>
                <w:w w:val="98"/>
              </w:rPr>
              <w:t>and $973,896,000, or 8.9% in 1997 as compared to the respective prior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years. The</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following presents the operating revenues by reportable segment for the</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220" w:type="dxa"/>
            <w:vAlign w:val="bottom"/>
            <w:gridSpan w:val="2"/>
          </w:tcPr>
          <w:p>
            <w:pPr>
              <w:spacing w:after="0"/>
              <w:rPr>
                <w:sz w:val="20"/>
                <w:szCs w:val="20"/>
                <w:color w:val="auto"/>
              </w:rPr>
            </w:pPr>
            <w:r>
              <w:rPr>
                <w:rFonts w:ascii="Courier New" w:cs="Courier New" w:eastAsia="Courier New" w:hAnsi="Courier New"/>
                <w:sz w:val="15"/>
                <w:szCs w:val="15"/>
                <w:color w:val="auto"/>
              </w:rPr>
              <w:t>respective years (dollars in millions):</w:t>
            </w:r>
          </w:p>
        </w:tc>
        <w:tc>
          <w:tcPr>
            <w:tcW w:w="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8"/>
        </w:trPr>
        <w:tc>
          <w:tcPr>
            <w:tcW w:w="3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YEARS ENDED DECEMBER 31,</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080" w:type="dxa"/>
            <w:vAlign w:val="bottom"/>
          </w:tcPr>
          <w:p>
            <w:pPr>
              <w:spacing w:after="0"/>
              <w:rPr>
                <w:sz w:val="14"/>
                <w:szCs w:val="14"/>
                <w:color w:val="auto"/>
              </w:rPr>
            </w:pPr>
          </w:p>
        </w:tc>
        <w:tc>
          <w:tcPr>
            <w:tcW w:w="554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NASW..............................</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$10,220.5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$ 9,244.9</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77.2%</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$ 8,097.9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WM International..................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1,533.6</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1,790.0</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1,913.8</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Non-solid waste...................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949.4</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937.6</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986.9</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880"/>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$12,703.5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$11,972.5</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100.0%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$10,998.6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0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increase in the Company's operating revenues for the three years ended December 31, 1998, is primarily due to NASW operations. The following table presents the Company's mix of operating revenues from NASW for the respective periods (dollars in millions):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YEARS ENDED DECEMBER 31,</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5540" w:type="dxa"/>
            <w:vAlign w:val="bottom"/>
            <w:gridSpan w:val="7"/>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2"/>
              </w:rPr>
              <w:t>-----------------</w:t>
            </w:r>
          </w:p>
        </w:tc>
        <w:tc>
          <w:tcPr>
            <w:tcW w:w="620" w:type="dxa"/>
            <w:vAlign w:val="bottom"/>
          </w:tcPr>
          <w:p>
            <w:pPr>
              <w:spacing w:after="0"/>
              <w:rPr>
                <w:sz w:val="14"/>
                <w:szCs w:val="14"/>
                <w:color w:val="auto"/>
              </w:rPr>
            </w:pPr>
          </w:p>
        </w:tc>
        <w:tc>
          <w:tcPr>
            <w:tcW w:w="22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3"/>
              </w:rPr>
              <w:t>NASW:</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Collection......................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$ 6,071.2</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$ 5,257.5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Disposal........................</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3,179.4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2,811.9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2,580.2</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Transfer........................</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1,054.3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814.5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709.1</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Recycling and other.............</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683.5</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11,866.8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10,417.6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9,230.3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Intercompany....................</w:t>
            </w:r>
          </w:p>
        </w:tc>
        <w:tc>
          <w:tcPr>
            <w:tcW w:w="1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(1,646.3)</w:t>
            </w:r>
          </w:p>
        </w:tc>
        <w:tc>
          <w:tcPr>
            <w:tcW w:w="6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(1,172.7)</w:t>
            </w:r>
          </w:p>
        </w:tc>
        <w:tc>
          <w:tcPr>
            <w:tcW w:w="8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(1,132.4)</w:t>
            </w: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r>
      <w:tr>
        <w:trPr>
          <w:trHeight w:val="170"/>
        </w:trPr>
        <w:tc>
          <w:tcPr>
            <w:tcW w:w="3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10,220.5</w:t>
            </w:r>
          </w:p>
        </w:tc>
        <w:tc>
          <w:tcPr>
            <w:tcW w:w="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$ 9,244.9</w:t>
            </w:r>
          </w:p>
        </w:tc>
        <w:tc>
          <w:tcPr>
            <w:tcW w:w="8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$ 8,097.9</w:t>
            </w:r>
          </w:p>
        </w:tc>
        <w:tc>
          <w:tcPr>
            <w:tcW w:w="60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increase in operating revenues in 1998 for NASW as compared to 1997 is primarily attributable to the effects of solid waste businesses acquired in North America and the internal growth of comparable operations. However, these increases are partially offset by the divestiture of certain solid waste operations, as well as the impact of the currency translation fluctuations of the Canadian dollar. Acquisitions of solid waste businesses in North America during 1998 and the full year effect of such acquisitions completed during 1997 accounted for an increase in operating revenues of approximately $1,155,000,000. Internal growth for comparable North American collection, transfer, landfill and recycling services was 5.4%, which was comprised of 1.8% for pricing increases and 3.6% for volume increases. For the year ended December 31, 1998, the NASW operating revenues were negatively impacted by the lower prices received for recyclable materials, which can fluctuate substantially from period to period. Had the pricing for recyclable materials remained constant during 1998, internal growth for comparable NASW operations would have been 5.9% for the period.</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operating revenues for NASW increased in 1997 as compared to 1996 primarily due to the effects of North American solid waste acquisitions and the internal growth of comparable operations. During 1997, the acquisition of solid waste businesses in North America and the full year effect of such acquisitions consummated in 1996 resulted in an increase to operating revenues of approximately $1,031,049,000. The</w:t>
      </w:r>
    </w:p>
    <w:p>
      <w:pPr>
        <w:sectPr>
          <w:pgSz w:w="11900" w:h="16838" w:orient="portrait"/>
          <w:cols w:equalWidth="0" w:num="1">
            <w:col w:w="10219"/>
          </w:cols>
          <w:pgMar w:left="240" w:top="283"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internal growth of comparable North American collection, transfer, landfill and recycling services was 3.2% in 1997, consisting of 1.1% for pricing increases and 2.1% for volume increases. The mix of operating revenues during 1997 reflects an increase in collection operating revenues as a percentage of total NASW operating revenues. This change in revenue mix is primarily due to the acquisition of large collection operations during 1997, including the March 1997 acquisition of the Canadian solid waste operations of Allied Waste Services, Inc.</w:t>
      </w:r>
    </w:p>
    <w:p>
      <w:pPr>
        <w:spacing w:after="0" w:line="17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operating revenues from WM International decreased approximately</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$256,400,000 or 14% and $123,800,000 or 6% during 1998 and 1997 as compared to the respective prior year. This decrease in 1998 is primarily due to the sale of certain assets, such as the waste-to-energy facility in Hamm, Germany in January 1998, as well as the expiration of the Buenos Aires, Argentina contract in February 1998. In 1998 internal growth from WM International reflected a modest decline. However, operating revenues in 1998 were negatively affected by foreign currency fluctuations of approximately $53,032,000 as compared to 1997. In 1997, WM International's operating revenues increased by approximately $60,707,000 from internal growth, which was primarily offset by divestitures of various operations within France, Spain, Austria and Germany. Additionally, WM International's operating revenues were negatively impacted in 1997 by approximately $133,816,000 due to foreign currency translation fluctuations.</w:t>
      </w:r>
    </w:p>
    <w:p>
      <w:pPr>
        <w:spacing w:after="0" w:line="16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Operating revenues for the Company's non-solid waste operations were substantially consistent for the three years ended December 31, 1998. However, the Company expects that operating revenues from its non-solid waste operations will decrease in future periods as the Company is actively marketing certain of these businesses.</w:t>
      </w:r>
    </w:p>
    <w:p>
      <w:pPr>
        <w:spacing w:after="0" w:line="178" w:lineRule="exact"/>
        <w:rPr>
          <w:sz w:val="20"/>
          <w:szCs w:val="20"/>
          <w:color w:val="auto"/>
        </w:rPr>
      </w:pPr>
    </w:p>
    <w:p>
      <w:pPr>
        <w:ind w:right="3179" w:firstLine="176"/>
        <w:spacing w:after="0" w:line="235"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Operating costs and expenses decreased $98,522,000, or 1.3%, in 1998 as compared to 1997, however, increased $918,039,000, or 14.0% in 1997 as compared to 1996. As a percentage of operating revenues, operating costs and expenses increased from 59.7% in 1996 to 62.5% in 1997, however decreased to 58.1% in 1998. Although operating costs and expenses increased in 1998 and 1997 proportionately due to the acquisition activity discussed above, the Company realized reductions in costs and improvements in operating efficiencies from its acquisition program, the merger with United Waste Systems, Inc. ("United") in August 1997, the WM Holdings Merger, as well as experienced continued improvements in its comparable operations. Most notably, through the WM Holdings Merger the Company realized a reduction in operating costs and expenses of approximately $129,000,000 in 1998. Furthermore, the Company noted improvements in NASW due to the increased utilization of internal disposal capacity from 55.7% in 1997 to 58.5% in 1998. Additionally, certain significant operating costs and expenses were included in the results of WM Holdings in 1997 that were not comparable to 1998 or 1996. In 1997, WM Holdings recognized increased remediation expenses (net of recoveries) of $96,800,000, increased self-insurance costs of $95,000,000 and several other one-time expenses. The 1997 remediation expense included a charge for the implementation SOP 96-1 of</w:t>
      </w:r>
    </w:p>
    <w:p>
      <w:pPr>
        <w:spacing w:after="0" w:line="16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$49,900,000. The 1997 self-insurance costs were significantly greater than prior periods due to a change in estimating techniques which required a cumulative adjustment in that year.</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and Administrative</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General and administrative expense decreased $128,565,000, or 8.9% from 1997 to 1998 and increased $122,021,000, or 9.3% from 1996 to 1997. However, as a percentage of operating revenues, the Company's general and administrative expense was 10.3% for 1998 and 12.0% for 1997 and 1996. In 1998, the Company's general and administrative expense included $4,300,000 for the WM Holdings accounting review and $12,400,000 related to various strategic initiatives that WM Holdings had been pursuing. In connection with the WM Holdings Merger, the Company realized a reduction in general and administrative expenses in 1998 of approximately $131,700,000, of which approximately $51,400,000 was reflected in the third quarter of 1998 and $80,300,000 in the fourth quarter of 1998. Negatively impacting the Company's general and administrative expense in 1997 was $39,000,000, or 0.3% of operating revenues, for additional legal expenses recorded by WM Holdings reflecting changes in estimates of litigation-related liabilities. After consideration of these items, the Company's general and administrative expense declined as a percentage of operating</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revenues from 1996 to 1998 as a result of the Company's ability to integrate acquisitions and mergers of solid waste businesses without a proportionate increase in costs.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Depreciation and amortization expense increased $106,902,000, or 7.7% in 1998 and $127,614,000, or 10.1% in 1997, as compared to the respective prior year. As a percentage of operating revenues, depreciation and amortization expense was 11.5% in 1996, 11.6% in 1997, and increased to 11.8% in 1998. Effective October 1, 1997, WM Holdings discontinued assigning salvage values to collection vehicles and containers, and adopted a process that shortened the estimated useful lives of certain landfills. This change in estimate by the management of WM Holdings, which continued throughout 1998 and is substantially consistent with the estimates historically utilized by the Company, increased depreciation and amortization expense by $46,400,000 in the fourth quarter of 1997. Also contributing to the increase in depreciation and amortization expense for the three year period ended December 31, 1998 is the effect of acquisitions of solid waste businesses, increased landfill volumes, and an increased utilization of internal disposal capacity. The increase in depreciation and amortization expense in 1998 was in part offset by the discontinuance of depreciation and amortization during the second six months of 1998 for non-revenue producing assets held for sale or abandoned in connection with the WM Holdings Merger and the effect of dispositions of waste management assets.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Merger Costs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1998, the Company recorded $1,807,245,000 related to mergers accounted for as poolings of interests that were consummated during the year. The largest transactions of 1998 were the WM Holdings Merger and the Eastern Merger which were consummated on July 16, 1998, and December 31, 1998, respectively. The Company recorded $1,624,870,000 related to WM Holdings, of which $1,561,915,000 was recorded in the third quarter and $62,955,000 was recorded in the fourth quarter of 1998, and recorded $165,140,000 in the fourth quarter related to Eastern (which included approximately $5,000,000 recorded by Eastern for merger transactions consummated prior to its merger with the Company). Additionally, the Company recorded approximately $17,235,000 related to other poolings of interests transactions consummated during 1998.</w:t>
      </w:r>
    </w:p>
    <w:p>
      <w:pPr>
        <w:spacing w:after="0" w:line="16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following table summarizes the merger costs recorded during the year related to the WM Holdings Merger and the Eastern Merger as well as charges that are expected to be recorded in future periods related to these mergers that are transitional in nature and not accruable until paid or committed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2"/>
          </w:tcPr>
          <w:p>
            <w:pPr>
              <w:jc w:val="right"/>
              <w:ind w:right="947"/>
              <w:spacing w:after="0"/>
              <w:rPr>
                <w:sz w:val="20"/>
                <w:szCs w:val="20"/>
                <w:color w:val="auto"/>
              </w:rPr>
            </w:pPr>
            <w:r>
              <w:rPr>
                <w:rFonts w:ascii="Courier New" w:cs="Courier New" w:eastAsia="Courier New" w:hAnsi="Courier New"/>
                <w:sz w:val="15"/>
                <w:szCs w:val="15"/>
                <w:color w:val="auto"/>
              </w:rPr>
              <w:t>WM HOLDINGS</w:t>
            </w:r>
          </w:p>
        </w:tc>
        <w:tc>
          <w:tcPr>
            <w:tcW w:w="1060" w:type="dxa"/>
            <w:vAlign w:val="bottom"/>
          </w:tcPr>
          <w:p>
            <w:pPr>
              <w:spacing w:after="0"/>
              <w:rPr>
                <w:sz w:val="14"/>
                <w:szCs w:val="14"/>
                <w:color w:val="auto"/>
              </w:rPr>
            </w:pPr>
          </w:p>
        </w:tc>
        <w:tc>
          <w:tcPr>
            <w:tcW w:w="172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EASTERN</w:t>
            </w:r>
          </w:p>
        </w:tc>
      </w:tr>
      <w:tr>
        <w:trPr>
          <w:trHeight w:val="170"/>
        </w:trPr>
        <w:tc>
          <w:tcPr>
            <w:tcW w:w="4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7"/>
                <w:szCs w:val="7"/>
                <w:color w:val="auto"/>
                <w:w w:val="79"/>
              </w:rPr>
              <w:t>------------------------------</w:t>
            </w:r>
          </w:p>
        </w:tc>
        <w:tc>
          <w:tcPr>
            <w:tcW w:w="176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CHARGES IN</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CHARGES EXPECTED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CHARGES IN</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CHARGES EXPECTED</w:t>
            </w: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IN FUTURE PERIODS</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w w:val="96"/>
              </w:rPr>
              <w:t>IN FUTURE PERIODS</w:t>
            </w:r>
          </w:p>
        </w:tc>
      </w:tr>
      <w:tr>
        <w:trPr>
          <w:trHeight w:val="170"/>
        </w:trPr>
        <w:tc>
          <w:tcPr>
            <w:tcW w:w="4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1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Transaction or deal costs, primarily</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professional fees and filing fees...........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124.1</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$ 14.3</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Employee severance, separation and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transitional costs..........................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323.9</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9.7</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Restructuring charges relating to the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consolidation and relocation of operations,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and the transition and implementation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information systems.........................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166.9</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71.8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Assets to comply with governmental orders...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255.0</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32.2</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Duplicate facilities and related leasehold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w w:val="99"/>
              </w:rPr>
              <w:t>improvements.............................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188.9</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29.3</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Duplicate revenue producing assets..........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Provision for the abandonment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 producing assets....................</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Non-revenue producing assets, consisting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landfill projects and leasehold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improvements which were determined to be</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duplicative assets from the related</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w w:val="99"/>
              </w:rPr>
              <w:t>merger...................................</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263.0</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Other assets, consisting primarily of</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rPr>
              <w:t>computer hardware and software costs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4140" w:type="dxa"/>
            <w:vAlign w:val="bottom"/>
          </w:tcPr>
          <w:p>
            <w:pPr>
              <w:ind w:left="440"/>
              <w:spacing w:after="0"/>
              <w:rPr>
                <w:sz w:val="20"/>
                <w:szCs w:val="20"/>
                <w:color w:val="auto"/>
              </w:rPr>
            </w:pPr>
            <w:r>
              <w:rPr>
                <w:rFonts w:ascii="Courier New" w:cs="Courier New" w:eastAsia="Courier New" w:hAnsi="Courier New"/>
                <w:sz w:val="15"/>
                <w:szCs w:val="15"/>
                <w:color w:val="auto"/>
                <w:w w:val="99"/>
              </w:rPr>
              <w:t>which have no future value...............</w:t>
            </w:r>
          </w:p>
        </w:tc>
        <w:tc>
          <w:tcPr>
            <w:tcW w:w="26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150.3</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1,624.9</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$165.2</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4140" w:type="dxa"/>
            <w:vAlign w:val="bottom"/>
          </w:tcPr>
          <w:p>
            <w:pPr>
              <w:spacing w:after="0"/>
              <w:rPr>
                <w:sz w:val="14"/>
                <w:szCs w:val="14"/>
                <w:color w:val="auto"/>
              </w:rPr>
            </w:pPr>
          </w:p>
        </w:tc>
        <w:tc>
          <w:tcPr>
            <w:tcW w:w="1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1997, the Company recorded $112,748,000 related to business combinations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completed during the year that were accounted for as poolings of interests.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largest merger transaction of 1997 was the pooling of interests with United in</w:t>
      </w:r>
    </w:p>
    <w:p>
      <w:pPr>
        <w:spacing w:after="0"/>
        <w:rPr>
          <w:sz w:val="20"/>
          <w:szCs w:val="20"/>
          <w:color w:val="auto"/>
        </w:rPr>
      </w:pPr>
      <w:r>
        <w:rPr>
          <w:rFonts w:ascii="Courier New" w:cs="Courier New" w:eastAsia="Courier New" w:hAnsi="Courier New"/>
          <w:sz w:val="15"/>
          <w:szCs w:val="15"/>
          <w:color w:val="auto"/>
        </w:rPr>
        <w:t>the third quarter, in which the Company recorded merger costs of $89,152,000.</w:t>
      </w:r>
    </w:p>
    <w:p>
      <w:pPr>
        <w:spacing w:after="0"/>
        <w:rPr>
          <w:sz w:val="20"/>
          <w:szCs w:val="20"/>
          <w:color w:val="auto"/>
        </w:rPr>
      </w:pPr>
      <w:r>
        <w:rPr>
          <w:rFonts w:ascii="Courier New" w:cs="Courier New" w:eastAsia="Courier New" w:hAnsi="Courier New"/>
          <w:sz w:val="15"/>
          <w:szCs w:val="15"/>
          <w:color w:val="auto"/>
        </w:rPr>
        <w:t>The costs related to United included $17,566,000 of transaction costs,</w:t>
      </w:r>
    </w:p>
    <w:p>
      <w:pPr>
        <w:spacing w:after="0" w:line="238" w:lineRule="auto"/>
        <w:rPr>
          <w:sz w:val="20"/>
          <w:szCs w:val="20"/>
          <w:color w:val="auto"/>
        </w:rPr>
      </w:pPr>
      <w:r>
        <w:rPr>
          <w:rFonts w:ascii="Courier New" w:cs="Courier New" w:eastAsia="Courier New" w:hAnsi="Courier New"/>
          <w:sz w:val="15"/>
          <w:szCs w:val="15"/>
          <w:color w:val="auto"/>
        </w:rPr>
        <w:t>$26,198,000 of severance and other termination benefits, $21,629,000 for the</w:t>
      </w:r>
    </w:p>
    <w:p>
      <w:pPr>
        <w:spacing w:after="0"/>
        <w:rPr>
          <w:sz w:val="20"/>
          <w:szCs w:val="20"/>
          <w:color w:val="auto"/>
        </w:rPr>
      </w:pPr>
      <w:r>
        <w:rPr>
          <w:rFonts w:ascii="Courier New" w:cs="Courier New" w:eastAsia="Courier New" w:hAnsi="Courier New"/>
          <w:sz w:val="15"/>
          <w:szCs w:val="15"/>
          <w:color w:val="auto"/>
        </w:rPr>
        <w:t>integration of operations, and $23,759,000 for the disposal of duplicate</w:t>
      </w:r>
    </w:p>
    <w:p>
      <w:pPr>
        <w:spacing w:after="0"/>
        <w:rPr>
          <w:sz w:val="20"/>
          <w:szCs w:val="20"/>
          <w:color w:val="auto"/>
        </w:rPr>
      </w:pPr>
      <w:r>
        <w:rPr>
          <w:rFonts w:ascii="Courier New" w:cs="Courier New" w:eastAsia="Courier New" w:hAnsi="Courier New"/>
          <w:sz w:val="15"/>
          <w:szCs w:val="15"/>
          <w:color w:val="auto"/>
        </w:rPr>
        <w:t>facilities and impaired assets as a result of the merger. The Company also</w:t>
      </w:r>
    </w:p>
    <w:p>
      <w:pPr>
        <w:spacing w:after="0" w:line="238" w:lineRule="auto"/>
        <w:rPr>
          <w:sz w:val="20"/>
          <w:szCs w:val="20"/>
          <w:color w:val="auto"/>
        </w:rPr>
      </w:pPr>
      <w:r>
        <w:rPr>
          <w:rFonts w:ascii="Courier New" w:cs="Courier New" w:eastAsia="Courier New" w:hAnsi="Courier New"/>
          <w:sz w:val="15"/>
          <w:szCs w:val="15"/>
          <w:color w:val="auto"/>
        </w:rPr>
        <w:t>recorded $23,596,000 in 1997 related to the acquisition of other businesses</w:t>
      </w:r>
    </w:p>
    <w:p>
      <w:pPr>
        <w:spacing w:after="0"/>
        <w:rPr>
          <w:sz w:val="20"/>
          <w:szCs w:val="20"/>
          <w:color w:val="auto"/>
        </w:rPr>
      </w:pPr>
      <w:r>
        <w:rPr>
          <w:rFonts w:ascii="Courier New" w:cs="Courier New" w:eastAsia="Courier New" w:hAnsi="Courier New"/>
          <w:sz w:val="15"/>
          <w:szCs w:val="15"/>
          <w:color w:val="auto"/>
        </w:rPr>
        <w:t>accounted for as poolings of interests.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1996, the Company recorded $126,626,000 related to merger transactions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during the period that were accounted for as poolings of interests.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that amount, $35,000,000 related to the merger with Western Waste Industries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consummated in the second quarter of 1996 and $80,000,000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with Sanifill completed in the third quarter of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costs related to Western included $6,800,000 of transaction costs,</w:t>
      </w:r>
    </w:p>
    <w:p>
      <w:pPr>
        <w:spacing w:after="0"/>
        <w:rPr>
          <w:sz w:val="20"/>
          <w:szCs w:val="20"/>
          <w:color w:val="auto"/>
        </w:rPr>
      </w:pPr>
      <w:r>
        <w:rPr>
          <w:rFonts w:ascii="Courier New" w:cs="Courier New" w:eastAsia="Courier New" w:hAnsi="Courier New"/>
          <w:sz w:val="15"/>
          <w:szCs w:val="15"/>
          <w:color w:val="auto"/>
        </w:rPr>
        <w:t>$15,000,000 of severance and other termination benefits, and $13,200,000 of</w:t>
      </w:r>
    </w:p>
    <w:p>
      <w:pPr>
        <w:spacing w:after="0"/>
        <w:rPr>
          <w:sz w:val="20"/>
          <w:szCs w:val="20"/>
          <w:color w:val="auto"/>
        </w:rPr>
      </w:pPr>
      <w:r>
        <w:rPr>
          <w:rFonts w:ascii="Courier New" w:cs="Courier New" w:eastAsia="Courier New" w:hAnsi="Courier New"/>
          <w:sz w:val="15"/>
          <w:szCs w:val="15"/>
          <w:color w:val="auto"/>
        </w:rPr>
        <w:t>costs related to integrating operations. The Sanifill merger costs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$9,500,000 of transaction costs, $20,000,000 of relocation, severance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benefits, $13,000,000 for the integration of operations,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$37,500,000 for the disposal of duplicate facilities. Additionally,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$11,626,000 in 1996 related to other poolings of interests</w:t>
      </w:r>
    </w:p>
    <w:p>
      <w:pPr>
        <w:spacing w:after="0"/>
        <w:rPr>
          <w:sz w:val="20"/>
          <w:szCs w:val="20"/>
          <w:color w:val="auto"/>
        </w:rPr>
      </w:pPr>
      <w:r>
        <w:rPr>
          <w:rFonts w:ascii="Courier New" w:cs="Courier New" w:eastAsia="Courier New" w:hAnsi="Courier New"/>
          <w:sz w:val="15"/>
          <w:szCs w:val="15"/>
          <w:color w:val="auto"/>
        </w:rPr>
        <w:t>acquisitions.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Asset Impairments and Unusual Items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1998, 1997, and 1996, the Company recorded certain charges for asset impairments and unusual items resulting from reviews of business integration and operating plans. Such reviews were generally performed in connection with the Company's merger activities. In addition, the 1997 consolidated financial statements include a significant accounting charge resulting from a comprehensive review performed by the management of WM Holdings of its operations and investments in the fourth quarter of 1997. Similarly, the 1996 consolidated financial statements include accounting charges recorded by WM Holdings for certain operational and management restructuring activities and assets that had become impaired.</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Fair value for asset impairment losses was determined for landfills, hazardous waste facilities, recycling investments and other facilities, primarily based on future cash flow projections discounted back using discount rates appropriate for the risks involved with the specific assets. For surplus real estate, market opinions and appraisals were used. In determining fair values for abandoned projects and vehicles to be sold, recoverable salvage values were determined using market estimates. Impaired assets to be sold are primarily businesses to be sold and surplus real estate. The Company provides for losses in connection with long-term waste service contracts where an obligation exists to perform services and when it becomes evident the projected direct and incremental contract costs will exceed the related contract revenues. In general, these losses relate to contracts with remaining average duration of five years.</w:t>
      </w:r>
    </w:p>
    <w:p>
      <w:pPr>
        <w:spacing w:after="0" w:line="183"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is a summary of asset impairments and unusual items that are reflected in the Company's 1998 consolidated financial statements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 for losses on contractual commitments.............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estimates relating to the reassessment of</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ultimate losses for certain legal and remediation</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issues....................................................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331.9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 sold...................................................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195.1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Curtailment and settlement costs of terminating the defined</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benefit pension plan......................................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WM Holdings'</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Supplemental Executive Retirement Plan and other</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supplemental plans........................................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Put provisions of certain WM Holdings' stock options as a</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result of change in control provisions....................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conjunction with the WM Holdings Merger, the Company decided to terminate the WM Holdings defined benefit pension plan as of December 31, 1998, and liquidate the plan's assets and settle its obligations to participants in 1999, except as related to certain employees participating under collective bargaining</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agreements, whose benefits were transferred to a newly created plan effective October 1, 1998. This decision has resulted in a curtailment expense charge in unusual items of $34,716,000 in 1998, and is currently estimated to result in an approximate net cash settlement charge in unusual items in the third quarter of 1999 of $125,000,000. The amount of the 1999 settlement is inversely sensitive to changing interest rates. This sensitivity is approximately $20,000,000 for every 25 basis point fluctuation in interest rates.</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1998, the Company increased its reserves for certain legal and environmental remediation issues as a result of management's emphasis to resolve and settle certain issues relating primarily to WM Holdings, including a class action securities litigation against WM Holdings.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The charge to pre-tax earnings as a result of these put rights was $114,600,000 in the third quarter of 1998. To the extent the future market value of the Company's common stock exceeds $54.34 per share, the Company will be required to record additional charges to earnings through July 16, 1999, at which time all put rights expire. The expense related to these stock option put rights has no impact to equity as the offset is a direct increase to additional paid-in capital, as these put rights will be settled by the issuance of stock.</w:t>
      </w:r>
    </w:p>
    <w:p>
      <w:pPr>
        <w:spacing w:after="0" w:line="181"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is a summary of asset impairments and unusual items that are reflected in the Company's 1997 consolidated financial statements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expansions and development projects due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political or competitive factors, which will result in</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closure earlier than previously expected (includes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$233.8 for hazardous waste sites)......................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592.9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Hazardous waste facilities, resulting from continuing</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market deterioration, increased competition, excess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capacity and changing regulation.......................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Goodwill, primarily related to landfills and hazardous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waste facilities impaired (including $411.0 related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hazardous waste business)..............................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of WTI long-lived assets, including $47.1</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related to a wood waste burning independent power</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production facility....................................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Recycling investments, related primarily to continued</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pricing, overcapacity and competitive factors..........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to estimated net realizable value of trucks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be sold as a result of new fleet management policy.....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to estimated net sales proceeds of businesses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to be sold.............................................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Abandoned equipment and facilities........................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Surplus real estate.......................................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Provisions for losses on contractual commitments............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Severance for terminated employees..........................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 primarily costs of</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demobilization in Argentina following the expiration of</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the City of Buenos Aires contract, divestiture or closure</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of underperforming businesses (primarily in Italy and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Germany) and abandonment of projects (primarily in</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Germany)..................................................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104.3</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$1,771.1</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ind w:left="3420"/>
              <w:spacing w:after="0"/>
              <w:rPr>
                <w:sz w:val="20"/>
                <w:szCs w:val="20"/>
                <w:color w:val="auto"/>
              </w:rPr>
            </w:pPr>
            <w:r>
              <w:rPr>
                <w:rFonts w:ascii="Courier New" w:cs="Courier New" w:eastAsia="Courier New" w:hAnsi="Courier New"/>
                <w:sz w:val="15"/>
                <w:szCs w:val="15"/>
                <w:color w:val="auto"/>
              </w:rPr>
              <w:t>42</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As a result of WM Holdings' adoption of a new fleet replacement policy in 1997, certain older collection vehicles of WM Holdings became impaired totaling $70,900,000. This policy change accelerated the replacement of front-end loaders, rear-end loaders, and roll-off trucks, as well as shortened the estimated useful lives of such vehicles. The policy change of WM Holdings in 1997 is substantially consistent with that of the Company's that has historically been in place.</w:t>
      </w:r>
    </w:p>
    <w:p>
      <w:pPr>
        <w:spacing w:after="0" w:line="177"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is a summary of asset impairments and unusual items that are reflected in the Company's 1996 consolidated financial statements (in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 projects due to political or</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competitive factors, which will result in closure</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earlier than previously expected.......................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$ 20.4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Recycling investments, related primarily to pricing,</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overcapacity and competitive factors...................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primarily equipment to be scrapped.................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Surplus real estate.......................................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 sold...................................................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Reserves for certain litigation and for reengineering of</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finance and administrative functions......................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Provisions for losses on contractual commitments............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Western retirement benefits.................................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w:t>
            </w:r>
          </w:p>
        </w:tc>
        <w:tc>
          <w:tcPr>
            <w:tcW w:w="6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Loss on sale of investment in Wessex Water Plc............</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Revaluation of investments in France, Austria, and Spain</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in contemplation of exiting all or part of these</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markets or forming joint ventures and write-off of a</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hazardous waste disposal facility in Germany with</w:t>
            </w:r>
          </w:p>
        </w:tc>
        <w:tc>
          <w:tcPr>
            <w:tcW w:w="6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volumes adversely affected by regulatory changes.......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169.6</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$529.8</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799" w:firstLine="176"/>
        <w:spacing w:after="0" w:line="235" w:lineRule="auto"/>
        <w:rPr>
          <w:sz w:val="20"/>
          <w:szCs w:val="20"/>
          <w:color w:val="auto"/>
        </w:rPr>
      </w:pPr>
      <w:r>
        <w:rPr>
          <w:rFonts w:ascii="Courier New" w:cs="Courier New" w:eastAsia="Courier New" w:hAnsi="Courier New"/>
          <w:sz w:val="15"/>
          <w:szCs w:val="15"/>
          <w:color w:val="auto"/>
        </w:rPr>
        <w:t>(Income) Loss from Continuing Operations Held for Sale, Net of Minority Interest</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had operations that were previously classified as "discontinued" for accounting and financial reporting purposes that were subsequently reclassified to continuing operations as the respective dispositions were not completed within one year. The Company has divested of substantially all of such operations as of September 30, 1998.</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(Loss) from Operations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Income (loss) from operations was $(160,389,000), $(233,909,000), and $1,197,613,000 for the years ended December 31, 1998, 1997, and 1996, respectively, for the reasons discussed above. However, if income (loss) from operations was adjusted to exclude merger costs, asset impairments and unusual items, and (income) loss from continuing operations held for sale, then income from operations would approximate 20%, 14% and 17% of operating revenues for 1998, 1997 and 1996, respectively.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Income and Expenses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Other income and expenses consists of interest expense, interest income, other income and minority interest. Although the Company has experienced lower borrowing rates as compared to prior years, interest costs, which includes amounts capitalized, increased for each year from 1996 to 1998 due to increases in the Company's outstanding indebtedness for each period. Capitalized interest was $56,873,000, $51,376,000, and $41,501,000 for 1996, 1997 and 1998, respectively. The decline in the amount of interest capitalized by the Company over these periods is primarily due to the decline in construction activities.</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Other income in 1997 includes a gain of $129,000,000 related to the sale of the Company's investment in ServiceMaster Consumer Services L.P., which occurred during the first quarter of 1997. Other income in 1998 includes the sale of certain of the Company's investments and businesses. In January 1998 the Company recognized a gain of $38,000,000 from the sale of a waste-to-energy facility in Hamm, Germany.</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During 1998, the Company acquired the outstanding minority interest in WTI, WMI plc as well as the operations in the United Kingdom, which were 49% owned by Wessex Water Plc. As a result, the minority interest expense will be less significant to the Company in future periods.</w:t>
      </w:r>
    </w:p>
    <w:p>
      <w:pPr>
        <w:spacing w:after="0" w:line="17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In 1996, minority interest was impacted by approximately $63,800,000 for the special charges related to WM International discussed above. In 1997, minority interest was impacted by approximately $27,900,000 related to the WM International charge and $15,900,000 from the WTI asset impairment loss. The 1998 charges recorded by WM International for asset impairments and unusual items reduced minority interest expense by approximately $36,800,000.</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Provision for Income Taxes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recorded a provision for income taxes of $66,923,000,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$363,341,000, and $486,700,000, for the years ended December 31, 1998, 1997,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respectively. The primary difference in federal income taxes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statutory rate and the provision for income taxes in these years is due to 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local income taxes, non-deductible merger costs, non-deductible costs</w:t>
      </w:r>
    </w:p>
    <w:p>
      <w:pPr>
        <w:spacing w:after="0"/>
        <w:rPr>
          <w:sz w:val="20"/>
          <w:szCs w:val="20"/>
          <w:color w:val="auto"/>
        </w:rPr>
      </w:pPr>
      <w:r>
        <w:rPr>
          <w:rFonts w:ascii="Courier New" w:cs="Courier New" w:eastAsia="Courier New" w:hAnsi="Courier New"/>
          <w:sz w:val="15"/>
          <w:szCs w:val="15"/>
          <w:color w:val="auto"/>
        </w:rPr>
        <w:t>related to acquired intangibles, and minority interest.</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Discontinued Operations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recorded $95,688,000 in 1997 and $(263,301,000) in 1996 for the net results of discontinued operations. See Note 18 of the consolidated financial statements included herein for additional discussion of discontinued operations.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Extraordinary Items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During 1998 and 1997, the Company retired certain debt with unfavorable terms prior to their scheduled maturities. As a result, the Company incurred prepayment penalties and other fees, as well as charged to expense the remaining unamortized discounts and debt issuance costs. As such, the Company recorded these activities as extraordinary items in the respective periods.</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Cumulative Effect of Change in Accounting Principle</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fourth quarter of 1997, the Company began expensing process reengineering costs in accordance with the Financial Accounting Standards Board Emerging Issues Task Force Issue No. 97-13. Accordingly, the Company expensed any amounts previously capitalized, which reduced net income by $1,936,000 in 1997.</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Net Income (Loss)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For reasons discussed above, net income (loss) was $(770,702,000) in 1998, $(938,895,000) in 1997, and $24,231,000 in 1996.</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46" w:name="page47"/>
    <w:bookmarkEnd w:id="46"/>
    <w:p>
      <w:pPr>
        <w:ind w:left="270"/>
        <w:spacing w:after="0"/>
        <w:rPr>
          <w:sz w:val="20"/>
          <w:szCs w:val="20"/>
          <w:color w:val="auto"/>
        </w:rPr>
      </w:pPr>
      <w:r>
        <w:rPr>
          <w:rFonts w:ascii="Courier New" w:cs="Courier New" w:eastAsia="Courier New" w:hAnsi="Courier New"/>
          <w:sz w:val="15"/>
          <w:szCs w:val="15"/>
          <w:color w:val="auto"/>
        </w:rPr>
        <w:t>47</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Variation in Quarterly Results</w:t>
      </w:r>
    </w:p>
    <w:p>
      <w:pPr>
        <w:spacing w:after="0" w:line="175" w:lineRule="exact"/>
        <w:rPr>
          <w:sz w:val="20"/>
          <w:szCs w:val="20"/>
          <w:color w:val="auto"/>
        </w:rPr>
      </w:pPr>
    </w:p>
    <w:p>
      <w:pPr>
        <w:ind w:left="10" w:right="3179" w:firstLine="441"/>
        <w:spacing w:after="0" w:line="259" w:lineRule="auto"/>
        <w:rPr>
          <w:sz w:val="20"/>
          <w:szCs w:val="20"/>
          <w:color w:val="auto"/>
        </w:rPr>
      </w:pPr>
      <w:r>
        <w:rPr>
          <w:rFonts w:ascii="Courier New" w:cs="Courier New" w:eastAsia="Courier New" w:hAnsi="Courier New"/>
          <w:sz w:val="14"/>
          <w:szCs w:val="14"/>
          <w:color w:val="auto"/>
        </w:rPr>
        <w:t>Certain charges (and the tax and minority interest effects of such charges) have significantly affected the quarterly trend analysis of the Company's operating results for 1998 and 1997. A comparison of the "as reported" and "as adjusted" quarterly net income (loss) per share for 1998 and 1997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AS REPORTED</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 ADJUSTED(1)</w:t>
            </w:r>
          </w:p>
        </w:tc>
      </w:tr>
      <w:tr>
        <w:trPr>
          <w:trHeight w:val="170"/>
        </w:trPr>
        <w:tc>
          <w:tcPr>
            <w:tcW w:w="45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0"/>
              </w:rPr>
              <w: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BASIC</w:t>
            </w:r>
          </w:p>
        </w:tc>
        <w:tc>
          <w:tcPr>
            <w:tcW w:w="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DILUTED</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r>
      <w:tr>
        <w:trPr>
          <w:trHeight w:val="170"/>
        </w:trPr>
        <w:tc>
          <w:tcPr>
            <w:tcW w:w="4580" w:type="dxa"/>
            <w:vAlign w:val="bottom"/>
          </w:tcPr>
          <w:p>
            <w:pPr>
              <w:spacing w:after="0"/>
              <w:rPr>
                <w:sz w:val="14"/>
                <w:szCs w:val="14"/>
                <w:color w:val="auto"/>
              </w:rPr>
            </w:pPr>
          </w:p>
        </w:tc>
        <w:tc>
          <w:tcPr>
            <w:tcW w:w="7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0.31</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$0.34</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0.42</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0.41</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0.41</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(2.11)</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(2.11)</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0.51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0.48</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0.10</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0.30</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$0.33</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0.26</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0.33</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0.09</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0.09</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0.29</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0.28</w:t>
            </w: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(2.34)</w:t>
            </w:r>
          </w:p>
        </w:tc>
        <w:tc>
          <w:tcPr>
            <w:tcW w:w="18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(2.34)</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0.16</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179" w:hanging="350"/>
        <w:spacing w:after="0" w:line="257"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 adjusted" results exclude the pre-tax charges and related tax and minority interest impacts of merger costs for pooling of interests business combinations, as well as related charges for asset impairments and unusual items, and the statement of operations line item income (loss) from continuing operations held for sale, net of minority interest. Additionally, the "as adjusted" results exclude discontinued operations, extraordinary items, and the cumulative effect of change in accounting principle.</w:t>
      </w:r>
    </w:p>
    <w:p>
      <w:pPr>
        <w:spacing w:after="0" w:line="167"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Basic and diluted earnings per common share for each of the quarters presented above is based on the respective weighted average number of common and diluted potential common shares outstanding for each period and the sum of the quarters may not necessarily be equal to the full year basic and diluted earnings per common share amounts.</w:t>
      </w:r>
    </w:p>
    <w:p>
      <w:pPr>
        <w:spacing w:after="0" w:line="178"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The Company's business strategy is to continue to grow through acquisitions. Consequently, future quarterly results could be impacted by additional merger costs and related expenses associated with such merger and acquisition activity.</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Company operates in an industry that requires a high level of capital</w:t>
      </w:r>
    </w:p>
    <w:p>
      <w:pPr>
        <w:ind w:left="10"/>
        <w:spacing w:after="0"/>
        <w:rPr>
          <w:sz w:val="20"/>
          <w:szCs w:val="20"/>
          <w:color w:val="auto"/>
        </w:rPr>
      </w:pPr>
      <w:r>
        <w:rPr>
          <w:rFonts w:ascii="Courier New" w:cs="Courier New" w:eastAsia="Courier New" w:hAnsi="Courier New"/>
          <w:sz w:val="15"/>
          <w:szCs w:val="15"/>
          <w:color w:val="auto"/>
        </w:rPr>
        <w:t>investment. The Company's capital requirements primarily stem from (i) its</w:t>
      </w:r>
    </w:p>
    <w:p>
      <w:pPr>
        <w:ind w:left="10"/>
        <w:spacing w:after="0"/>
        <w:rPr>
          <w:sz w:val="20"/>
          <w:szCs w:val="20"/>
          <w:color w:val="auto"/>
        </w:rPr>
      </w:pPr>
      <w:r>
        <w:rPr>
          <w:rFonts w:ascii="Courier New" w:cs="Courier New" w:eastAsia="Courier New" w:hAnsi="Courier New"/>
          <w:sz w:val="15"/>
          <w:szCs w:val="15"/>
          <w:color w:val="auto"/>
        </w:rPr>
        <w:t>working capital needs for its ongoing operations, (ii) capital expenditures for</w:t>
      </w:r>
    </w:p>
    <w:p>
      <w:pPr>
        <w:ind w:left="10"/>
        <w:spacing w:after="0" w:line="238" w:lineRule="auto"/>
        <w:rPr>
          <w:sz w:val="20"/>
          <w:szCs w:val="20"/>
          <w:color w:val="auto"/>
        </w:rPr>
      </w:pPr>
      <w:r>
        <w:rPr>
          <w:rFonts w:ascii="Courier New" w:cs="Courier New" w:eastAsia="Courier New" w:hAnsi="Courier New"/>
          <w:sz w:val="15"/>
          <w:szCs w:val="15"/>
          <w:color w:val="auto"/>
        </w:rPr>
        <w:t>cell construction and expansion of its disposal sites, as well as new trucks and</w:t>
      </w:r>
    </w:p>
    <w:p>
      <w:pPr>
        <w:ind w:left="10"/>
        <w:spacing w:after="0"/>
        <w:rPr>
          <w:sz w:val="20"/>
          <w:szCs w:val="20"/>
          <w:color w:val="auto"/>
        </w:rPr>
      </w:pPr>
      <w:r>
        <w:rPr>
          <w:rFonts w:ascii="Courier New" w:cs="Courier New" w:eastAsia="Courier New" w:hAnsi="Courier New"/>
          <w:sz w:val="15"/>
          <w:szCs w:val="15"/>
          <w:color w:val="auto"/>
        </w:rPr>
        <w:t>equipment for its collection operations, and (iii) business acquisitions. The</w:t>
      </w:r>
    </w:p>
    <w:p>
      <w:pPr>
        <w:ind w:left="10"/>
        <w:spacing w:after="0"/>
        <w:rPr>
          <w:sz w:val="20"/>
          <w:szCs w:val="20"/>
          <w:color w:val="auto"/>
        </w:rPr>
      </w:pPr>
      <w:r>
        <w:rPr>
          <w:rFonts w:ascii="Courier New" w:cs="Courier New" w:eastAsia="Courier New" w:hAnsi="Courier New"/>
          <w:sz w:val="15"/>
          <w:szCs w:val="15"/>
          <w:color w:val="auto"/>
        </w:rPr>
        <w:t>Company's strategy is to meet these capital needs first from internally</w:t>
      </w:r>
    </w:p>
    <w:p>
      <w:pPr>
        <w:ind w:left="10"/>
        <w:spacing w:after="0" w:line="238" w:lineRule="auto"/>
        <w:rPr>
          <w:sz w:val="20"/>
          <w:szCs w:val="20"/>
          <w:color w:val="auto"/>
        </w:rPr>
      </w:pPr>
      <w:r>
        <w:rPr>
          <w:rFonts w:ascii="Courier New" w:cs="Courier New" w:eastAsia="Courier New" w:hAnsi="Courier New"/>
          <w:sz w:val="15"/>
          <w:szCs w:val="15"/>
          <w:color w:val="auto"/>
        </w:rPr>
        <w:t>generated funds and secondly from various financing sources available to the</w:t>
      </w:r>
    </w:p>
    <w:p>
      <w:pPr>
        <w:ind w:left="10"/>
        <w:spacing w:after="0"/>
        <w:rPr>
          <w:sz w:val="20"/>
          <w:szCs w:val="20"/>
          <w:color w:val="auto"/>
        </w:rPr>
      </w:pPr>
      <w:r>
        <w:rPr>
          <w:rFonts w:ascii="Courier New" w:cs="Courier New" w:eastAsia="Courier New" w:hAnsi="Courier New"/>
          <w:sz w:val="15"/>
          <w:szCs w:val="15"/>
          <w:color w:val="auto"/>
        </w:rPr>
        <w:t>Company, including the incurrence of debt and the issuance of its common stock.</w:t>
      </w:r>
    </w:p>
    <w:p>
      <w:pPr>
        <w:ind w:left="10"/>
        <w:spacing w:after="0"/>
        <w:rPr>
          <w:sz w:val="20"/>
          <w:szCs w:val="20"/>
          <w:color w:val="auto"/>
        </w:rPr>
      </w:pPr>
      <w:r>
        <w:rPr>
          <w:rFonts w:ascii="Courier New" w:cs="Courier New" w:eastAsia="Courier New" w:hAnsi="Courier New"/>
          <w:sz w:val="15"/>
          <w:szCs w:val="15"/>
          <w:color w:val="auto"/>
        </w:rPr>
        <w:t>It is further part of the Company's strategy to minimize working capital while</w:t>
      </w:r>
    </w:p>
    <w:p>
      <w:pPr>
        <w:ind w:left="10"/>
        <w:spacing w:after="0"/>
        <w:rPr>
          <w:sz w:val="20"/>
          <w:szCs w:val="20"/>
          <w:color w:val="auto"/>
        </w:rPr>
      </w:pPr>
      <w:r>
        <w:rPr>
          <w:rFonts w:ascii="Courier New" w:cs="Courier New" w:eastAsia="Courier New" w:hAnsi="Courier New"/>
          <w:sz w:val="15"/>
          <w:szCs w:val="15"/>
          <w:color w:val="auto"/>
        </w:rPr>
        <w:t>maintaining available commitments under bank credit agreements to fund any</w:t>
      </w:r>
    </w:p>
    <w:p>
      <w:pPr>
        <w:ind w:left="10"/>
        <w:spacing w:after="0" w:line="238" w:lineRule="auto"/>
        <w:rPr>
          <w:sz w:val="20"/>
          <w:szCs w:val="20"/>
          <w:color w:val="auto"/>
        </w:rPr>
      </w:pPr>
      <w:r>
        <w:rPr>
          <w:rFonts w:ascii="Courier New" w:cs="Courier New" w:eastAsia="Courier New" w:hAnsi="Courier New"/>
          <w:sz w:val="15"/>
          <w:szCs w:val="15"/>
          <w:color w:val="auto"/>
        </w:rPr>
        <w:t>capital needs in excess of internally generated cash flow. The Company had</w:t>
      </w:r>
    </w:p>
    <w:p>
      <w:pPr>
        <w:ind w:left="10"/>
        <w:spacing w:after="0"/>
        <w:rPr>
          <w:sz w:val="20"/>
          <w:szCs w:val="20"/>
          <w:color w:val="auto"/>
        </w:rPr>
      </w:pPr>
      <w:r>
        <w:rPr>
          <w:rFonts w:ascii="Courier New" w:cs="Courier New" w:eastAsia="Courier New" w:hAnsi="Courier New"/>
          <w:sz w:val="15"/>
          <w:szCs w:val="15"/>
          <w:color w:val="auto"/>
        </w:rPr>
        <w:t>unused and available credit capacity under its domestic bank facilities of</w:t>
      </w:r>
    </w:p>
    <w:p>
      <w:pPr>
        <w:ind w:left="10"/>
        <w:spacing w:after="0"/>
        <w:rPr>
          <w:sz w:val="20"/>
          <w:szCs w:val="20"/>
          <w:color w:val="auto"/>
        </w:rPr>
      </w:pPr>
      <w:r>
        <w:rPr>
          <w:rFonts w:ascii="Courier New" w:cs="Courier New" w:eastAsia="Courier New" w:hAnsi="Courier New"/>
          <w:sz w:val="15"/>
          <w:szCs w:val="15"/>
          <w:color w:val="auto"/>
        </w:rPr>
        <w:t>$1,360,000,000 at December 31, 1998, and $1,050,000,000 as of March 24, 1999.</w:t>
      </w:r>
    </w:p>
    <w:p>
      <w:pPr>
        <w:spacing w:after="0" w:line="168"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As of December 31, 1998, the Company had a working capital deficit of</w:t>
      </w:r>
    </w:p>
    <w:p>
      <w:pPr>
        <w:ind w:left="10"/>
        <w:spacing w:after="0"/>
        <w:rPr>
          <w:sz w:val="20"/>
          <w:szCs w:val="20"/>
          <w:color w:val="auto"/>
        </w:rPr>
      </w:pPr>
      <w:r>
        <w:rPr>
          <w:rFonts w:ascii="Courier New" w:cs="Courier New" w:eastAsia="Courier New" w:hAnsi="Courier New"/>
          <w:sz w:val="15"/>
          <w:szCs w:val="15"/>
          <w:color w:val="auto"/>
        </w:rPr>
        <w:t>$412,269,000 (a ratio of current assets to current liabilities of 0.90:1) and a</w:t>
      </w:r>
    </w:p>
    <w:p>
      <w:pPr>
        <w:ind w:left="10"/>
        <w:spacing w:after="0"/>
        <w:rPr>
          <w:sz w:val="20"/>
          <w:szCs w:val="20"/>
          <w:color w:val="auto"/>
        </w:rPr>
      </w:pPr>
      <w:r>
        <w:rPr>
          <w:rFonts w:ascii="Courier New" w:cs="Courier New" w:eastAsia="Courier New" w:hAnsi="Courier New"/>
          <w:sz w:val="15"/>
          <w:szCs w:val="15"/>
          <w:color w:val="auto"/>
        </w:rPr>
        <w:t>cash balance of $86,873,000 which compares to a working capital deficit of</w:t>
      </w:r>
    </w:p>
    <w:p>
      <w:pPr>
        <w:ind w:left="10"/>
        <w:spacing w:after="0" w:line="238" w:lineRule="auto"/>
        <w:rPr>
          <w:sz w:val="20"/>
          <w:szCs w:val="20"/>
          <w:color w:val="auto"/>
        </w:rPr>
      </w:pPr>
      <w:r>
        <w:rPr>
          <w:rFonts w:ascii="Courier New" w:cs="Courier New" w:eastAsia="Courier New" w:hAnsi="Courier New"/>
          <w:sz w:val="15"/>
          <w:szCs w:val="15"/>
          <w:color w:val="auto"/>
        </w:rPr>
        <w:t>$1,967,278,000 (a current ratio of 0.59:1) and a cash balance of $189,942,000 as</w:t>
      </w:r>
    </w:p>
    <w:p>
      <w:pPr>
        <w:ind w:left="10"/>
        <w:spacing w:after="0"/>
        <w:rPr>
          <w:sz w:val="20"/>
          <w:szCs w:val="20"/>
          <w:color w:val="auto"/>
        </w:rPr>
      </w:pPr>
      <w:r>
        <w:rPr>
          <w:rFonts w:ascii="Courier New" w:cs="Courier New" w:eastAsia="Courier New" w:hAnsi="Courier New"/>
          <w:sz w:val="15"/>
          <w:szCs w:val="15"/>
          <w:color w:val="auto"/>
        </w:rPr>
        <w:t>of December 31, 1997. The working capital at December 31, 1998, was impacted by</w:t>
      </w:r>
    </w:p>
    <w:p>
      <w:pPr>
        <w:ind w:left="10"/>
        <w:spacing w:after="0"/>
        <w:rPr>
          <w:sz w:val="20"/>
          <w:szCs w:val="20"/>
          <w:color w:val="auto"/>
        </w:rPr>
      </w:pPr>
      <w:r>
        <w:rPr>
          <w:rFonts w:ascii="Courier New" w:cs="Courier New" w:eastAsia="Courier New" w:hAnsi="Courier New"/>
          <w:sz w:val="15"/>
          <w:szCs w:val="15"/>
          <w:color w:val="auto"/>
        </w:rPr>
        <w:t>current assets held for sale of $746,605,000 and an increase in current deferred</w:t>
      </w:r>
    </w:p>
    <w:p>
      <w:pPr>
        <w:ind w:left="10"/>
        <w:spacing w:after="0" w:line="238" w:lineRule="auto"/>
        <w:rPr>
          <w:sz w:val="20"/>
          <w:szCs w:val="20"/>
          <w:color w:val="auto"/>
        </w:rPr>
      </w:pPr>
      <w:r>
        <w:rPr>
          <w:rFonts w:ascii="Courier New" w:cs="Courier New" w:eastAsia="Courier New" w:hAnsi="Courier New"/>
          <w:sz w:val="15"/>
          <w:szCs w:val="15"/>
          <w:color w:val="auto"/>
        </w:rPr>
        <w:t>income tax assets of $181,655,000 as compared to the prior year balance. As of</w:t>
      </w:r>
    </w:p>
    <w:p>
      <w:pPr>
        <w:ind w:left="10"/>
        <w:spacing w:after="0"/>
        <w:rPr>
          <w:sz w:val="20"/>
          <w:szCs w:val="20"/>
          <w:color w:val="auto"/>
        </w:rPr>
      </w:pPr>
      <w:r>
        <w:rPr>
          <w:rFonts w:ascii="Courier New" w:cs="Courier New" w:eastAsia="Courier New" w:hAnsi="Courier New"/>
          <w:sz w:val="15"/>
          <w:szCs w:val="15"/>
          <w:color w:val="auto"/>
        </w:rPr>
        <w:t>December 31, 1998, approximately $220,000,000 remained in current liabilities</w:t>
      </w:r>
    </w:p>
    <w:p>
      <w:pPr>
        <w:ind w:left="10"/>
        <w:spacing w:after="0"/>
        <w:rPr>
          <w:sz w:val="20"/>
          <w:szCs w:val="20"/>
          <w:color w:val="auto"/>
        </w:rPr>
      </w:pPr>
      <w:r>
        <w:rPr>
          <w:rFonts w:ascii="Courier New" w:cs="Courier New" w:eastAsia="Courier New" w:hAnsi="Courier New"/>
          <w:sz w:val="15"/>
          <w:szCs w:val="15"/>
          <w:color w:val="auto"/>
        </w:rPr>
        <w:t>related to the merger cost recorded in the third and fourth quarters of 1998.</w:t>
      </w:r>
    </w:p>
    <w:p>
      <w:pPr>
        <w:spacing w:after="0" w:line="174" w:lineRule="exact"/>
        <w:rPr>
          <w:sz w:val="20"/>
          <w:szCs w:val="20"/>
          <w:color w:val="auto"/>
        </w:rPr>
      </w:pPr>
    </w:p>
    <w:p>
      <w:pPr>
        <w:ind w:left="10" w:right="3799" w:firstLine="441"/>
        <w:spacing w:after="0" w:line="260" w:lineRule="auto"/>
        <w:rPr>
          <w:sz w:val="20"/>
          <w:szCs w:val="20"/>
          <w:color w:val="auto"/>
        </w:rPr>
      </w:pPr>
      <w:r>
        <w:rPr>
          <w:rFonts w:ascii="Courier New" w:cs="Courier New" w:eastAsia="Courier New" w:hAnsi="Courier New"/>
          <w:sz w:val="14"/>
          <w:szCs w:val="14"/>
          <w:color w:val="auto"/>
        </w:rPr>
        <w:t>For the year ended December 31, 1998, net cash provided by operating activities was $1,502,035,000, as compared to $2,065,906,000 in 1997 and $1,930,956,000 in 1996 and net cash provided by (used in) financing</w:t>
      </w:r>
    </w:p>
    <w:p>
      <w:pPr>
        <w:sectPr>
          <w:pgSz w:w="11900" w:h="16838" w:orient="portrait"/>
          <w:cols w:equalWidth="0" w:num="1">
            <w:col w:w="10229"/>
          </w:cols>
          <w:pgMar w:left="230" w:top="283" w:right="1440" w:bottom="1440" w:gutter="0" w:footer="0" w:header="0"/>
        </w:sectPr>
      </w:pP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9"/>
          </w:cols>
          <w:pgMar w:left="230" w:top="283"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was $2,955,796,000 in 1998, as compared to $(444,950,000) in 1997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$(192,159,000) in 1996. In 1998, cash generated from operating and financing</w:t>
      </w:r>
    </w:p>
    <w:p>
      <w:pPr>
        <w:spacing w:after="0"/>
        <w:rPr>
          <w:sz w:val="20"/>
          <w:szCs w:val="20"/>
          <w:color w:val="auto"/>
        </w:rPr>
      </w:pPr>
      <w:r>
        <w:rPr>
          <w:rFonts w:ascii="Courier New" w:cs="Courier New" w:eastAsia="Courier New" w:hAnsi="Courier New"/>
          <w:sz w:val="15"/>
          <w:szCs w:val="15"/>
          <w:color w:val="auto"/>
        </w:rPr>
        <w:t>activities was primarily used to acquire businesses and outstanding minority</w:t>
      </w:r>
    </w:p>
    <w:p>
      <w:pPr>
        <w:spacing w:after="0"/>
        <w:rPr>
          <w:sz w:val="20"/>
          <w:szCs w:val="20"/>
          <w:color w:val="auto"/>
        </w:rPr>
      </w:pPr>
      <w:r>
        <w:rPr>
          <w:rFonts w:ascii="Courier New" w:cs="Courier New" w:eastAsia="Courier New" w:hAnsi="Courier New"/>
          <w:sz w:val="15"/>
          <w:szCs w:val="15"/>
          <w:color w:val="auto"/>
        </w:rPr>
        <w:t>interest positions for $3,619,365,000 and for capital expenditures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$1,651,489,000. In 1997, capital expenditures of $1,332,207,000 and acquisitions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businesses and outstanding minority interests of $1,789,580,000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primarily financed through net cash from operations of $2,065,906,000 as well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asset sales of $1,496,562,000. Additionally, in 1997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$1,000,208,000 of its stock and paid cash dividends to its shareholders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$309,577,000. In 1996, cash from operating activities of $1,930,956,000 and</w:t>
      </w:r>
    </w:p>
    <w:p>
      <w:pPr>
        <w:spacing w:after="0"/>
        <w:rPr>
          <w:sz w:val="20"/>
          <w:szCs w:val="20"/>
          <w:color w:val="auto"/>
        </w:rPr>
      </w:pPr>
      <w:r>
        <w:rPr>
          <w:rFonts w:ascii="Courier New" w:cs="Courier New" w:eastAsia="Courier New" w:hAnsi="Courier New"/>
          <w:sz w:val="15"/>
          <w:szCs w:val="15"/>
          <w:color w:val="auto"/>
        </w:rPr>
        <w:t>the sale of assets of $830,773,000 was primarily used for capital expenditures</w:t>
      </w:r>
    </w:p>
    <w:p>
      <w:pPr>
        <w:spacing w:after="0"/>
        <w:rPr>
          <w:sz w:val="20"/>
          <w:szCs w:val="20"/>
          <w:color w:val="auto"/>
        </w:rPr>
      </w:pPr>
      <w:r>
        <w:rPr>
          <w:rFonts w:ascii="Courier New" w:cs="Courier New" w:eastAsia="Courier New" w:hAnsi="Courier New"/>
          <w:sz w:val="15"/>
          <w:szCs w:val="15"/>
          <w:color w:val="auto"/>
        </w:rPr>
        <w:t>of $1,519,272,000 and business and minority interest acquisitions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$851,642,000, treasury stock purchases of $473,560,000 and cash dividends to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of $308,265,000.</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expects to generate sufficient cash flow from its operations in 1999 to cover its anticipated cash needs for capital expenditures and acquisitions. If the Company's cash flow from operations during 1999 is less than currently expected, or if the Company's capital requirements increase, either due to strategic decisions or otherwise, the Company may elect to incur future indebtedness or issue equity securities to cover any additional capital needs. However, there can be no assurance that the Company will be successful in obtaining additional capital on acceptable terms through such debt incurrances or issuances of additional equity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ACTIVITY IN 1998</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July 16, 1998, the Company completed a merger with WM Holdings. Under the terms of the WM Holdings Merger, the Company issued 0.725 of a share of its common stock for each outstanding share of WM Holdings common stock. The WM Holdings Merger increased the Company's outstanding shares of common stock by approximately 354,000,000 shares, and the Company assumed WM Holdings' stock options equivalent to approximately 16,000,000 underlying shares of the Company's common stock. Any unvested WM Holdings options issued prior to March 10, 1998 vested upon consummation of the WM Holdings Merger due to change of control provisions in the related plans. WM Holdings was previously the largest publicly traded solid waste company in the U.S., providing integrated solid waste management and hazardous waste management services in North America and comprehensive waste management and related services, including solid and hazardous waste management services, internationally. WM Holdings was also a leading developer of facilities for, and provider of services to, the waste-to-energy and waste-fuel powered independent power markets.</w:t>
      </w:r>
    </w:p>
    <w:p>
      <w:pPr>
        <w:spacing w:after="0" w:line="16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On December 31, 1998, the Company consummated the Eastern Merger pursuant to which the Company issued approximately 24,460,000 shares of its common stock in exchange for all of the outstanding shares of Eastern.</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November 30, 1998, the Company acquired the 49% interest of the United Kingdom operations that were previously owned by Wessex Water Plc for approximately $342,000,000.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November 3, 1998, the Company completed the acquisition of the publicly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shares of WMI plc. Pursuant to the acquisition, holders of the</w:t>
      </w:r>
    </w:p>
    <w:p>
      <w:pPr>
        <w:spacing w:after="0"/>
        <w:rPr>
          <w:sz w:val="20"/>
          <w:szCs w:val="20"/>
          <w:color w:val="auto"/>
        </w:rPr>
      </w:pPr>
      <w:r>
        <w:rPr>
          <w:rFonts w:ascii="Courier New" w:cs="Courier New" w:eastAsia="Courier New" w:hAnsi="Courier New"/>
          <w:sz w:val="15"/>
          <w:szCs w:val="15"/>
          <w:color w:val="auto"/>
        </w:rPr>
        <w:t>approximately 75 million ordinary shares not already owned by the Company</w:t>
      </w:r>
    </w:p>
    <w:p>
      <w:pPr>
        <w:spacing w:after="0"/>
        <w:rPr>
          <w:sz w:val="20"/>
          <w:szCs w:val="20"/>
          <w:color w:val="auto"/>
        </w:rPr>
      </w:pPr>
      <w:r>
        <w:rPr>
          <w:rFonts w:ascii="Courier New" w:cs="Courier New" w:eastAsia="Courier New" w:hAnsi="Courier New"/>
          <w:sz w:val="15"/>
          <w:szCs w:val="15"/>
          <w:color w:val="auto"/>
        </w:rPr>
        <w:t>(including those represented by American Depositary Receipts) received</w:t>
      </w:r>
    </w:p>
    <w:p>
      <w:pPr>
        <w:spacing w:after="0" w:line="238" w:lineRule="auto"/>
        <w:rPr>
          <w:sz w:val="20"/>
          <w:szCs w:val="20"/>
          <w:color w:val="auto"/>
        </w:rPr>
      </w:pPr>
      <w:r>
        <w:rPr>
          <w:rFonts w:ascii="Courier New" w:cs="Courier New" w:eastAsia="Courier New" w:hAnsi="Courier New"/>
          <w:sz w:val="15"/>
          <w:szCs w:val="15"/>
          <w:color w:val="auto"/>
        </w:rPr>
        <w:t>approximately $5.72 for each share held, for a total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$443,000,000. The Company liquidated WMI plc after the acquisition in an effort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simplify the corporate structure and provide enhanced tax planning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The Company's international operations are now conducted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WM International.</w:t>
      </w:r>
    </w:p>
    <w:p>
      <w:pPr>
        <w:spacing w:after="0" w:line="175"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On June 18, 1998, the Company acquired the solid waste businesses of American Waste for approximately $150,000,000 in cash. The businesses acquired include three landfills and one collection operation located in Ohio.</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May 6, 1998, the Company consummated a merger with TransAmerican pursuant to which the Company issued approximately 1,975,000 shares of its common stock in exchange for all outstanding shares of TransAmerican. The businesses acquired include five collection operations, nine landfills and two transfer stations located throughout the southern U.S.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3"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On March 31, 1998, the Company acquired all of the outstanding shares of WTI which it did not already own for $876,200,000 in cash.</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On January 14, 1998, the Company acquired the solid waste divisions of City Management for approximately $810,000,000 consisting of cash and debt assumed. The businesses acquired are primarily located in the state of Michigan and include several collection operations, landfills, and transfer stations.</w:t>
      </w:r>
    </w:p>
    <w:p>
      <w:pPr>
        <w:spacing w:after="0" w:line="163"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In addition to the aforementioned acquisition transactions, the Company paid an aggregate of $1,453,880,000 in cash, common stock, and liabilities assumed to acquire solid waste assets and businesses.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obligations for final closure, which is the closure of the final cell of a landfill, and post-closure of landfills it operates or for which it is otherwise responsible. The final closure and post-closure liabilities are accrued and charged to expense as airspace is consumed such that the total estimated final closure and post-closure cost will be fully accrued for each landfill at the time the site discontinues accepting waste and is closed. The Company has also established procedures to evaluate its potential remedial liabilities at closed sites which it owns or operated, or to which it transported waste, including 88 sites listed on the NPL. The majority of situations involving NPL sites relate to allegations that subsidiaries of the Company (or their predecessors) transported waste to the facilities in question, often prior to the acquisition of such subsidiaries by the Company. In instances in which the Company has concluded that it is probable that a liability has been incurred, provision has been made in the financial statements.</w:t>
      </w:r>
    </w:p>
    <w:p>
      <w:pPr>
        <w:spacing w:after="0" w:line="33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While the precise amount of these future costs cannot be determined with certainty, the Company has estimated that the aggregate cost of environmental liabilities for all sites owned or operated as of December 31, 1998, will be approximately $2,929,065,000. As of December 31, 1998 and 1997, the Company had recorded liabilities of $1,122,099,000 and $1,167,660,000, respectively, for final closure and post-closure costs of disposal facilities. The difference between the final closure and post-closure costs accrued at December 31, 1998, and the total estimated final closure and post-closure costs to be incurred will be accrued and charged to expense as airspace is consumed such that the total estimated final closure and post-closure costs to be incurred will be fully accrued for each landfill at the time the site discontinues accepting waste and is closed. As of December 31, 1998, the Company also expects to incur approximately $2,439,000,000 related to future construction activities during the remaining operating lives of the disposal sites, which are also being expensed over the useful lives of the disposal sites as airspace is consumed.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DATE CONVERSION</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Company is currently working to resolve the potential impact of the Year 2000 on the processing of date-sensitive data by the Company's computerized information systems. In 1997, the Company began to modify its North American computer information systems to ensure proper processing of transactions relating to the Year 2000 and beyond and completed the majority of the required modifications to its critical business systems in use in North America during 1998. The Company expects to have all of such modifications completed during the third quarter of 1999. For WM International, systems supplied by an outside vendor are used for critical operations. That vendor has supplied the Company with Year 2000 compliant versions, deployment of which is largely completed. The Company expects that the systems used by WM International will be fully Year</w:t>
      </w:r>
    </w:p>
    <w:p>
      <w:pPr>
        <w:spacing w:after="0" w:line="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2000 compliant during the third quarter of 1999. The amount charged to expense during 1998 and 1997, as well as the amounts expected to be charged to expense in 1999, related to the Year 2000 computer compliance modifications, have not been material and are not expected to be material to the Company's financial position, results of operations or cash flows.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to its critical business systems, the Company has addressed the issue of the Year 2000 impact on certain of its embedded technologies. Incinerators and monitoring wells both have computer chips embedded within them, and the Company has undertaken to upgrade those chips to avoid any malfunctioning of the chips as a result of the year 2000. The Company expects such upgrades to be complete by the end of 1999. The Company is also taking steps to resolve Year 2000 compliance issues that may be created by customers, suppliers and financial institutions with whom the Company does business. However, there can be no guarantee that the systems of other entities will be converted timely.</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is in the process of establishing a worst case scenario and written contingency plan to address any issues that could arise should the Company or any of its suppliers or customers not be prepared to accommodate Year 2000 issues timely. The Company believes that in an emergency it could revert to the use of manual systems that do not rely on computers and could perform the minimum functions required to provide information reporting to maintain satisfactory control of the business. Should the Company have to utilize manual systems, it is uncertain that it could maintain the same level of operations, and this could have a material adverse impact on the business. The Company intends to maintain constant surveillance on this situation and will develop such contingency plans as are required by the changing environment.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the Company in 2000. Management is currently assessing the impact that the adoption of SFAS No. 133 will have on the Company's consolidated financial statements.</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April 1998, the Company adopted the American Institute of Certified Public Accountants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The Company adopted SOP 98-5 in the third quarter of 1998. The impact of SOP 98-5 was not material to the Company's consolidated financial position, results of operations and cash flows.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January 1, 1997, the Company adopted the American Institute of Certified Public Accountants Statements of Position 96-1, Environmental Remediation Liabilities ("SOP 96-1"). SOP 96-1 provides that environmental remediation liabilities should be accrued when the criteria of the FASB Statement of Financial Accounting Standards No. 5, Accounting for Contingencies, are met. SOP 96-1 also provides that the accrual for such liabilities should include future costs for those employees expected to devote a significant amount of time directly to the management of remediation liabilities. The adoption of SOP 96-1 during 1997 resulted in an increase to operating costs and expenses of approximately $49,900,000 for that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7A.QUANTITATIVE AND QUALITATIVE DISCLOSURE ABOUT MARKET RISK.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the normal course of business, the Company is exposed to market risk, including changes in interest rates, currency exchange rates, certain commodity prices and certain equity prices. From time to time, the Company and certain of its subsidiaries use derivatives to manage some portion of these risks. The derivatives used are simple agreements which provide for payments based on the notional amount, with no multipliers or leverage. All derivatives are related to actual or anticipated exposures of transactions of the Company. While the Company is exposed to credit risk in the event of non-performance by counterparties to derivatives, in all cases such counterparties are highly rated financial institutions and the Company does not anticipate non-performance. The Company does not hold or issue derivative financial instruments for trading purposes. The Company monitors its derivative positions by regularly evaluating the positions at market and by performing sensitivity analyses.</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performed sensitivity analyses to determine how market rate changes will affect the fair value of the Company's market risk sensitive derivatives and related positions. Such an analysis is inherently limited in that it represents a singular, hypothetical set of assumptions. Actual market movements may vary significantly from the Company's assumptions. The effects of such market movements may also directly or indirectly affect the Company's assumptions. The effects of such market movements may also directly or indirectly affect Company rights and obligations not covered by sensitivity analysis. Fair value sensitivity is not necessarily indicative of the ultimate cash flow or earnings effect on the Company from the assumed market rate movements.</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Interest Rate Exposure. The Company's exposure to market risk for changes in interest rates relates primarily to the Company's debt obligations, which are mainly denominated in U.S. dollars. In addition, interest rate swaps are generally used to lock-in or limit the variability in the interest expense of certain floating rate debt obligations. An instantaneous, one percentage point decline in interest rates across all maturities and applicable yield curves would increase the fair value of the Company's combined debt and interest rate swap position at December 31, 1998 and 1997 by approximately $591,000,000 and $391,000,000, respectively. This analysis does not reflect the effect that declining interest rates would have on other items such as pension liabilities, nor the favorable impact they would have on interest expense and cash payments for interest. As a significant portion of the Company's debt is at fixed rates, changes in market interest rates would not significantly impact operating results until and unless such debt would need to be refinanced at maturity.</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Currency Rate Exposure. From time to time, the Company and certain of its subsidiaries have used foreign currency derivatives to seek to mitigate the impact of translation on foreign earnings and income from foreign investees. Typically these derivatives have taken the form of purchased put options or collars. There were no currency derivatives outstanding at December 31, 1998 and 1997, that relate to hedging the translation of foreign earnings.</w:t>
      </w:r>
    </w:p>
    <w:p>
      <w:pPr>
        <w:spacing w:after="0" w:line="176"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The Company occasionally incurs currency risk from cross border transactions. When such transactions are anticipated or committed to, the Company may enter into forward contracts or purchase options to reduce or eliminate the related foreign exchange risk. The Company also incurs exchange rate risk from borrowings denominated in foreign currencies. An instantaneous, ten percent adverse movement in foreign exchange rates would affect the fair value of the Company's foreign currency borrowings and foreign exchange hedges at December 31, 1998 and 1997, by approximately $13,100,000 and $30,000,000, respectively. The total effect on the Company from movements in exchange rates will also be influenced by other factors. For example, an</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increase in the fair value of foreign currency denominated debt caused by exchange rate movements may be more than offset by an increase in the value of the Company's net investment in foreign countries.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Commodities Price Exposure. The Company operates a large fleet of vehicles that require the purchase of a significant amount of fuel. In the past, the Company has used crude oil collars and swaps as a proxy to seek to mitigate the risk of fluctuations in fuel prices. The Company's fuel collars consisted of a call option or "cap" and a corresponding put option at a lower price or "floor." The cap limits the Company's potential increased operating cost from higher fuel prices whereas the floor limits the Company's potential cost savings from a decline in fuel prices. Under its fuel swap agreements, the Company collected payments from the swap counterparty when fuel prices averaged above a certain reference price. When prices averaged below said reference prices, the Company made payments to the counterparty. All of the Company's fuel hedges were cash settled. Quantities hedged do not exceed committed fuel purchases or anticipated usage in any period. An instantaneous, ten percent decrease in the applicable reference price for hedges in place at December 31, 1997, would cause a fair value loss to the Company of approximately $6,000,000. The Company no longer uses such commodities and held no fuel collars at December 31, 1998.</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Equity Price Exposure. The Company occasionally obtains stock that it holds for a certain period of time. The Company sometimes seeks to mitigate its market exposure to such holdings by entering into equity collars. Such a collar consists of a "cap" that limits the Company's potential for gain from appreciation in the stock price as well as a "floor" that limits the Company's loss potential from a decline in the stock price. An instantaneous, ten percent decline in the price of the shares held by the Company at December 31, 1997, would decrease the combined fair value of the stock and collar positions by approximately $2,000,000. The Company had no such equity positions at December 31, 1998.</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is also further subject to equity price exposure from Company debt issues that are convertible into the Company's common stock. These debt issues had an aggregate carrying value of $1,251,770,000 and $1,249,957,000 as of December 1998 and 1997, respectively. An instantaneous, ten percent increase in the Company's stock price on December 31, 1998 and 1997, would increase the fair value of the Company's convertible debt by approximately $121,000,000 and $94,000,000, respectively. However, such changes in stock prices would not impact net income.</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See Notes 2 and 8 to the consolidated financial statements included elsewhere herein for further discussion of the use and accounting for derivative instruments.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INDEX TO</w:t>
      </w:r>
    </w:p>
    <w:tbl>
      <w:tblPr>
        <w:tblLayout w:type="fixed"/>
        <w:tblInd w:w="440" w:type="dxa"/>
        <w:tblCellMar>
          <w:top w:w="0" w:type="dxa"/>
          <w:left w:w="0" w:type="dxa"/>
          <w:bottom w:w="0" w:type="dxa"/>
          <w:right w:w="0" w:type="dxa"/>
        </w:tblCellMar>
      </w:tblPr>
      <w:tr>
        <w:trPr>
          <w:trHeight w:val="170"/>
        </w:trPr>
        <w:tc>
          <w:tcPr>
            <w:tcW w:w="514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CONSOLIDATED FINANCIAL STATEMENTS</w:t>
            </w:r>
          </w:p>
        </w:tc>
        <w:tc>
          <w:tcPr>
            <w:tcW w:w="500" w:type="dxa"/>
            <w:vAlign w:val="bottom"/>
          </w:tcPr>
          <w:p>
            <w:pPr>
              <w:spacing w:after="0"/>
              <w:rPr>
                <w:sz w:val="14"/>
                <w:szCs w:val="14"/>
                <w:color w:val="auto"/>
              </w:rPr>
            </w:pPr>
          </w:p>
        </w:tc>
      </w:tr>
      <w:tr>
        <w:trPr>
          <w:trHeight w:val="678"/>
        </w:trPr>
        <w:tc>
          <w:tcPr>
            <w:tcW w:w="2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2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Public Accountants.................</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52</w:t>
            </w: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53</w:t>
            </w: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 December 31, 1998 and</w:t>
            </w:r>
          </w:p>
        </w:tc>
        <w:tc>
          <w:tcPr>
            <w:tcW w:w="500" w:type="dxa"/>
            <w:vAlign w:val="bottom"/>
          </w:tcPr>
          <w:p>
            <w:pPr>
              <w:spacing w:after="0"/>
              <w:rPr>
                <w:sz w:val="14"/>
                <w:szCs w:val="14"/>
                <w:color w:val="auto"/>
              </w:rPr>
            </w:pPr>
          </w:p>
        </w:tc>
      </w:tr>
      <w:tr>
        <w:trPr>
          <w:trHeight w:val="170"/>
        </w:trPr>
        <w:tc>
          <w:tcPr>
            <w:tcW w:w="51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Operations for the Years Ended</w:t>
            </w:r>
          </w:p>
        </w:tc>
        <w:tc>
          <w:tcPr>
            <w:tcW w:w="50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1998, 1997,</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and 1996......................</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Stockholders' Equity for the</w:t>
            </w:r>
          </w:p>
        </w:tc>
        <w:tc>
          <w:tcPr>
            <w:tcW w:w="50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Years Ended December 31,</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1998, 1997, and 1996..........</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Cash Flows for the Years Ended</w:t>
            </w:r>
          </w:p>
        </w:tc>
        <w:tc>
          <w:tcPr>
            <w:tcW w:w="50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1998, 1997,</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and 1996......................</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59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Consolidated Statements of</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Comprehensive Income for the</w:t>
            </w:r>
          </w:p>
        </w:tc>
        <w:tc>
          <w:tcPr>
            <w:tcW w:w="50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Years Ended December 31,</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1998, 1997, and 1996..........</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60</w:t>
            </w:r>
          </w:p>
        </w:tc>
      </w:tr>
      <w:tr>
        <w:trPr>
          <w:trHeight w:val="170"/>
        </w:trPr>
        <w:tc>
          <w:tcPr>
            <w:tcW w:w="5140" w:type="dxa"/>
            <w:vAlign w:val="bottom"/>
            <w:gridSpan w:val="2"/>
          </w:tcPr>
          <w:p>
            <w:pPr>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61</w:t>
            </w:r>
          </w:p>
        </w:tc>
      </w:tr>
      <w:tr>
        <w:trPr>
          <w:trHeight w:val="509"/>
        </w:trPr>
        <w:tc>
          <w:tcPr>
            <w:tcW w:w="2380" w:type="dxa"/>
            <w:vAlign w:val="bottom"/>
          </w:tcPr>
          <w:p>
            <w:pPr>
              <w:spacing w:after="0"/>
              <w:rPr>
                <w:sz w:val="24"/>
                <w:szCs w:val="24"/>
                <w:color w:val="auto"/>
              </w:rPr>
            </w:pPr>
          </w:p>
        </w:tc>
        <w:tc>
          <w:tcPr>
            <w:tcW w:w="2760" w:type="dxa"/>
            <w:vAlign w:val="bottom"/>
          </w:tcPr>
          <w:p>
            <w:pPr>
              <w:ind w:left="600"/>
              <w:spacing w:after="0"/>
              <w:rPr>
                <w:sz w:val="20"/>
                <w:szCs w:val="20"/>
                <w:color w:val="auto"/>
              </w:rPr>
            </w:pPr>
            <w:r>
              <w:rPr>
                <w:rFonts w:ascii="Courier New" w:cs="Courier New" w:eastAsia="Courier New" w:hAnsi="Courier New"/>
                <w:sz w:val="15"/>
                <w:szCs w:val="15"/>
                <w:color w:val="auto"/>
              </w:rPr>
              <w:t>51</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Waste Management, Inc.:</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have audited the consolidated balance sheets of Waste Management, Inc. and Subsidiaries (the "Company"), a Delaware corporation, as of December 31, 1998 and 1997, and the related consolidated statements of operations, stockholders' equity, cash flows and comprehensive income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consolidated financial statements give retroactive effect to the merger of the companies known prior to July 16, 1998 as USA Waste Services, Inc. and Waste Management Holdings, Inc., that formed the Company on July 16, 1998, and the Company's merger with Eastern Environmental Services, Inc. on December 31, 1998. As described in Note 3 to the consolidated financial statements, both mergers have been accounted for as poolings of interests.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We did not audit the consolidated financial statements of the former USA Waste Services, Inc. and Subsidiaries as of December 31, 1997 and for each of the years in the two-year period then ended. Such financial statements, which are included in the consolidated financial statements of the Company, reflect total assets and revenues constituting thirty-three percent and twenty-two percent, respectively, in 1997, and reflect revenues constituting fifteen percent in 1996, of the related consolidated totals. These financial statements were audited by other auditors whose report has been furnished to us, and our opinion, insofar as it relates to the amounts included for the former USA Waste Services, Inc. and Subsidiaries as of December 31, 1997 and for each of the years in the two-year period then ended is based solely upon the report of the other auditors.</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based upon our audits and the report of the other auditors, the consolidated financial statements referred to above present fairly, in all material respects, the financial position of Waste Management, Inc. and Subsidiaries as of December 31, 1998 and 1997, and the results of their operations and their cash flows for each of the years in the three-year period ended December 31, 1998, in conformity with generally accepted accounting principles.</w:t>
      </w:r>
    </w:p>
    <w:p>
      <w:pPr>
        <w:spacing w:after="0" w:line="177"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As discussed in Note 2 to the consolidated financial statements, effective January 1, 1997, the Company changed its method of accounting for environmental remediation liabilities.</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February 25,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USA Waste Services, Inc.:</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We have audited the consolidated balance sheet of USA Waste Services, Inc. as of December 31, 1997, and the related consolidated statements of operations, stockholders' equity, and cash flows for each of the two years in the period ended December 31, 1997. These financial statements (not presented separately herein)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USA Waste Services, Inc. as of December 31, 1997, and the consolidated results of their operations and their cash flows for each of the two years in the period ended December 31, 1997, in conformity with generally accepted accounting principles.</w:t>
      </w:r>
    </w:p>
    <w:p>
      <w:pPr>
        <w:spacing w:after="0" w:line="159"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16,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17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420" w:type="dxa"/>
            <w:vAlign w:val="bottom"/>
          </w:tcPr>
          <w:p>
            <w:pPr>
              <w:spacing w:after="0"/>
              <w:rPr>
                <w:sz w:val="14"/>
                <w:szCs w:val="14"/>
                <w:color w:val="auto"/>
              </w:rPr>
            </w:pPr>
          </w:p>
        </w:tc>
        <w:tc>
          <w:tcPr>
            <w:tcW w:w="24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86,873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189,942</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Short-term investments....................................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1,792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59,296</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accounts of $116,430 and $90,164, respectively..........</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2,245,977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1,976,478</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Notes and other receivables...............................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139,934</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90,144</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Parts and supplies........................................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128,254</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152,702</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237,616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55,961</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uncompleted contracts...................................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127,975</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158,610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Prepaid expenses and other................................</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166,371</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153,543</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Current assets held for sale..............................</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746,605</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3,881,397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2,836,676</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Notes and other receivables, net............................</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120,997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128,538</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Property and equipment, net.................................</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11,637,739</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11,188,530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6,069,098</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4,721,801</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intangible assets, net................................</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181,226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126,375</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assets of continuing operations held for sale...........</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154,384</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assets................................................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824,741</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1,000,120</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$22,715,198</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$20,156,424</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Accounts payable..........................................</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$ 1,040,601</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$ 1,007,458</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2,287,543</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1,897,948</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Deferred revenues.........................................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381,780</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300,536</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Current maturities of long-term debt......................</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583,742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1,598,012</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4,293,666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4,803,954</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11,114,201</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7,881,949</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Deferred income taxes.......................................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470,107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523,593</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Environmental liabilities...................................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971,507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1,038,049</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Other liabilities...........................................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1,381,145</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943,269</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18,230,626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15,190,814</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Minority interest in subsidiaries...........................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112,076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1,110,681</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authorized; none issued.................................</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authorized; 608,307,531 and 598,677,893 shares issued,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6,083</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5,987</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4,091,525</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3,873,990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1,066,506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1,938,027</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Accumulated other comprehensive income....................</w:t>
            </w:r>
          </w:p>
        </w:tc>
        <w:tc>
          <w:tcPr>
            <w:tcW w:w="2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(420,804)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(283,193)</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Restricted stock unearned compensation....................</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(11,102)</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Treasury stock at cost, 63,950 and 34,239,062 shares,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respectively............................................</w:t>
            </w:r>
          </w:p>
        </w:tc>
        <w:tc>
          <w:tcPr>
            <w:tcW w:w="2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(1,369,405)</w:t>
            </w:r>
          </w:p>
        </w:tc>
      </w:tr>
      <w:tr>
        <w:trPr>
          <w:trHeight w:val="170"/>
        </w:trPr>
        <w:tc>
          <w:tcPr>
            <w:tcW w:w="542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benefit trust at market, 7,892,612</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(367,993)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4,372,496</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3,854,929</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$22,715,198</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$20,156,424</w:t>
            </w:r>
          </w:p>
        </w:tc>
      </w:tr>
      <w:tr>
        <w:trPr>
          <w:trHeight w:val="170"/>
        </w:trPr>
        <w:tc>
          <w:tcPr>
            <w:tcW w:w="542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3"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5"/>
          </w:tcPr>
          <w:p>
            <w:pPr>
              <w:jc w:val="right"/>
              <w:ind w:right="72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60" w:type="dxa"/>
            <w:vAlign w:val="bottom"/>
          </w:tcPr>
          <w:p>
            <w:pPr>
              <w:spacing w:after="0"/>
              <w:rPr>
                <w:sz w:val="14"/>
                <w:szCs w:val="14"/>
                <w:color w:val="auto"/>
              </w:rPr>
            </w:pPr>
          </w:p>
        </w:tc>
        <w:tc>
          <w:tcPr>
            <w:tcW w:w="36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revenues..........................................</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$12,703,469</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$11,972,498</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$10,998,602</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7,383,751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7,482,273</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6,564,234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1,309,936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1,438,501</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1,316,480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1,498,712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1,391,810</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1,264,196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1,807,245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112,748</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126,626</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864,063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1,771,145</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529,768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9,930</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12,863,858</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12,206,407</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9,800,989</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operations...............................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(160,389)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(233,909)</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1,197,613</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(681,457)</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(555,576)</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(525,340)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26,829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45,214</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34,603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(24,254)</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(45,442)</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139,392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127,216</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108,645</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(539,490)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(428,588)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(423,381)</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(699,879)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(662,497)</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774,232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66,923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363,341</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486,700</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(1,025,838)</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287,532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Income from operations of discontinued businesses, net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applicable income tax and minority interest of $17,490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1996.................................................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22,620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Income (loss) on disposal or from reserve adjustment, net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of applicable income tax and minority interest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$100,842 in 1997 and $(18,640) in 1996..................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95,688</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(285,921)</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and cumulative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effect of change in accounting principle..................</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(930,150)</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Extraordinary loss on refinancing or retirement of debt, net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of applicable income tax and minority interest of $2,600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1998 and $4,962 in 1997................................</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(6,809)</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 of $1,100 in 1997..............................</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(1,936)</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(938,895)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24,231</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0.17</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0.04</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Weighted average number of common shares outstanding........</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584,301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557,675</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537,269</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584,301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557,675</w:t>
            </w:r>
          </w:p>
        </w:tc>
        <w:tc>
          <w:tcPr>
            <w:tcW w:w="22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546,916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83" w:right="1440" w:bottom="1074"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074"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69"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WASTE MANAGEMENT, INC.</w:t>
      </w:r>
    </w:p>
    <w:p>
      <w:pPr>
        <w:spacing w:after="0" w:line="175"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1100"/>
          </w:cols>
          <w:pgMar w:left="240" w:top="283"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PREFERRED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PAID-IN</w:t>
      </w:r>
    </w:p>
    <w:p>
      <w:pPr>
        <w:ind w:left="80"/>
        <w:spacing w:after="0"/>
        <w:rPr>
          <w:sz w:val="20"/>
          <w:szCs w:val="20"/>
          <w:color w:val="auto"/>
        </w:rPr>
      </w:pPr>
      <w:r>
        <w:rPr>
          <w:rFonts w:ascii="Courier New" w:cs="Courier New" w:eastAsia="Courier New" w:hAnsi="Courier New"/>
          <w:sz w:val="15"/>
          <w:szCs w:val="15"/>
          <w:color w:val="auto"/>
        </w:rPr>
        <w:t>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line="260" w:lineRule="auto"/>
        <w:rPr>
          <w:sz w:val="20"/>
          <w:szCs w:val="20"/>
          <w:color w:val="auto"/>
        </w:rPr>
      </w:pPr>
      <w:r>
        <w:rPr>
          <w:rFonts w:ascii="Courier New" w:cs="Courier New" w:eastAsia="Courier New" w:hAnsi="Courier New"/>
          <w:sz w:val="14"/>
          <w:szCs w:val="14"/>
          <w:color w:val="auto"/>
        </w:rPr>
        <w:t>RETAINED EARNINGS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w:t>
      </w:r>
    </w:p>
    <w:p>
      <w:pPr>
        <w:ind w:left="340"/>
        <w:spacing w:after="0"/>
        <w:rPr>
          <w:sz w:val="20"/>
          <w:szCs w:val="20"/>
          <w:color w:val="auto"/>
        </w:rPr>
      </w:pPr>
      <w:r>
        <w:rPr>
          <w:rFonts w:ascii="Courier New" w:cs="Courier New" w:eastAsia="Courier New" w:hAnsi="Courier New"/>
          <w:sz w:val="15"/>
          <w:szCs w:val="15"/>
          <w:color w:val="auto"/>
        </w:rPr>
        <w:t>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RESTRICTED</w:t>
      </w:r>
    </w:p>
    <w:p>
      <w:pPr>
        <w:jc w:val="center"/>
        <w:ind w:right="100"/>
        <w:spacing w:after="0"/>
        <w:rPr>
          <w:sz w:val="20"/>
          <w:szCs w:val="20"/>
          <w:color w:val="auto"/>
        </w:rPr>
      </w:pPr>
      <w:r>
        <w:rPr>
          <w:rFonts w:ascii="Courier New" w:cs="Courier New" w:eastAsia="Courier New" w:hAnsi="Courier New"/>
          <w:sz w:val="15"/>
          <w:szCs w:val="15"/>
          <w:color w:val="auto"/>
        </w:rPr>
        <w:t>STOCK</w:t>
      </w:r>
    </w:p>
    <w:p>
      <w:pPr>
        <w:jc w:val="center"/>
        <w:spacing w:after="0"/>
        <w:rPr>
          <w:sz w:val="20"/>
          <w:szCs w:val="20"/>
          <w:color w:val="auto"/>
        </w:rPr>
      </w:pPr>
      <w:r>
        <w:rPr>
          <w:rFonts w:ascii="Courier New" w:cs="Courier New" w:eastAsia="Courier New" w:hAnsi="Courier New"/>
          <w:sz w:val="15"/>
          <w:szCs w:val="15"/>
          <w:color w:val="auto"/>
        </w:rPr>
        <w:t>UNEARNED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COMPENSATION</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EMPLOYEE</w:t>
      </w:r>
    </w:p>
    <w:p>
      <w:pPr>
        <w:ind w:left="36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PLAN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7">
            <w:col w:w="3780" w:space="260"/>
            <w:col w:w="540" w:space="260"/>
            <w:col w:w="880" w:space="260"/>
            <w:col w:w="880" w:space="280"/>
            <w:col w:w="1140" w:space="260"/>
            <w:col w:w="1060" w:space="260"/>
            <w:col w:w="1240"/>
          </w:cols>
          <w:pgMar w:left="240" w:top="283" w:right="55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1996........</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Net income....................</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$5,127</w:t>
      </w:r>
    </w:p>
    <w:p>
      <w:pPr>
        <w:ind w:left="26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$2,180,411</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hanging="175"/>
        <w:spacing w:after="0" w:line="256" w:lineRule="auto"/>
        <w:rPr>
          <w:sz w:val="20"/>
          <w:szCs w:val="20"/>
          <w:color w:val="auto"/>
        </w:rPr>
      </w:pPr>
      <w:r>
        <w:rPr>
          <w:rFonts w:ascii="Courier New" w:cs="Courier New" w:eastAsia="Courier New" w:hAnsi="Courier New"/>
          <w:sz w:val="14"/>
          <w:szCs w:val="14"/>
          <w:color w:val="auto"/>
        </w:rPr>
        <w:t>$3,493,086 24,231 (308,265)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$(129,412)</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$(13,062)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ind w:left="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9">
            <w:col w:w="2820" w:space="440"/>
            <w:col w:w="260" w:space="520"/>
            <w:col w:w="540" w:space="260"/>
            <w:col w:w="880" w:space="440"/>
            <w:col w:w="800" w:space="340"/>
            <w:col w:w="880" w:space="540"/>
            <w:col w:w="80" w:space="360"/>
            <w:col w:w="240" w:space="720"/>
            <w:col w:w="98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Dividends paid to employee</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(6,943)</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8">
            <w:col w:w="2820" w:space="520"/>
            <w:col w:w="240" w:space="720"/>
            <w:col w:w="260" w:space="720"/>
            <w:col w:w="440" w:space="620"/>
            <w:col w:w="86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exercise of stock options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 grants of restricted</w:t>
      </w:r>
    </w:p>
    <w:p>
      <w:pPr>
        <w:ind w:left="340"/>
        <w:spacing w:after="0"/>
        <w:rPr>
          <w:sz w:val="20"/>
          <w:szCs w:val="20"/>
          <w:color w:val="auto"/>
        </w:rPr>
      </w:pPr>
      <w:r>
        <w:rPr>
          <w:rFonts w:ascii="Courier New" w:cs="Courier New" w:eastAsia="Courier New" w:hAnsi="Courier New"/>
          <w:sz w:val="15"/>
          <w:szCs w:val="15"/>
          <w:color w:val="auto"/>
        </w:rPr>
        <w:t>stock (including tax</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64,766</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8">
            <w:col w:w="2820" w:space="520"/>
            <w:col w:w="240" w:space="720"/>
            <w:col w:w="180" w:space="720"/>
            <w:col w:w="760" w:space="720"/>
            <w:col w:w="520" w:space="720"/>
            <w:col w:w="520" w:space="720"/>
            <w:col w:w="780" w:space="720"/>
            <w:col w:w="440"/>
          </w:cols>
          <w:pgMar w:left="240" w:top="283" w:right="559" w:bottom="0" w:gutter="0" w:footer="0" w:header="0"/>
          <w:type w:val="continuous"/>
        </w:sectPr>
      </w:pPr>
    </w:p>
    <w:p>
      <w:pPr>
        <w:jc w:val="center"/>
        <w:ind w:right="8220"/>
        <w:spacing w:after="0"/>
        <w:rPr>
          <w:sz w:val="20"/>
          <w:szCs w:val="20"/>
          <w:color w:val="auto"/>
        </w:rPr>
      </w:pPr>
      <w:r>
        <w:rPr>
          <w:rFonts w:ascii="Courier New" w:cs="Courier New" w:eastAsia="Courier New" w:hAnsi="Courier New"/>
          <w:sz w:val="14"/>
          <w:szCs w:val="14"/>
          <w:color w:val="auto"/>
        </w:rPr>
        <w:t>Unearned compensation related</w:t>
      </w:r>
    </w:p>
    <w:p>
      <w:pPr>
        <w:spacing w:after="0" w:line="5" w:lineRule="exact"/>
        <w:rPr>
          <w:sz w:val="20"/>
          <w:szCs w:val="20"/>
          <w:color w:val="auto"/>
        </w:rPr>
      </w:pPr>
    </w:p>
    <w:p>
      <w:pPr>
        <w:jc w:val="center"/>
        <w:ind w:right="8220"/>
        <w:spacing w:after="0"/>
        <w:rPr>
          <w:sz w:val="20"/>
          <w:szCs w:val="20"/>
          <w:color w:val="auto"/>
        </w:rPr>
      </w:pPr>
      <w:r>
        <w:rPr>
          <w:rFonts w:ascii="Courier New" w:cs="Courier New" w:eastAsia="Courier New" w:hAnsi="Courier New"/>
          <w:sz w:val="15"/>
          <w:szCs w:val="15"/>
          <w:color w:val="auto"/>
        </w:rPr>
        <w:t>to issuance of restricted</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820" w:space="520"/>
            <w:col w:w="240" w:space="720"/>
            <w:col w:w="520" w:space="720"/>
            <w:col w:w="420" w:space="720"/>
            <w:col w:w="520" w:space="720"/>
            <w:col w:w="180" w:space="700"/>
            <w:col w:w="114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Earned compensation related to</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restricted stock, net of</w:t>
      </w:r>
    </w:p>
    <w:p>
      <w:pPr>
        <w:ind w:left="340"/>
        <w:spacing w:after="0"/>
        <w:rPr>
          <w:sz w:val="20"/>
          <w:szCs w:val="20"/>
          <w:color w:val="auto"/>
        </w:rPr>
      </w:pPr>
      <w:r>
        <w:rPr>
          <w:rFonts w:ascii="Courier New" w:cs="Courier New" w:eastAsia="Courier New" w:hAnsi="Courier New"/>
          <w:sz w:val="15"/>
          <w:szCs w:val="15"/>
          <w:color w:val="auto"/>
        </w:rPr>
        <w:t>reversals on forfeited</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8">
            <w:col w:w="2820" w:space="520"/>
            <w:col w:w="240" w:space="720"/>
            <w:col w:w="520" w:space="720"/>
            <w:col w:w="420" w:space="720"/>
            <w:col w:w="52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Contribution to 1988 ESOP</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6,666</w:t>
      </w:r>
    </w:p>
    <w:p>
      <w:pPr>
        <w:spacing w:after="0" w:line="11" w:lineRule="exact"/>
        <w:rPr>
          <w:sz w:val="20"/>
          <w:szCs w:val="20"/>
          <w:color w:val="auto"/>
        </w:rPr>
      </w:pPr>
    </w:p>
    <w:p>
      <w:pPr>
        <w:sectPr>
          <w:pgSz w:w="11900" w:h="16838" w:orient="portrait"/>
          <w:cols w:equalWidth="0" w:num="8">
            <w:col w:w="2820" w:space="520"/>
            <w:col w:w="240" w:space="720"/>
            <w:col w:w="520" w:space="720"/>
            <w:col w:w="420" w:space="720"/>
            <w:col w:w="520" w:space="720"/>
            <w:col w:w="520" w:space="720"/>
            <w:col w:w="520" w:space="720"/>
            <w:col w:w="70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Common stock issued for</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4"/>
          <w:szCs w:val="14"/>
          <w:color w:val="auto"/>
        </w:rPr>
        <w:t>155</w:t>
      </w:r>
      <w:r>
        <w:rPr>
          <w:sz w:val="20"/>
          <w:szCs w:val="20"/>
          <w:color w:val="auto"/>
        </w:rPr>
        <w:tab/>
      </w:r>
      <w:r>
        <w:rPr>
          <w:rFonts w:ascii="Courier New" w:cs="Courier New" w:eastAsia="Courier New" w:hAnsi="Courier New"/>
          <w:sz w:val="14"/>
          <w:szCs w:val="14"/>
          <w:color w:val="auto"/>
        </w:rPr>
        <w:t>357,714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(9,944)</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7">
            <w:col w:w="2820" w:space="520"/>
            <w:col w:w="180" w:space="700"/>
            <w:col w:w="1500" w:space="620"/>
            <w:col w:w="86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Common stock issued for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conversion of subordinated</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59,590</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8">
            <w:col w:w="2820" w:space="520"/>
            <w:col w:w="240" w:space="720"/>
            <w:col w:w="180" w:space="720"/>
            <w:col w:w="760" w:space="720"/>
            <w:col w:w="52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United two-for-one stock</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w:t>
      </w:r>
    </w:p>
    <w:p>
      <w:pPr>
        <w:spacing w:after="0" w:line="20" w:lineRule="exact"/>
        <w:rPr>
          <w:sz w:val="20"/>
          <w:szCs w:val="20"/>
          <w:color w:val="auto"/>
        </w:rPr>
      </w:pPr>
      <w:r>
        <w:rPr>
          <w:sz w:val="20"/>
          <w:szCs w:val="20"/>
          <w:color w:val="auto"/>
        </w:rPr>
        <w:br w:type="column"/>
      </w:r>
    </w:p>
    <w:p>
      <w:pPr>
        <w:spacing w:after="0"/>
        <w:tabs>
          <w:tab w:leader="none" w:pos="1300" w:val="left"/>
        </w:tabs>
        <w:rPr>
          <w:sz w:val="20"/>
          <w:szCs w:val="20"/>
          <w:color w:val="auto"/>
        </w:rPr>
      </w:pPr>
      <w:r>
        <w:rPr>
          <w:rFonts w:ascii="Courier New" w:cs="Courier New" w:eastAsia="Courier New" w:hAnsi="Courier New"/>
          <w:sz w:val="14"/>
          <w:szCs w:val="14"/>
          <w:color w:val="auto"/>
        </w:rPr>
        <w:t>(196)</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7">
            <w:col w:w="2820" w:space="520"/>
            <w:col w:w="180" w:space="700"/>
            <w:col w:w="420" w:space="720"/>
            <w:col w:w="184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Temporary equity related to</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166,170</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820" w:space="520"/>
            <w:col w:w="240" w:space="720"/>
            <w:col w:w="180" w:space="620"/>
            <w:col w:w="860" w:space="720"/>
            <w:col w:w="52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Proceeds from sale of put</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18,845</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820" w:space="520"/>
            <w:col w:w="240" w:space="720"/>
            <w:col w:w="180" w:space="720"/>
            <w:col w:w="760" w:space="720"/>
            <w:col w:w="52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Adjustment of employee stock</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benefit trust to market</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32,278</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820" w:space="520"/>
            <w:col w:w="240" w:space="720"/>
            <w:col w:w="180" w:space="720"/>
            <w:col w:w="760" w:space="720"/>
            <w:col w:w="520" w:space="720"/>
            <w:col w:w="52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Adjustment for minimum pension</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8">
            <w:col w:w="2820" w:space="520"/>
            <w:col w:w="240" w:space="720"/>
            <w:col w:w="520" w:space="720"/>
            <w:col w:w="420" w:space="720"/>
            <w:col w:w="180" w:space="720"/>
            <w:col w:w="86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Cumulative translation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adjustment of foreign</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currency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22,664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8">
            <w:col w:w="2820" w:space="520"/>
            <w:col w:w="240" w:space="720"/>
            <w:col w:w="520" w:space="720"/>
            <w:col w:w="420" w:space="720"/>
            <w:col w:w="180" w:space="720"/>
            <w:col w:w="860" w:space="720"/>
            <w:col w:w="780" w:space="720"/>
            <w:col w:w="44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Common stock repurchased</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(10,432,750 shares).........</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Other.........................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$5,583</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rPr>
          <w:sz w:val="20"/>
          <w:szCs w:val="20"/>
          <w:color w:val="auto"/>
        </w:rPr>
      </w:pPr>
      <w:r>
        <w:rPr>
          <w:rFonts w:ascii="Courier New" w:cs="Courier New" w:eastAsia="Courier New" w:hAnsi="Courier New"/>
          <w:sz w:val="15"/>
          <w:szCs w:val="15"/>
          <w:color w:val="auto"/>
        </w:rPr>
        <w:t>14,457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$2,900,978</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$3,192,165</w:t>
      </w:r>
    </w:p>
    <w:p>
      <w:pPr>
        <w:spacing w:after="0" w:line="11"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w:t>
      </w:r>
    </w:p>
    <w:p>
      <w:pPr>
        <w:ind w:left="6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$(113,941)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w:t>
      </w:r>
    </w:p>
    <w:p>
      <w:pPr>
        <w:ind w:left="4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$(2,541)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w:t>
      </w:r>
    </w:p>
    <w:p>
      <w:pPr>
        <w:ind w:left="5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(6,396)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8">
            <w:col w:w="2820" w:space="440"/>
            <w:col w:w="260" w:space="520"/>
            <w:col w:w="540" w:space="260"/>
            <w:col w:w="880" w:space="260"/>
            <w:col w:w="880" w:space="440"/>
            <w:col w:w="880" w:space="540"/>
            <w:col w:w="700" w:space="700"/>
            <w:col w:w="980"/>
          </w:cols>
          <w:pgMar w:left="240" w:top="283" w:right="559" w:bottom="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left="2900"/>
        <w:spacing w:after="0"/>
        <w:rPr>
          <w:sz w:val="20"/>
          <w:szCs w:val="20"/>
          <w:color w:val="auto"/>
        </w:rPr>
      </w:pPr>
      <w:r>
        <w:rPr>
          <w:rFonts w:ascii="Courier New" w:cs="Courier New" w:eastAsia="Courier New" w:hAnsi="Courier New"/>
          <w:sz w:val="15"/>
          <w:szCs w:val="15"/>
          <w:color w:val="auto"/>
        </w:rPr>
        <w:t>TREASURY</w:t>
      </w:r>
    </w:p>
    <w:p>
      <w:pPr>
        <w:jc w:val="center"/>
        <w:ind w:left="29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left="2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ind w:right="6000"/>
        <w:spacing w:after="0"/>
        <w:rPr>
          <w:sz w:val="20"/>
          <w:szCs w:val="20"/>
          <w:color w:val="auto"/>
        </w:rPr>
      </w:pPr>
      <w:r>
        <w:rPr>
          <w:rFonts w:ascii="Courier New" w:cs="Courier New" w:eastAsia="Courier New" w:hAnsi="Courier New"/>
          <w:sz w:val="15"/>
          <w:szCs w:val="15"/>
          <w:color w:val="auto"/>
        </w:rPr>
        <w:t>EMPLOYEE</w:t>
      </w:r>
    </w:p>
    <w:p>
      <w:pPr>
        <w:jc w:val="center"/>
        <w:ind w:right="590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4"/>
          <w:szCs w:val="14"/>
          <w:color w:val="auto"/>
        </w:rPr>
        <w:t>BENEFIT TRUST</w:t>
      </w:r>
    </w:p>
    <w:p>
      <w:pPr>
        <w:spacing w:after="0" w:line="11" w:lineRule="exact"/>
        <w:rPr>
          <w:sz w:val="20"/>
          <w:szCs w:val="20"/>
          <w:color w:val="auto"/>
        </w:rPr>
      </w:pPr>
    </w:p>
    <w:p>
      <w:pPr>
        <w:jc w:val="center"/>
        <w:ind w:right="59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780" w:space="260"/>
            <w:col w:w="7060"/>
          </w:cols>
          <w:pgMar w:left="240" w:top="283" w:right="559"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January 1, 1996........</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Net income....................</w:t>
      </w: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Cash dividends................</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(1,895)</w:t>
      </w:r>
    </w:p>
    <w:p>
      <w:pPr>
        <w:ind w:left="620"/>
        <w:spacing w:after="0"/>
        <w:rPr>
          <w:sz w:val="20"/>
          <w:szCs w:val="20"/>
          <w:color w:val="auto"/>
        </w:rPr>
      </w:pPr>
      <w:r>
        <w:rPr>
          <w:rFonts w:ascii="Courier New" w:cs="Courier New" w:eastAsia="Courier New" w:hAnsi="Courier New"/>
          <w:sz w:val="15"/>
          <w:szCs w:val="15"/>
          <w:color w:val="auto"/>
        </w:rPr>
        <w:t>--</w:t>
      </w: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$(350,151)</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ind w:left="6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3">
            <w:col w:w="2820" w:space="160"/>
            <w:col w:w="880" w:space="360"/>
            <w:col w:w="688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Dividends paid to employee</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Common stock issued upon</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exercise of stock options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and grants of restricted</w:t>
      </w:r>
    </w:p>
    <w:p>
      <w:pPr>
        <w:ind w:left="340"/>
        <w:spacing w:after="0"/>
        <w:rPr>
          <w:sz w:val="20"/>
          <w:szCs w:val="20"/>
          <w:color w:val="auto"/>
        </w:rPr>
      </w:pPr>
      <w:r>
        <w:rPr>
          <w:rFonts w:ascii="Courier New" w:cs="Courier New" w:eastAsia="Courier New" w:hAnsi="Courier New"/>
          <w:sz w:val="15"/>
          <w:szCs w:val="15"/>
          <w:color w:val="auto"/>
        </w:rPr>
        <w:t>stock (including tax</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55,409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28,622</w:t>
      </w:r>
    </w:p>
    <w:p>
      <w:pPr>
        <w:spacing w:after="0" w:line="4" w:lineRule="exact"/>
        <w:rPr>
          <w:sz w:val="20"/>
          <w:szCs w:val="20"/>
          <w:color w:val="auto"/>
        </w:rPr>
      </w:pPr>
    </w:p>
    <w:p>
      <w:pPr>
        <w:sectPr>
          <w:pgSz w:w="11900" w:h="16838" w:orient="portrait"/>
          <w:cols w:equalWidth="0" w:num="3">
            <w:col w:w="2820" w:space="440"/>
            <w:col w:w="520" w:space="700"/>
            <w:col w:w="6620"/>
          </w:cols>
          <w:pgMar w:left="240" w:top="283" w:right="559" w:bottom="0" w:gutter="0" w:footer="0" w:header="0"/>
          <w:type w:val="continuous"/>
        </w:sectPr>
      </w:pPr>
    </w:p>
    <w:p>
      <w:pPr>
        <w:jc w:val="center"/>
        <w:ind w:right="8220"/>
        <w:spacing w:after="0"/>
        <w:rPr>
          <w:sz w:val="20"/>
          <w:szCs w:val="20"/>
          <w:color w:val="auto"/>
        </w:rPr>
      </w:pPr>
      <w:r>
        <w:rPr>
          <w:rFonts w:ascii="Courier New" w:cs="Courier New" w:eastAsia="Courier New" w:hAnsi="Courier New"/>
          <w:sz w:val="14"/>
          <w:szCs w:val="14"/>
          <w:color w:val="auto"/>
        </w:rPr>
        <w:t>Unearned compensation related</w:t>
      </w:r>
    </w:p>
    <w:p>
      <w:pPr>
        <w:spacing w:after="0" w:line="5" w:lineRule="exact"/>
        <w:rPr>
          <w:sz w:val="20"/>
          <w:szCs w:val="20"/>
          <w:color w:val="auto"/>
        </w:rPr>
      </w:pPr>
    </w:p>
    <w:p>
      <w:pPr>
        <w:jc w:val="center"/>
        <w:ind w:right="8220"/>
        <w:spacing w:after="0"/>
        <w:rPr>
          <w:sz w:val="20"/>
          <w:szCs w:val="20"/>
          <w:color w:val="auto"/>
        </w:rPr>
      </w:pPr>
      <w:r>
        <w:rPr>
          <w:rFonts w:ascii="Courier New" w:cs="Courier New" w:eastAsia="Courier New" w:hAnsi="Courier New"/>
          <w:sz w:val="15"/>
          <w:szCs w:val="15"/>
          <w:color w:val="auto"/>
        </w:rPr>
        <w:t>to issuance of restricted</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Earned compensation related to</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restricted stock, net of</w:t>
      </w:r>
    </w:p>
    <w:p>
      <w:pPr>
        <w:ind w:left="340"/>
        <w:spacing w:after="0"/>
        <w:rPr>
          <w:sz w:val="20"/>
          <w:szCs w:val="20"/>
          <w:color w:val="auto"/>
        </w:rPr>
      </w:pPr>
      <w:r>
        <w:rPr>
          <w:rFonts w:ascii="Courier New" w:cs="Courier New" w:eastAsia="Courier New" w:hAnsi="Courier New"/>
          <w:sz w:val="15"/>
          <w:szCs w:val="15"/>
          <w:color w:val="auto"/>
        </w:rPr>
        <w:t>reversals on forfeited</w:t>
      </w:r>
    </w:p>
    <w:p>
      <w:pPr>
        <w:sectPr>
          <w:pgSz w:w="11900" w:h="16838" w:orient="portrait"/>
          <w:cols w:equalWidth="0" w:num="1">
            <w:col w:w="11100"/>
          </w:cols>
          <w:pgMar w:left="240" w:top="283" w:right="559" w:bottom="0" w:gutter="0" w:footer="0" w:header="0"/>
          <w:type w:val="continuous"/>
        </w:sectPr>
      </w:pP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Contribution to 1988 ESOP</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Common stock issued for</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2820" w:space="520"/>
            <w:col w:w="78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Common stock issued for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conversion of subordinated</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United two-for-one stock</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Temporary equity related to</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ectPr>
          <w:pgSz w:w="11900" w:h="16838" w:orient="portrait"/>
          <w:cols w:equalWidth="0" w:num="3">
            <w:col w:w="2880" w:space="720"/>
            <w:col w:w="520" w:space="720"/>
            <w:col w:w="6260"/>
          </w:cols>
          <w:pgMar w:left="240" w:top="283" w:right="559" w:bottom="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Proceeds from sale of put</w:t>
      </w:r>
    </w:p>
    <w:p>
      <w:pPr>
        <w:sectPr>
          <w:pgSz w:w="11900" w:h="16838" w:orient="portrait"/>
          <w:cols w:equalWidth="0" w:num="1">
            <w:col w:w="11100"/>
          </w:cols>
          <w:pgMar w:left="240" w:top="283" w:right="559" w:bottom="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2880" w:space="720"/>
            <w:col w:w="520" w:space="720"/>
            <w:col w:w="6260"/>
          </w:cols>
          <w:pgMar w:left="240" w:top="283" w:right="559" w:bottom="0" w:gutter="0" w:footer="0" w:header="0"/>
          <w:type w:val="continuous"/>
        </w:sectPr>
      </w:pPr>
    </w:p>
    <w:bookmarkStart w:id="58" w:name="page59"/>
    <w:bookmarkEnd w:id="58"/>
    <w:p>
      <w:pPr>
        <w:ind w:left="160"/>
        <w:spacing w:after="0"/>
        <w:rPr>
          <w:sz w:val="20"/>
          <w:szCs w:val="20"/>
          <w:color w:val="auto"/>
        </w:rPr>
      </w:pPr>
      <w:r>
        <w:rPr>
          <w:rFonts w:ascii="Courier New" w:cs="Courier New" w:eastAsia="Courier New" w:hAnsi="Courier New"/>
          <w:sz w:val="15"/>
          <w:szCs w:val="15"/>
          <w:color w:val="auto"/>
        </w:rPr>
        <w:t>Adjustment of employee stock</w:t>
      </w:r>
    </w:p>
    <w:p>
      <w:pPr>
        <w:ind w:left="340"/>
        <w:spacing w:after="0"/>
        <w:rPr>
          <w:sz w:val="20"/>
          <w:szCs w:val="20"/>
          <w:color w:val="auto"/>
        </w:rPr>
      </w:pPr>
      <w:r>
        <w:rPr>
          <w:rFonts w:ascii="Courier New" w:cs="Courier New" w:eastAsia="Courier New" w:hAnsi="Courier New"/>
          <w:sz w:val="15"/>
          <w:szCs w:val="15"/>
          <w:color w:val="auto"/>
        </w:rPr>
        <w:t>benefit trust to market</w:t>
      </w:r>
    </w:p>
    <w:p>
      <w:pPr>
        <w:ind w:left="340"/>
        <w:spacing w:after="0"/>
        <w:tabs>
          <w:tab w:leader="none" w:pos="3580" w:val="left"/>
          <w:tab w:leader="none" w:pos="438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(32,278)</w:t>
      </w:r>
    </w:p>
    <w:p>
      <w:pPr>
        <w:ind w:left="160"/>
        <w:spacing w:after="0" w:line="238" w:lineRule="auto"/>
        <w:rPr>
          <w:sz w:val="20"/>
          <w:szCs w:val="20"/>
          <w:color w:val="auto"/>
        </w:rPr>
      </w:pPr>
      <w:r>
        <w:rPr>
          <w:rFonts w:ascii="Courier New" w:cs="Courier New" w:eastAsia="Courier New" w:hAnsi="Courier New"/>
          <w:sz w:val="15"/>
          <w:szCs w:val="15"/>
          <w:color w:val="auto"/>
        </w:rPr>
        <w:t>Adjustment for minimum pension</w:t>
      </w:r>
    </w:p>
    <w:p>
      <w:pPr>
        <w:ind w:left="340"/>
        <w:spacing w:after="0"/>
        <w:tabs>
          <w:tab w:leader="none" w:pos="3580" w:val="left"/>
          <w:tab w:leader="none" w:pos="4820" w:val="left"/>
        </w:tabs>
        <w:rPr>
          <w:sz w:val="20"/>
          <w:szCs w:val="20"/>
          <w:color w:val="auto"/>
        </w:rPr>
      </w:pPr>
      <w:r>
        <w:rPr>
          <w:rFonts w:ascii="Courier New" w:cs="Courier New" w:eastAsia="Courier New" w:hAnsi="Courier New"/>
          <w:sz w:val="15"/>
          <w:szCs w:val="15"/>
          <w:color w:val="auto"/>
        </w:rPr>
        <w:t>liability...................</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60"/>
        <w:spacing w:after="0"/>
        <w:rPr>
          <w:sz w:val="20"/>
          <w:szCs w:val="20"/>
          <w:color w:val="auto"/>
        </w:rPr>
      </w:pPr>
      <w:r>
        <w:rPr>
          <w:rFonts w:ascii="Courier New" w:cs="Courier New" w:eastAsia="Courier New" w:hAnsi="Courier New"/>
          <w:sz w:val="15"/>
          <w:szCs w:val="15"/>
          <w:color w:val="auto"/>
        </w:rPr>
        <w:t>Cumulative translation</w:t>
      </w:r>
    </w:p>
    <w:p>
      <w:pPr>
        <w:ind w:left="340"/>
        <w:spacing w:after="0" w:line="238" w:lineRule="auto"/>
        <w:rPr>
          <w:sz w:val="20"/>
          <w:szCs w:val="20"/>
          <w:color w:val="auto"/>
        </w:rPr>
      </w:pPr>
      <w:r>
        <w:rPr>
          <w:rFonts w:ascii="Courier New" w:cs="Courier New" w:eastAsia="Courier New" w:hAnsi="Courier New"/>
          <w:sz w:val="15"/>
          <w:szCs w:val="15"/>
          <w:color w:val="auto"/>
        </w:rPr>
        <w:t>adjustment of foreign</w:t>
      </w:r>
    </w:p>
    <w:p>
      <w:pPr>
        <w:ind w:left="340"/>
        <w:spacing w:after="0"/>
        <w:tabs>
          <w:tab w:leader="none" w:pos="3580" w:val="left"/>
          <w:tab w:leader="none" w:pos="4820" w:val="left"/>
        </w:tabs>
        <w:rPr>
          <w:sz w:val="20"/>
          <w:szCs w:val="20"/>
          <w:color w:val="auto"/>
        </w:rPr>
      </w:pPr>
      <w:r>
        <w:rPr>
          <w:rFonts w:ascii="Courier New" w:cs="Courier New" w:eastAsia="Courier New" w:hAnsi="Courier New"/>
          <w:sz w:val="15"/>
          <w:szCs w:val="15"/>
          <w:color w:val="auto"/>
        </w:rPr>
        <w:t>currency statements.........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60"/>
        <w:spacing w:after="0"/>
        <w:rPr>
          <w:sz w:val="20"/>
          <w:szCs w:val="20"/>
          <w:color w:val="auto"/>
        </w:rPr>
      </w:pPr>
      <w:r>
        <w:rPr>
          <w:rFonts w:ascii="Courier New" w:cs="Courier New" w:eastAsia="Courier New" w:hAnsi="Courier New"/>
          <w:sz w:val="15"/>
          <w:szCs w:val="15"/>
          <w:color w:val="auto"/>
        </w:rPr>
        <w:t>Common stock repurchased</w:t>
      </w:r>
    </w:p>
    <w:p>
      <w:pPr>
        <w:ind w:left="340"/>
        <w:spacing w:after="0"/>
        <w:tabs>
          <w:tab w:leader="none" w:pos="3060" w:val="left"/>
          <w:tab w:leader="none" w:pos="4820" w:val="left"/>
        </w:tabs>
        <w:rPr>
          <w:sz w:val="20"/>
          <w:szCs w:val="20"/>
          <w:color w:val="auto"/>
        </w:rPr>
      </w:pPr>
      <w:r>
        <w:rPr>
          <w:rFonts w:ascii="Courier New" w:cs="Courier New" w:eastAsia="Courier New" w:hAnsi="Courier New"/>
          <w:sz w:val="15"/>
          <w:szCs w:val="15"/>
          <w:color w:val="auto"/>
        </w:rPr>
        <w:t>(10,432,750 shares).........</w:t>
        <w:tab/>
        <w:t>(473,560)</w:t>
      </w:r>
      <w:r>
        <w:rPr>
          <w:sz w:val="20"/>
          <w:szCs w:val="20"/>
          <w:color w:val="auto"/>
        </w:rPr>
        <w:tab/>
      </w:r>
      <w:r>
        <w:rPr>
          <w:rFonts w:ascii="Courier New" w:cs="Courier New" w:eastAsia="Courier New" w:hAnsi="Courier New"/>
          <w:sz w:val="14"/>
          <w:szCs w:val="14"/>
          <w:color w:val="auto"/>
        </w:rPr>
        <w:t>--</w:t>
      </w:r>
    </w:p>
    <w:p>
      <w:pPr>
        <w:ind w:left="160"/>
        <w:spacing w:after="0"/>
        <w:tabs>
          <w:tab w:leader="none" w:pos="3240" w:val="left"/>
          <w:tab w:leader="none" w:pos="482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(8,562)</w:t>
      </w:r>
      <w:r>
        <w:rPr>
          <w:sz w:val="20"/>
          <w:szCs w:val="20"/>
          <w:color w:val="auto"/>
        </w:rPr>
        <w:tab/>
      </w:r>
      <w:r>
        <w:rPr>
          <w:rFonts w:ascii="Courier New" w:cs="Courier New" w:eastAsia="Courier New" w:hAnsi="Courier New"/>
          <w:sz w:val="14"/>
          <w:szCs w:val="14"/>
          <w:color w:val="auto"/>
        </w:rPr>
        <w:t>--</w:t>
      </w:r>
    </w:p>
    <w:p>
      <w:pPr>
        <w:ind w:left="2980"/>
        <w:spacing w:after="0"/>
        <w:tabs>
          <w:tab w:leader="none" w:pos="4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tabs>
          <w:tab w:leader="none" w:pos="2960" w:val="left"/>
          <w:tab w:leader="none" w:pos="4200" w:val="left"/>
        </w:tabs>
        <w:rPr>
          <w:sz w:val="20"/>
          <w:szCs w:val="20"/>
          <w:color w:val="auto"/>
        </w:rPr>
      </w:pPr>
      <w:r>
        <w:rPr>
          <w:rFonts w:ascii="Courier New" w:cs="Courier New" w:eastAsia="Courier New" w:hAnsi="Courier New"/>
          <w:sz w:val="15"/>
          <w:szCs w:val="15"/>
          <w:color w:val="auto"/>
        </w:rPr>
        <w:t>Balance, December 31, 1996......</w:t>
        <w:tab/>
        <w:t>$(420,431)</w:t>
      </w:r>
      <w:r>
        <w:rPr>
          <w:sz w:val="20"/>
          <w:szCs w:val="20"/>
          <w:color w:val="auto"/>
        </w:rPr>
        <w:tab/>
      </w:r>
      <w:r>
        <w:rPr>
          <w:rFonts w:ascii="Courier New" w:cs="Courier New" w:eastAsia="Courier New" w:hAnsi="Courier New"/>
          <w:sz w:val="14"/>
          <w:szCs w:val="14"/>
          <w:color w:val="auto"/>
        </w:rPr>
        <w:t>$(353,807)</w:t>
      </w:r>
    </w:p>
    <w:p>
      <w:pPr>
        <w:ind w:left="2980"/>
        <w:spacing w:after="0" w:line="238" w:lineRule="auto"/>
        <w:tabs>
          <w:tab w:leader="none" w:pos="4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4"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13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5"/>
          <w:szCs w:val="15"/>
          <w:color w:val="auto"/>
        </w:rPr>
        <w:t>CONSOLIDATED STATEMENTS OF STOCKHOLDERS' EQUITY, CONTINUED</w:t>
      </w:r>
    </w:p>
    <w:p>
      <w:pPr>
        <w:jc w:val="center"/>
        <w:ind w:right="3880"/>
        <w:spacing w:after="0"/>
        <w:rPr>
          <w:sz w:val="20"/>
          <w:szCs w:val="20"/>
          <w:color w:val="auto"/>
        </w:rPr>
      </w:pPr>
      <w:r>
        <w:rPr>
          <w:rFonts w:ascii="Courier New" w:cs="Courier New" w:eastAsia="Courier New" w:hAnsi="Courier New"/>
          <w:sz w:val="15"/>
          <w:szCs w:val="15"/>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RESTRICTED</w:t>
            </w:r>
          </w:p>
        </w:tc>
        <w:tc>
          <w:tcPr>
            <w:tcW w:w="136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ADDITIONAL</w:t>
            </w:r>
          </w:p>
        </w:tc>
        <w:tc>
          <w:tcPr>
            <w:tcW w:w="1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1988 EMPLOYEE</w:t>
            </w:r>
          </w:p>
        </w:tc>
      </w:tr>
      <w:tr>
        <w:trPr>
          <w:trHeight w:val="170"/>
        </w:trPr>
        <w:tc>
          <w:tcPr>
            <w:tcW w:w="2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6"/>
              </w:rPr>
              <w:t>PREFERRED</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PAID-IN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RETAINED</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COMPREHENSIVE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UNEARNED</w:t>
            </w:r>
          </w:p>
        </w:tc>
        <w:tc>
          <w:tcPr>
            <w:tcW w:w="1360" w:type="dxa"/>
            <w:vAlign w:val="bottom"/>
          </w:tcPr>
          <w:p>
            <w:pPr>
              <w:ind w:left="480"/>
              <w:spacing w:after="0"/>
              <w:rPr>
                <w:sz w:val="20"/>
                <w:szCs w:val="20"/>
                <w:color w:val="auto"/>
              </w:rPr>
            </w:pPr>
            <w:r>
              <w:rPr>
                <w:rFonts w:ascii="Courier New" w:cs="Courier New" w:eastAsia="Courier New" w:hAnsi="Courier New"/>
                <w:sz w:val="15"/>
                <w:szCs w:val="15"/>
                <w:color w:val="auto"/>
              </w:rPr>
              <w:t>STOCK</w:t>
            </w:r>
          </w:p>
        </w:tc>
      </w:tr>
      <w:tr>
        <w:trPr>
          <w:trHeight w:val="170"/>
        </w:trPr>
        <w:tc>
          <w:tcPr>
            <w:tcW w:w="2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COMPENSATION</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w w:val="96"/>
              </w:rPr>
              <w:t>OWNERSHIP PLAN</w:t>
            </w:r>
          </w:p>
        </w:tc>
      </w:tr>
      <w:tr>
        <w:trPr>
          <w:trHeight w:val="170"/>
        </w:trPr>
        <w:tc>
          <w:tcPr>
            <w:tcW w:w="272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1997......</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$5,583</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$2,900,978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$3,192,165</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$(113,941)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(2,541)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$(6,396)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(938,895)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(309,577)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to employee</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 benefit trust.......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upon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and grants of restricted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 (including tax</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benefit)..................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71,732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Unearned compensation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related to issuance of</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restricted stock to</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employees.................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(23,444)</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Earned compensation related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to restricted stock, net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of reversals on forfeited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2,357</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Reversals of unearned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compensation upon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cancellation of restricted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12,526</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Contribution to 1988 ESOP</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(213,940 shares)..........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6,396</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for</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acquisitions..............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218,637</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in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public offerings..........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580,234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for</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United stock options......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25,809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Temporary equity related to</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put options...............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95,789</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Settlement of put options...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Adjustment of employee stock</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benefit trust to market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value.....................</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(54,432)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Adjustment for minimum</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pension liability.........</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11,492</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adjustment of foreign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currency statements.......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(180,744)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repurchased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(26,111,795 shares).......</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29,554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Balance, December 31, 1997....</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$5,987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$3,873,990</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$1,938,027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$(283,193)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$(11,102)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EMPLOYEE</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272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TREASURY</w:t>
            </w:r>
          </w:p>
        </w:tc>
        <w:tc>
          <w:tcPr>
            <w:tcW w:w="540" w:type="dxa"/>
            <w:vAlign w:val="bottom"/>
          </w:tcPr>
          <w:p>
            <w:pPr>
              <w:spacing w:after="0"/>
              <w:rPr>
                <w:sz w:val="14"/>
                <w:szCs w:val="14"/>
                <w:color w:val="auto"/>
              </w:rPr>
            </w:pPr>
          </w:p>
        </w:tc>
        <w:tc>
          <w:tcPr>
            <w:tcW w:w="132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7"/>
              </w:rPr>
              <w:t>STOCK</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STOCK</w:t>
            </w:r>
          </w:p>
        </w:tc>
        <w:tc>
          <w:tcPr>
            <w:tcW w:w="186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9"/>
              </w:rPr>
              <w:t>BENEFIT TRUST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Balance, January 1, 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(420,431)</w:t>
            </w:r>
          </w:p>
        </w:tc>
        <w:tc>
          <w:tcPr>
            <w:tcW w:w="18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$(353,807)</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to employee</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 benefit trust.......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upon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and grants of restricted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 (including tax</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benefit)..................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47,271</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Unearned compensation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related to issuance of</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restricted stock to</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employees.................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Earned compensation related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to restricted stock, net</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of reversals on forfeited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shares....................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Reversals of unearned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compensation upon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cancellation of restricted</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stock.....................</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Contribution to 1988 ESOP</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(213,940 shares)..........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for</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acquisitions..............</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3,753</w:t>
            </w:r>
          </w:p>
        </w:tc>
        <w:tc>
          <w:tcPr>
            <w:tcW w:w="54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in</w:t>
            </w: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0920"/>
          </w:cols>
          <w:pgMar w:left="240" w:top="283" w:right="73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public offerings..........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issued for</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United stock options......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Temporary equity related to</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put options...............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Settlement of put options...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Adjustment of employee stock</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benefit trust to market</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54,432</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Adjustment for minimum</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pension liability.........</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ind w:left="340"/>
              <w:spacing w:after="0"/>
              <w:rPr>
                <w:sz w:val="20"/>
                <w:szCs w:val="20"/>
                <w:color w:val="auto"/>
              </w:rPr>
            </w:pPr>
            <w:r>
              <w:rPr>
                <w:rFonts w:ascii="Courier New" w:cs="Courier New" w:eastAsia="Courier New" w:hAnsi="Courier New"/>
                <w:sz w:val="15"/>
                <w:szCs w:val="15"/>
                <w:color w:val="auto"/>
              </w:rPr>
              <w:t>adjustment of foreign</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currency statements.......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160"/>
              <w:spacing w:after="0"/>
              <w:rPr>
                <w:sz w:val="20"/>
                <w:szCs w:val="20"/>
                <w:color w:val="auto"/>
              </w:rPr>
            </w:pPr>
            <w:r>
              <w:rPr>
                <w:rFonts w:ascii="Courier New" w:cs="Courier New" w:eastAsia="Courier New" w:hAnsi="Courier New"/>
                <w:sz w:val="15"/>
                <w:szCs w:val="15"/>
                <w:color w:val="auto"/>
              </w:rPr>
              <w:t>Common stock repurchased</w:t>
            </w:r>
          </w:p>
        </w:tc>
        <w:tc>
          <w:tcPr>
            <w:tcW w:w="13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(26,111,795 shares).......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(1,000,208)</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$(1,369,405)</w:t>
            </w:r>
          </w:p>
        </w:tc>
        <w:tc>
          <w:tcPr>
            <w:tcW w:w="300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$(299,375)</w:t>
            </w:r>
          </w:p>
        </w:tc>
      </w:tr>
      <w:tr>
        <w:trPr>
          <w:trHeight w:val="170"/>
        </w:trPr>
        <w:tc>
          <w:tcPr>
            <w:tcW w:w="27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w:t>
            </w:r>
          </w:p>
        </w:tc>
      </w:tr>
      <w:tr>
        <w:trPr>
          <w:trHeight w:val="509"/>
        </w:trPr>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(Continued)</w:t>
            </w:r>
          </w:p>
        </w:tc>
      </w:tr>
      <w:tr>
        <w:trPr>
          <w:trHeight w:val="339"/>
        </w:trPr>
        <w:tc>
          <w:tcPr>
            <w:tcW w:w="272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w:t>
            </w:r>
          </w:p>
        </w:tc>
        <w:tc>
          <w:tcPr>
            <w:tcW w:w="300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16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CONSOLIDATED STATEMENTS OF STOCKHOLDERS' EQUITY, CONTINUED</w:t>
      </w:r>
    </w:p>
    <w:p>
      <w:pPr>
        <w:jc w:val="center"/>
        <w:ind w:right="3620"/>
        <w:spacing w:after="0"/>
        <w:rPr>
          <w:sz w:val="20"/>
          <w:szCs w:val="20"/>
          <w:color w:val="auto"/>
        </w:rPr>
      </w:pPr>
      <w:r>
        <w:rPr>
          <w:rFonts w:ascii="Courier New" w:cs="Courier New" w:eastAsia="Courier New" w:hAnsi="Courier New"/>
          <w:sz w:val="15"/>
          <w:szCs w:val="15"/>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00" w:type="dxa"/>
            <w:vAlign w:val="bottom"/>
            <w:gridSpan w:val="2"/>
          </w:tcPr>
          <w:p>
            <w:pPr>
              <w:jc w:val="center"/>
              <w:ind w:left="47"/>
              <w:spacing w:after="0"/>
              <w:rPr>
                <w:sz w:val="20"/>
                <w:szCs w:val="20"/>
                <w:color w:val="auto"/>
              </w:rPr>
            </w:pPr>
            <w:r>
              <w:rPr>
                <w:rFonts w:ascii="Courier New" w:cs="Courier New" w:eastAsia="Courier New" w:hAnsi="Courier New"/>
                <w:sz w:val="15"/>
                <w:szCs w:val="15"/>
                <w:color w:val="auto"/>
                <w:w w:val="97"/>
              </w:rPr>
              <w:t>RESTRICTED</w:t>
            </w:r>
          </w:p>
        </w:tc>
      </w:tr>
      <w:tr>
        <w:trPr>
          <w:trHeight w:val="170"/>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ADDITIONAL</w:t>
            </w:r>
          </w:p>
        </w:tc>
        <w:tc>
          <w:tcPr>
            <w:tcW w:w="1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40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STOCK</w:t>
            </w:r>
          </w:p>
        </w:tc>
      </w:tr>
      <w:tr>
        <w:trPr>
          <w:trHeight w:val="170"/>
        </w:trPr>
        <w:tc>
          <w:tcPr>
            <w:tcW w:w="3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PREFERRED</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COMMON</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PAID-IN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RETAINED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0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UNEARNED</w:t>
            </w:r>
          </w:p>
        </w:tc>
      </w:tr>
      <w:tr>
        <w:trPr>
          <w:trHeight w:val="170"/>
        </w:trPr>
        <w:tc>
          <w:tcPr>
            <w:tcW w:w="3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w:t>
            </w:r>
          </w:p>
        </w:tc>
        <w:tc>
          <w:tcPr>
            <w:tcW w:w="120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COMPENSATION</w:t>
            </w:r>
          </w:p>
        </w:tc>
      </w:tr>
      <w:tr>
        <w:trPr>
          <w:trHeight w:val="170"/>
        </w:trPr>
        <w:tc>
          <w:tcPr>
            <w:tcW w:w="3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January 1, 1998....................</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$5,987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$3,873,990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$1,938,027</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$(283,193)</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$(11,102)</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(770,702)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dividends............................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(93,810)</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trust...................................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(1,963)</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options and grants of restricted stock</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(including tax benefit).................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94,507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stock, net of reversals on forfeited</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759</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Reversals of unearned compensation upon</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cancellation of restricted stock........</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1,134</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Accelerated vesting of restricted stock</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due to WM Holdings Merger...............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9,209</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for acquisitions......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180,051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(6,032)</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in public offerings...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205,811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Put rights on WM Holdings employee stock</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options, net of taxes...................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70,495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market value.........................</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68,618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Adjustment for minimum pension</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liability...............................</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(59,769)</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 adjustment of</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foreign currency statements.............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(77,842)</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Sale of treasury stock....................</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Cancellation of treasury stock............</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(566,136)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Change in Eastern fiscal year.............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91,294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986</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Conversion of WTI stock options...........</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20,138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47,039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1998..................</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$6,083</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$4,091,525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$1,066,506</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$(420,804)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EMPLOYEE</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TREASURY</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STOCK</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BENEFIT TRUST</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January 1, 1998....................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(1,369,405)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$(299,375)</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options and grants of restricted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(including tax benefit).................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75,212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stock, net of reversals on forfeited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Reversals of unearned compensation upon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cancellation of restricted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Accelerated vesting of restricted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due to WM Holdings Merger...............</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issued in public offerings...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Put rights on WM Holdings employee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options, net of taxes...................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 market value.........................</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(68,618)</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Adjustment for minimum pension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liability...............................</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Cumulative translation adjustment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foreign currency statements.............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Sale of treasury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725,103</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Cancellation of treasury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566,269</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Change in Eastern fiscal year.............</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Conversion of WTI stock options...........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(2,821)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$(367,993)</w:t>
            </w:r>
          </w:p>
        </w:tc>
      </w:tr>
      <w:tr>
        <w:trPr>
          <w:trHeight w:val="170"/>
        </w:trPr>
        <w:tc>
          <w:tcPr>
            <w:tcW w:w="39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720"/>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660"/>
          </w:cols>
          <w:pgMar w:left="240" w:top="283" w:right="999" w:bottom="57"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660"/>
          </w:cols>
          <w:pgMar w:left="240" w:top="283" w:right="999" w:bottom="57"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gridSpan w:val="5"/>
          </w:tcPr>
          <w:p>
            <w:pPr>
              <w:jc w:val="right"/>
              <w:ind w:right="72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360" w:type="dxa"/>
            <w:vAlign w:val="bottom"/>
          </w:tcPr>
          <w:p>
            <w:pPr>
              <w:spacing w:after="0"/>
              <w:rPr>
                <w:sz w:val="14"/>
                <w:szCs w:val="14"/>
                <w:color w:val="auto"/>
              </w:rPr>
            </w:pPr>
          </w:p>
        </w:tc>
        <w:tc>
          <w:tcPr>
            <w:tcW w:w="362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1,498,712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1,391,810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1,264,196</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(450,158)</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(375,543)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189,151</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Undistributed earnings of equity investees..............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(3,294)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(34,200)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Minority interest in subsidiaries.......................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24,254</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44,687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42,111</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Interest accretion on certain debt......................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18,023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20,682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22,343</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Contribution to 1988 Employee Stock Ownership Plan......</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6,396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6,666</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Net gain on disposal of assets..........................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(83,503)</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(133,981)</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(36,261)</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Effect of merger costs, asset impairments and unusual</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1,555,000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1,675,247</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496,608</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Income (loss) on disposal or from reserve adjustment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discontinued operations, net of tax and minority</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285,921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(185,995)</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(45,237)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(85,279)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(11,235)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68,791</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135,120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90,614</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(140,613)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228,022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(16,721)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72,938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(185,088)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(66,853)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48,063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55,384</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1,502,035</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2,065,906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1,930,956</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57,509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(117,668)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(1,946,197)</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(1,685,415)</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(509,608)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(1,651,489)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(1,332,207)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(1,519,272)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545,143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1,496,562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830,773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investments.........................................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76,244</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(8,877)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(16,372)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Acquisition of minority interests.........................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(1,673,168)</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(104,165)</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(342,034)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36,821</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(25,758)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(35,459)</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(4,555,137)</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(1,777,528)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(1,590,802)</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6,401,897</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4,616,718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4,403,008</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(4,406,910)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(4,378,952)</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(3,954,584)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(93,810)</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(309,577)</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(308,265)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205,863</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580,833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Proceeds from sale of treasury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739,161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133,119</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78,175</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119,284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distributions to minority shareholders by affiliated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companies...............................................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(23,514)</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(36,341)</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Stock repurchases.........................................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(1,000,208)</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(473,560)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4,402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21,958</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2,955,796</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(444,950)</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(192,159)</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(5,763)</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2,807</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Increase (decrease)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(103,069)</w:t>
            </w:r>
          </w:p>
        </w:tc>
        <w:tc>
          <w:tcPr>
            <w:tcW w:w="1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(162,360)</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150,802</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189,942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352,302</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201,500</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86,873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189,942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352,302</w:t>
            </w:r>
          </w:p>
        </w:tc>
      </w:tr>
      <w:tr>
        <w:trPr>
          <w:trHeight w:val="170"/>
        </w:trPr>
        <w:tc>
          <w:tcPr>
            <w:tcW w:w="5360" w:type="dxa"/>
            <w:vAlign w:val="bottom"/>
          </w:tcPr>
          <w:p>
            <w:pPr>
              <w:spacing w:after="0"/>
              <w:rPr>
                <w:sz w:val="14"/>
                <w:szCs w:val="14"/>
                <w:color w:val="auto"/>
              </w:rPr>
            </w:pP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651,585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543,969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480,383</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253,770</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410,438</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359,795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 receivable from sale of assets.......................</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28,571</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26,583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Conversion of subordinated debt to common stock...........</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10,086</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1,159</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62,176</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businesses and development projects: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 incurred or assumed.........................</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432,462</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222,536</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470,664</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180,127</w:t>
            </w:r>
          </w:p>
        </w:tc>
        <w:tc>
          <w:tcPr>
            <w:tcW w:w="1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251,863</w:t>
            </w:r>
          </w:p>
        </w:tc>
        <w:tc>
          <w:tcPr>
            <w:tcW w:w="18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366,046</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83" w:right="1440" w:bottom="396"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3" w:right="1440" w:bottom="396"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COMPREHENSIVE INCOME</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30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80" w:type="dxa"/>
            <w:vAlign w:val="bottom"/>
          </w:tcPr>
          <w:p>
            <w:pPr>
              <w:spacing w:after="0"/>
              <w:rPr>
                <w:sz w:val="14"/>
                <w:szCs w:val="14"/>
                <w:color w:val="auto"/>
              </w:rPr>
            </w:pPr>
          </w:p>
        </w:tc>
        <w:tc>
          <w:tcPr>
            <w:tcW w:w="30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$(770,702)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(938,895)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$24,231</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2227"/>
              <w:spacing w:after="0"/>
              <w:rPr>
                <w:sz w:val="20"/>
                <w:szCs w:val="20"/>
                <w:color w:val="auto"/>
              </w:rPr>
            </w:pPr>
            <w:r>
              <w:rPr>
                <w:rFonts w:ascii="Courier New" w:cs="Courier New" w:eastAsia="Courier New" w:hAnsi="Courier New"/>
                <w:sz w:val="15"/>
                <w:szCs w:val="15"/>
                <w:color w:val="auto"/>
                <w:w w:val="96"/>
              </w:rPr>
              <w:t>Other comprehensive income (loss):</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Foreign currency translation adjustment..................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(77,842)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(180,744)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22,664</w:t>
            </w: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Minimum pension liability adjustment, net of taxes of</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$(46,982) in 1998, $7,347 in 1997, and $(4,599) in</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(59,769)</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11,492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(7,193)</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comprehensive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(137,611)</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(169,252)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15,471</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Comprehensive income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$(908,313)</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$(1,108,147)</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$39,702</w:t>
            </w:r>
          </w:p>
        </w:tc>
      </w:tr>
      <w:tr>
        <w:trPr>
          <w:trHeight w:val="170"/>
        </w:trPr>
        <w:tc>
          <w:tcPr>
            <w:tcW w:w="5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BUSINESS AND FINANCIAL STATEMENTS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Business -- Waste Management, Inc. and Subsidiaries (the "Company") provides integrated waste management services throughout North America consisting of collection, transfer, disposal (including landfill disposal of hazardous waste), recycling and resource recovery services as well as other hazardous waste services, and low-level and other radioactive waste services to commercial, industrial, municipal and residential customers. Additionally, the Company is a developer, owner and operator of waste-to-energy and waste-fuel powered independent power facilities. The Company also operates throughout Europe, the Pacific Rim, South America and other select international markets. Internationally, the Company collects and transports solid, hazardous and medical wastes and recyclables from customers and operates solid and hazardous waste landfills and municipal and hazardous waste incinerators, water and wastewater treatment facilities, hazardous waste treatment facilities and constructs treatment or disposal facilities for third parties.</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WM Holdings Merger -- On July 16, 1998, the Company, then known as USA Waste Services, Inc., completed a merger with Waste Management, Inc., which was subsequently renamed Waste Management Holdings, Inc. ("WM Holdings") (the "WM Holdings Merger"). WM Holdings was previously the largest publicly traded solid waste company in the United States, providing integrated solid waste management and hazardous waste management services in North America and comprehensive waste management and related services, including solid and hazardous waste management services, internationally. At the effective time of the WM Holdings Merger, the Company changed its name to "Waste Management, Inc." See Note 3.</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Eastern Merger -- On December 31, 1998, the Company consummated a merger transaction with Eastern Environmental Services, Inc. ("Eastern") accounted for using the pooling of interests method of accounting. Accordingly, the financial statements have been restated from previously reported financial statements to include the accounts and operations of Eastern for all periods presented. See Note 3.</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76"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Short-term investments -- As part of its cash management program, the Company from time to time maintains a portfolio of marketable investment securities. The securities have an investment grade and a term to earliest maturity generally of less than one year, and include tax exempt securities, certificates of deposit and Eurodollar time deposits. These securities are carried at cost, which approximates market.</w:t>
      </w:r>
    </w:p>
    <w:p>
      <w:pPr>
        <w:spacing w:after="0" w:line="176"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Short-term investments also include marketable securities classified as "trading," which are carried at market price with unrealized gains and losses included in other income in the accompanying consolidated statements of operations. At December 31, 1998, no "trading" securities were held by the Company. At December 31, 1997, this category included certain other equity securities classified as "trading" as well as a related price collar. These securities and a related collar in 1998 were disposed with no gain or loss.</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Restricted funds held by trustees -- Restricted funds held by trustees of $153,030,000 and $190,030,000 at December 31, 1998 and 1997, respectively, are included in other non-current assets and consist principally of funds deposited in connection with landfill final closure and post-closure obligations, insurance escrow deposits, and amounts held for landfill and other construction arising from industrial revenue financings. These amounts are principally invested in fixed income securities of federal, state, and local governmental entities and financial institutions. The Company considers its landfill final closure, post-closure, and construction escrow investments to be held to maturity. At December 31, 1998 and 1997,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1998 and 1997.</w:t>
      </w:r>
    </w:p>
    <w:p>
      <w:pPr>
        <w:spacing w:after="0" w:line="16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make up the Company's customer base, thus spreading the trade credit risk. At December 31, 1998 and 1997, no single group or customer represents greater than 10% of total accounts receivable. The Company controls credit risk through credit approvals, credit limits, and monitoring procedures. The Company performs credit evaluations for commercial and industrial customers and performs ongoing credit evaluations of its customers, but generally does not require collateral to support accounts receivable.</w:t>
      </w:r>
    </w:p>
    <w:p>
      <w:pPr>
        <w:spacing w:after="0" w:line="18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Derivative financial instruments -- From time to time, the Company uses derivatives to manage interest rate and currency risk. The Company has, in the past, engaged in hedging of fuel and equity price risk; however, it had no such financial instruments outstanding at December 31, 1998. The Company's policy is to use derivatives for risk management purposes only, and it does not enter into such contracts for trading purposes. The Company enters into derivatives only with counterparties which are financial institutions having credit ratings of at least A- or A3, to minimize credit risk. The amount of gains or losses from the use of derivative financial instruments have not been and are not expected to be material to the Company's consolidated financial statements.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or cash flows of hedge instruments must have a high degree of inverse correlation with changes in market values or cash flows of the underlying hedged items. Derivatives that meet the hedge criteria are accounted for under the deferral or accrual method as discussed in Note 8.</w:t>
      </w:r>
    </w:p>
    <w:p>
      <w:pPr>
        <w:spacing w:after="0" w:line="177"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Property and equipment -- Property and equipment are recorded at cost. Expenditures for major additions and improvements are capitalized, while minor replacements, maintenance, and repairs are charged to expense as incurred. When property and equipment are retired or otherwise disposed of, the cost and</w:t>
      </w:r>
    </w:p>
    <w:tbl>
      <w:tblPr>
        <w:tblLayout w:type="fixed"/>
        <w:tblInd w:w="0" w:type="dxa"/>
        <w:tblCellMar>
          <w:top w:w="0" w:type="dxa"/>
          <w:left w:w="0" w:type="dxa"/>
          <w:bottom w:w="0" w:type="dxa"/>
          <w:right w:w="0" w:type="dxa"/>
        </w:tblCellMar>
      </w:tblPr>
      <w:tr>
        <w:trPr>
          <w:trHeight w:val="166"/>
        </w:trPr>
        <w:tc>
          <w:tcPr>
            <w:tcW w:w="4760" w:type="dxa"/>
            <w:vAlign w:val="bottom"/>
          </w:tcPr>
          <w:p>
            <w:pPr>
              <w:spacing w:after="0" w:line="166" w:lineRule="exact"/>
              <w:rPr>
                <w:sz w:val="20"/>
                <w:szCs w:val="20"/>
                <w:color w:val="auto"/>
              </w:rPr>
            </w:pPr>
            <w:r>
              <w:rPr>
                <w:rFonts w:ascii="Courier New" w:cs="Courier New" w:eastAsia="Courier New" w:hAnsi="Courier New"/>
                <w:sz w:val="15"/>
                <w:szCs w:val="15"/>
                <w:color w:val="auto"/>
                <w:w w:val="97"/>
              </w:rPr>
              <w:t>accumulated depreciation are removed from the accounts</w:t>
            </w:r>
          </w:p>
        </w:tc>
        <w:tc>
          <w:tcPr>
            <w:tcW w:w="740" w:type="dxa"/>
            <w:vAlign w:val="bottom"/>
            <w:gridSpan w:val="2"/>
          </w:tcPr>
          <w:p>
            <w:pPr>
              <w:jc w:val="right"/>
              <w:spacing w:after="0" w:line="166" w:lineRule="exact"/>
              <w:rPr>
                <w:sz w:val="20"/>
                <w:szCs w:val="20"/>
                <w:color w:val="auto"/>
              </w:rPr>
            </w:pPr>
            <w:r>
              <w:rPr>
                <w:rFonts w:ascii="Courier New" w:cs="Courier New" w:eastAsia="Courier New" w:hAnsi="Courier New"/>
                <w:sz w:val="15"/>
                <w:szCs w:val="15"/>
                <w:color w:val="auto"/>
              </w:rPr>
              <w:t>and any</w:t>
            </w:r>
          </w:p>
        </w:tc>
        <w:tc>
          <w:tcPr>
            <w:tcW w:w="1900" w:type="dxa"/>
            <w:vAlign w:val="bottom"/>
            <w:gridSpan w:val="3"/>
          </w:tcPr>
          <w:p>
            <w:pPr>
              <w:jc w:val="right"/>
              <w:ind w:right="287"/>
              <w:spacing w:after="0" w:line="166" w:lineRule="exact"/>
              <w:rPr>
                <w:sz w:val="20"/>
                <w:szCs w:val="20"/>
                <w:color w:val="auto"/>
              </w:rPr>
            </w:pPr>
            <w:r>
              <w:rPr>
                <w:rFonts w:ascii="Courier New" w:cs="Courier New" w:eastAsia="Courier New" w:hAnsi="Courier New"/>
                <w:sz w:val="15"/>
                <w:szCs w:val="15"/>
                <w:color w:val="auto"/>
                <w:w w:val="99"/>
              </w:rPr>
              <w:t>resulting gain or</w:t>
            </w:r>
          </w:p>
        </w:tc>
      </w:tr>
      <w:tr>
        <w:trPr>
          <w:trHeight w:val="170"/>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rPr>
              <w:t>loss is included in the results of operations for the respective period.</w:t>
            </w:r>
          </w:p>
        </w:tc>
        <w:tc>
          <w:tcPr>
            <w:tcW w:w="840" w:type="dxa"/>
            <w:vAlign w:val="bottom"/>
          </w:tcPr>
          <w:p>
            <w:pPr>
              <w:spacing w:after="0"/>
              <w:rPr>
                <w:sz w:val="14"/>
                <w:szCs w:val="14"/>
                <w:color w:val="auto"/>
              </w:rPr>
            </w:pPr>
          </w:p>
        </w:tc>
      </w:tr>
      <w:tr>
        <w:trPr>
          <w:trHeight w:val="170"/>
        </w:trPr>
        <w:tc>
          <w:tcPr>
            <w:tcW w:w="7400" w:type="dxa"/>
            <w:vAlign w:val="bottom"/>
            <w:gridSpan w:val="6"/>
          </w:tcPr>
          <w:p>
            <w:pPr>
              <w:spacing w:after="0"/>
              <w:rPr>
                <w:sz w:val="20"/>
                <w:szCs w:val="20"/>
                <w:color w:val="auto"/>
              </w:rPr>
            </w:pPr>
            <w:r>
              <w:rPr>
                <w:rFonts w:ascii="Courier New" w:cs="Courier New" w:eastAsia="Courier New" w:hAnsi="Courier New"/>
                <w:sz w:val="15"/>
                <w:szCs w:val="15"/>
                <w:color w:val="auto"/>
              </w:rPr>
              <w:t>Depreciation is provided over the estimated useful lives of the related assets</w:t>
            </w: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w w:val="98"/>
              </w:rPr>
              <w:t>using the straight-line method. The estimated useful lives for</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significant</w:t>
            </w:r>
          </w:p>
        </w:tc>
        <w:tc>
          <w:tcPr>
            <w:tcW w:w="840" w:type="dxa"/>
            <w:vAlign w:val="bottom"/>
          </w:tcPr>
          <w:p>
            <w:pPr>
              <w:spacing w:after="0"/>
              <w:rPr>
                <w:sz w:val="14"/>
                <w:szCs w:val="14"/>
                <w:color w:val="auto"/>
              </w:rPr>
            </w:pP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property and equipment categories are as follows (in years):</w:t>
            </w: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78"/>
        </w:trPr>
        <w:tc>
          <w:tcPr>
            <w:tcW w:w="5940" w:type="dxa"/>
            <w:vAlign w:val="bottom"/>
            <w:gridSpan w:val="4"/>
          </w:tcPr>
          <w:p>
            <w:pPr>
              <w:ind w:left="4480"/>
              <w:spacing w:after="0"/>
              <w:rPr>
                <w:sz w:val="20"/>
                <w:szCs w:val="20"/>
                <w:color w:val="auto"/>
              </w:rPr>
            </w:pPr>
            <w:r>
              <w:rPr>
                <w:rFonts w:ascii="Courier New" w:cs="Courier New" w:eastAsia="Courier New" w:hAnsi="Courier New"/>
                <w:sz w:val="15"/>
                <w:szCs w:val="15"/>
                <w:color w:val="auto"/>
              </w:rPr>
              <w:t>OCTOBER 1, 1997</w:t>
            </w:r>
          </w:p>
        </w:tc>
        <w:tc>
          <w:tcPr>
            <w:tcW w:w="14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PRIOR TO</w:t>
            </w:r>
          </w:p>
        </w:tc>
      </w:tr>
      <w:tr>
        <w:trPr>
          <w:trHeight w:val="170"/>
        </w:trPr>
        <w:tc>
          <w:tcPr>
            <w:tcW w:w="4760" w:type="dxa"/>
            <w:vAlign w:val="bottom"/>
          </w:tcPr>
          <w:p>
            <w:pPr>
              <w:ind w:left="4480"/>
              <w:spacing w:after="0"/>
              <w:rPr>
                <w:sz w:val="20"/>
                <w:szCs w:val="20"/>
                <w:color w:val="auto"/>
              </w:rPr>
            </w:pPr>
            <w:r>
              <w:rPr>
                <w:rFonts w:ascii="Courier New" w:cs="Courier New" w:eastAsia="Courier New" w:hAnsi="Courier New"/>
                <w:sz w:val="15"/>
                <w:szCs w:val="15"/>
                <w:color w:val="auto"/>
                <w:w w:val="96"/>
              </w:rPr>
              <w:t>AND</w:t>
            </w: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THEREAFTER</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1, 1997</w:t>
            </w:r>
          </w:p>
        </w:tc>
      </w:tr>
      <w:tr>
        <w:trPr>
          <w:trHeight w:val="170"/>
        </w:trPr>
        <w:tc>
          <w:tcPr>
            <w:tcW w:w="4980" w:type="dxa"/>
            <w:vAlign w:val="bottom"/>
            <w:gridSpan w:val="2"/>
          </w:tcPr>
          <w:p>
            <w:pPr>
              <w:ind w:left="4480"/>
              <w:spacing w:after="0"/>
              <w:rPr>
                <w:sz w:val="20"/>
                <w:szCs w:val="20"/>
                <w:color w:val="auto"/>
              </w:rPr>
            </w:pPr>
            <w:r>
              <w:rPr>
                <w:rFonts w:ascii="Courier New" w:cs="Courier New" w:eastAsia="Courier New" w:hAnsi="Courier New"/>
                <w:sz w:val="7"/>
                <w:szCs w:val="7"/>
                <w:color w:val="auto"/>
                <w:w w:val="76"/>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 10</w:t>
            </w:r>
          </w:p>
        </w:tc>
        <w:tc>
          <w:tcPr>
            <w:tcW w:w="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 12</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 20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 20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Commercial and roll-off containers...............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 12</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 20</w:t>
            </w:r>
          </w:p>
        </w:tc>
      </w:tr>
      <w:tr>
        <w:trPr>
          <w:trHeight w:val="170"/>
        </w:trPr>
        <w:tc>
          <w:tcPr>
            <w:tcW w:w="476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10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 40</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 40</w:t>
            </w:r>
          </w:p>
        </w:tc>
      </w:tr>
      <w:tr>
        <w:trPr>
          <w:trHeight w:val="509"/>
        </w:trPr>
        <w:tc>
          <w:tcPr>
            <w:tcW w:w="4760" w:type="dxa"/>
            <w:vAlign w:val="bottom"/>
          </w:tcPr>
          <w:p>
            <w:pPr>
              <w:ind w:left="3420"/>
              <w:spacing w:after="0"/>
              <w:rPr>
                <w:sz w:val="20"/>
                <w:szCs w:val="20"/>
                <w:color w:val="auto"/>
              </w:rPr>
            </w:pPr>
            <w:r>
              <w:rPr>
                <w:rFonts w:ascii="Courier New" w:cs="Courier New" w:eastAsia="Courier New" w:hAnsi="Courier New"/>
                <w:sz w:val="15"/>
                <w:szCs w:val="15"/>
                <w:color w:val="auto"/>
              </w:rPr>
              <w:t>62</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of October 1, 1997, and thereafter, the Company assumed no salvage value for its depreciable North American fixed assets. Prior to October 1, 1997, WM Holdings assigned salvage value to certain fixed asset categories as described in Note 4.</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Disposal sites are stated at cost and amortized ratably using the units-of-production method over the estimated useful life of the site as airspace of the landfill is consumed. For those sites that the Company believes permit expansion is probable, the expansion airspace and the projected costs related to developing the expansion airspace is included in the airspace amortization rate calculation. Disposal site amortization rates are determined periodically (not less than annually) for each disposal site based on estimates provided by the Company's engineers and accountants. Disposal site costs include expenditures for the acquisition of land and related airspace, engineering and permitting costs, direct site improvement costs, and capitalized interest. Disposal site amortization rate calculations consider information provided by aerial and ground surveys and other density measures. Factors in determining probable expansions on a site-by-site basis include secured rights to required land, status of legal, environmental, regulatory and political issues, and the extent to which the permit application process has proceeded.</w:t>
      </w:r>
    </w:p>
    <w:p>
      <w:pPr>
        <w:spacing w:after="0" w:line="18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Business combinations -- The Company assesses each business combination to determine whether the pooling of interests or the purchase method of accounting is appropriate. For those business combinations accounted for under the pooling of interests method, the financial statements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and if, information regarding contingencies becomes available to define and quantify assets acquired and liabilities assumed. The allocation period varies but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The Company does not believe potential deviations between its fair value estimates and actual fair values will be material.</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Excess of cost over net assets of acquired businesses -- The excess of cost over net assets of acquired businesses is amortized on a straight-line basis over a period not greater than 40 years commencing on the dates of the respective acquisitions. Accumulated amortization was $813,638,000 and $703,656,000 at December 31, 1998 and 1997, respectively.</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Other intangible assets -- Other intangible assets consist primarily of customer lists, covenants not to compete, licenses, permits, and contracts. Other intangible assets are recorded at cost and amortized on a straight-line basis. Customer lists are generally amortized over five to seven years. Covenants not to compete are amortized over the term of the agreement, which is generally three to five years. Licenses, permits, and contracts are amortized over the shorter of the definitive terms of the related agreements or 40 years. Accumulated amortization was $113,312,000 and $110,760,000 at December 31, 1998 and 1997, respectively.</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Long-lived assets -- Long-lived assets consist primarily of property and equipment, excess of cost over net assets of acquired businesses, and other intangible assets. The recoverability of long-lived assets is evaluated at the operating unit level by an analysis of operating results and consideration of other significant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events or changes in the business environment. If an operating unit has indications of impairment, such as current operating losses, the Company will evaluate whether impairment exists on the basis of undiscounted expected future cash flows from operations before interest for the remaining amortization period. If impairment exists, the carrying amount of the long-lived assets is reduced to its estimated fair value.</w:t>
      </w:r>
    </w:p>
    <w:p>
      <w:pPr>
        <w:spacing w:after="0" w:line="17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Contracts in process -- Contracts in process relate to contracts involving a substantial construction component. Such contracts primarily relate to</w:t>
      </w:r>
    </w:p>
    <w:p>
      <w:pPr>
        <w:spacing w:after="0" w:line="1"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activities performed by international operations. The status of the Company's contracts in process as of the dates indicated is as follows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580" w:type="dxa"/>
            <w:vAlign w:val="bottom"/>
          </w:tcPr>
          <w:p>
            <w:pPr>
              <w:spacing w:after="0"/>
              <w:rPr>
                <w:sz w:val="14"/>
                <w:szCs w:val="14"/>
                <w:color w:val="auto"/>
              </w:rPr>
            </w:pPr>
          </w:p>
        </w:tc>
        <w:tc>
          <w:tcPr>
            <w:tcW w:w="23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7"/>
              </w:rPr>
              <w:t>Costs and estimated earnings on uncompleted</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1,312,158</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$ 1,511,710</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Less billings on uncompleted contracts.............</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(1,213,795)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(1,374,100)</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contracts in progress..............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98,363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137,610</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259" w:firstLine="441"/>
        <w:spacing w:after="0" w:line="235" w:lineRule="auto"/>
        <w:rPr>
          <w:sz w:val="20"/>
          <w:szCs w:val="20"/>
          <w:color w:val="auto"/>
        </w:rPr>
      </w:pPr>
      <w:r>
        <w:rPr>
          <w:rFonts w:ascii="Courier New" w:cs="Courier New" w:eastAsia="Courier New" w:hAnsi="Courier New"/>
          <w:sz w:val="15"/>
          <w:szCs w:val="15"/>
          <w:color w:val="auto"/>
        </w:rPr>
        <w:t>Contracts in process are included in the accompanying consolidated balance sheets under the following captions: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020" w:type="dxa"/>
            <w:vAlign w:val="bottom"/>
          </w:tcPr>
          <w:p>
            <w:pPr>
              <w:spacing w:after="0"/>
              <w:rPr>
                <w:sz w:val="14"/>
                <w:szCs w:val="14"/>
                <w:color w:val="auto"/>
              </w:rPr>
            </w:pPr>
          </w:p>
        </w:tc>
        <w:tc>
          <w:tcPr>
            <w:tcW w:w="18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w w:val="99"/>
              </w:rPr>
              <w:t>uncompleted 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127,975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$158,610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estimated earnings 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uncompleted contracts (included in deferred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(29,612)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 contracts in process....................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98,363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$137,610</w:t>
            </w:r>
          </w:p>
        </w:tc>
      </w:tr>
      <w:tr>
        <w:trPr>
          <w:trHeight w:val="170"/>
        </w:trPr>
        <w:tc>
          <w:tcPr>
            <w:tcW w:w="502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All contracts in process are expected to be billed and collected within five years.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reporting and tax bases of assets and liabilities. Deferred income tax expense represents the change during the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Foreign currency -- The functional currency of the majority of the Company's foreign operations is the local currency of the country in which the Company operates. Adjustments resulting from the translation of financial information are included in comprehensive income.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Revenue recognition -- The Company recognizes revenues on service contracts as services are provided. Amounts billed and collected prior to services being performed are included in deferred revenues. Results from long-term contracts involving a substantial construction component are recorded on the percentage-of-completion basis. Changes in project performance and conditions, estimated profitability and final contract settlements may result in future revisions to long-term construction contract costs and income.</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Capitalized interest -- Interest is capitalized on certain projects under development including greenfield landfill projects and probable landfill expansion projects, and on certain assets under construction, including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greenfield site or the purchase price of an operating landfill, and the ongoing infrastructure costs benefiting the life cycle of the landfill. Cell construction costs</w:t>
      </w:r>
    </w:p>
    <w:p>
      <w:pPr>
        <w:sectPr>
          <w:pgSz w:w="11900" w:h="16838" w:orient="portrait"/>
          <w:cols w:equalWidth="0" w:num="1">
            <w:col w:w="10219"/>
          </w:cols>
          <w:pgMar w:left="240" w:top="283" w:right="1440" w:bottom="1074" w:gutter="0" w:footer="0" w:header="0"/>
        </w:sectPr>
      </w:pP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3" w:right="1440" w:bottom="1074"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include the construction of cell liners and construction of final capping during the operating life of the site. During 1998, 1997, and 1996, total interest costs were $722,958,000, $606,952,000, and $582,213,000, respectively, of which $41,501,000, $51,376,000, and $56,873,000, were capitalized, respectively.</w:t>
      </w:r>
    </w:p>
    <w:p>
      <w:pPr>
        <w:spacing w:after="0" w:line="16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New accounting pronouncements -- In June 1998, the Financial Accounting Standards Board ("FASB")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the Company in 2000. Management is currently assessing the impact that the adoption of SFAS No. 133 will have on the Company's consolidated financial statements.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April 1998, the Company adopted the American Institute of Certified Public Accountants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The impact of SOP 98-5 was not material to the Company's consolidated financial statements.</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Effective January 1, 1997, the Company adopted the American Institute of Certified Public Accountants Statement of Position 96-1, Environmental Remediation Liabilities ("SOP 96-1"). SOP 96-1 provides that environmental remediation liabilities should be accrued when the criteria of the FASB Statement of Financial Accounting Standards No. 5, Accounting for Contingencies ("SFAS No. 5"), are met. SOP 96-1 also provides that the accrual for such liabilities should include future costs for those employees expected to devote a significant amount of time directly to the management of remediation liabilities. The adoption of SOP 96-1 during 1997 resulted in an increase to operating costs and expenses of approximately $49,900,000 for that period.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BUSINESS COMBINATIONS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1998 Poolings of Interests Transactions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December 31, 1998, the Company consummated a merger with Eastern accounted for as a pooling of interests (the "Eastern Merger"), and accordingly, the accompanying consolidated financial statements have been restated to include the accounts and operations of Eastern for all periods presented. Under the terms of the Eastern Merger, the Company issued 0.6406 of a share of its common stock for each share of Eastern outstanding common stock. Prior to the Eastern Merger, the Company owned approximately 1.3% of Eastern's outstanding shares, which were canceled on the effective date of the Eastern Merger. The Eastern Merger increased the Company's outstanding shares of common stock by approximately 24,460,000 shares, and the Company assumed Eastern's stock options equivalent to approximately 2,255,000 underlying shares of the Company's common stock.</w:t>
      </w:r>
    </w:p>
    <w:p>
      <w:pPr>
        <w:spacing w:after="0" w:line="182"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consolidated balance sheets at December 31, 1998 and 1997 reflect the combining of (i) the Company prior to consummation of the Eastern Merger ("Waste Management") and (ii) Eastern as of those dates. Combined and separate results of operations for the two years ended December 31, 1997, and the nine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months ended September 30, 1998, of Waste Management and Eastern for the restated periods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WASTE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MANAGEMENT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EASTERN</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COMBINED</w:t>
            </w:r>
          </w:p>
        </w:tc>
      </w:tr>
      <w:tr>
        <w:trPr>
          <w:trHeight w:val="170"/>
        </w:trPr>
        <w:tc>
          <w:tcPr>
            <w:tcW w:w="360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1998</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$ 9,236,544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$227,821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9,464,365</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 before income taxes.....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(931,295)</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34,121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(897,174)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(851,670)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17,483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(834,187)</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$11,802,350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$170,148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11,972,498</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 before income taxes.....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(668,513)</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6,016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(662,497)</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(943,034)</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4,139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(938,895)</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$10,874,767</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$123,835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10,998,602</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 before income taxes.....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778,069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(3,837)</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774,232</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28,152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(3,921)</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24,231</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Prior to December 31, 1997, Eastern reported on a June 30 fiscal year-end. Therefore, the accounts of Eastern for its 1997 and 1996, fiscal years have been consolidated with the accounts of the Company as of and for the years ended December 31, 1997 and 1996, respectively. Operating revenues and net income for Eastern for the six-month period ended December 31, 1997, were approximately $119,526,000 and $5,319,000, respectively. Accordingly, an adjustment is included in the Company's 1998 consolidated financial statements for this six-month period. In addition, Eastern issued shares of its common stock in connection with acquisitions and a public offering during the six-month period.</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On July 16, 1998, the Company consummated a merger with WM Holdings, which was accounted for as a pooling of interests and, accordingly, the accompanying consolidated financial statements include the accounts and operations of WM Holdings for all periods presented. Under the terms of the WM Holdings Merger, the Company issued 0.725 of a share of its common stock for each share of WM Holdings outstanding common stock. The WM Holdings Merger increased the Company's outstanding shares of common stock by approximately 354,000,000 shares, and the Company assumed WM Holdings' stock options equivalent to approximately 16,000,000 underlying shares of the Company's common stock. Any unvested WM Holdings options granted prior to March 10, 1998 vested upon consummation of the Merger due to change of control provisions.</w:t>
      </w:r>
    </w:p>
    <w:p>
      <w:pPr>
        <w:spacing w:after="0" w:line="166"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The results of operations for WM Holdings prior to consummation of the WM Holdings Merger for the restated periods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THREE MONTHS ENDED</w:t>
            </w:r>
          </w:p>
        </w:tc>
        <w:tc>
          <w:tcPr>
            <w:tcW w:w="23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MARCH 31, 1998</w:t>
            </w:r>
          </w:p>
        </w:tc>
        <w:tc>
          <w:tcPr>
            <w:tcW w:w="1360" w:type="dxa"/>
            <w:vAlign w:val="bottom"/>
          </w:tcPr>
          <w:p>
            <w:pPr>
              <w:ind w:left="380"/>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1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160" w:type="dxa"/>
            <w:vAlign w:val="bottom"/>
          </w:tcPr>
          <w:p>
            <w:pPr>
              <w:spacing w:after="0"/>
              <w:rPr>
                <w:sz w:val="14"/>
                <w:szCs w:val="14"/>
                <w:color w:val="auto"/>
              </w:rPr>
            </w:pPr>
          </w:p>
        </w:tc>
        <w:tc>
          <w:tcPr>
            <w:tcW w:w="1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(UNAUDITED)</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$2,131,621</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$9,188,582</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$9,225,636</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16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income taxes...</w:t>
            </w:r>
          </w:p>
        </w:tc>
        <w:tc>
          <w:tcPr>
            <w:tcW w:w="1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170,968</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(1,053,673)</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660,467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8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74,417</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rPr>
              <w:t>(1,176,104)</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(39,307)</w:t>
            </w:r>
          </w:p>
        </w:tc>
      </w:tr>
      <w:tr>
        <w:trPr>
          <w:trHeight w:val="509"/>
        </w:trPr>
        <w:tc>
          <w:tcPr>
            <w:tcW w:w="3160" w:type="dxa"/>
            <w:vAlign w:val="bottom"/>
          </w:tcPr>
          <w:p>
            <w:pPr>
              <w:spacing w:after="0"/>
              <w:rPr>
                <w:sz w:val="24"/>
                <w:szCs w:val="24"/>
                <w:color w:val="auto"/>
              </w:rPr>
            </w:pPr>
          </w:p>
        </w:tc>
        <w:tc>
          <w:tcPr>
            <w:tcW w:w="1820" w:type="dxa"/>
            <w:vAlign w:val="bottom"/>
          </w:tcPr>
          <w:p>
            <w:pPr>
              <w:jc w:val="right"/>
              <w:ind w:right="1307"/>
              <w:spacing w:after="0"/>
              <w:rPr>
                <w:sz w:val="20"/>
                <w:szCs w:val="20"/>
                <w:color w:val="auto"/>
              </w:rPr>
            </w:pPr>
            <w:r>
              <w:rPr>
                <w:rFonts w:ascii="Courier New" w:cs="Courier New" w:eastAsia="Courier New" w:hAnsi="Courier New"/>
                <w:sz w:val="15"/>
                <w:szCs w:val="15"/>
                <w:color w:val="auto"/>
              </w:rPr>
              <w:t>66</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connection with the WM Holdings Merger and the Eastern Merger, the Company incurred significant charges in the third and fourth quarters of 1998. Additionally, the Company expects to incur additional costs throughout 1999 that are transitional in nature and not accruable until incurred or committed. The table below reflects the amounts charged to merger costs related to the WM Holdings Merger and the Eastern Merger, as well as merger costs expected to be incurred in future periods for the respective transactions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WM HOLDINGS</w:t>
            </w:r>
          </w:p>
        </w:tc>
        <w:tc>
          <w:tcPr>
            <w:tcW w:w="106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EASTERN</w:t>
            </w:r>
          </w:p>
        </w:tc>
        <w:tc>
          <w:tcPr>
            <w:tcW w:w="920" w:type="dxa"/>
            <w:vAlign w:val="bottom"/>
          </w:tcPr>
          <w:p>
            <w:pPr>
              <w:spacing w:after="0"/>
              <w:rPr>
                <w:sz w:val="14"/>
                <w:szCs w:val="14"/>
                <w:color w:val="auto"/>
              </w:rPr>
            </w:pPr>
          </w:p>
        </w:tc>
      </w:tr>
      <w:tr>
        <w:trPr>
          <w:trHeight w:val="170"/>
        </w:trPr>
        <w:tc>
          <w:tcPr>
            <w:tcW w:w="36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7"/>
              </w:rPr>
              <w:t>------------------------------</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CHARGES IN</w:t>
            </w:r>
          </w:p>
        </w:tc>
        <w:tc>
          <w:tcPr>
            <w:tcW w:w="1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CHARGES EXPECTED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CHARGES IN</w:t>
            </w: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CHARGES EXPECTED</w:t>
            </w:r>
          </w:p>
        </w:tc>
      </w:t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FUTURE PERIODS</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IN FUTURE PERIODS</w:t>
            </w:r>
          </w:p>
        </w:tc>
      </w:tr>
      <w:tr>
        <w:trPr>
          <w:trHeight w:val="170"/>
        </w:trPr>
        <w:tc>
          <w:tcPr>
            <w:tcW w:w="360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1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Transaction or deal costs, primarily</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professional fees and filing fees.....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124,100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$ 14,300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Employee severance, separation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transitional costs....................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323,900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28,500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9,700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Restructuring charges relating to the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consolidation and relocation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operations, and the transition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implementation of information</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systems...............................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166,900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71,800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3,200</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Assets to comply with governmental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orders.............................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255,000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32,200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Duplicate facilities and related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leasehold improvements.............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188,900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29,300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Duplicate revenue producing assets....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26,200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32,400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Provision for the abandonment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w w:val="99"/>
              </w:rPr>
              <w:t>Revenue producing assets..............</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126,600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Non-revenue producing assets,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consisting of landfill projects and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leasehold improvements which were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determined to be duplicative assets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from the related merger............</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263,000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Other assets, consisting primarily of</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rPr>
              <w:t>computer hardware and software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3600" w:type="dxa"/>
            <w:vAlign w:val="bottom"/>
          </w:tcPr>
          <w:p>
            <w:pPr>
              <w:ind w:left="440"/>
              <w:spacing w:after="0"/>
              <w:rPr>
                <w:sz w:val="20"/>
                <w:szCs w:val="20"/>
                <w:color w:val="auto"/>
              </w:rPr>
            </w:pPr>
            <w:r>
              <w:rPr>
                <w:rFonts w:ascii="Courier New" w:cs="Courier New" w:eastAsia="Courier New" w:hAnsi="Courier New"/>
                <w:sz w:val="15"/>
                <w:szCs w:val="15"/>
                <w:color w:val="auto"/>
                <w:w w:val="99"/>
              </w:rPr>
              <w:t>costs which have no future value...</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150,300</w:t>
            </w:r>
          </w:p>
        </w:tc>
        <w:tc>
          <w:tcPr>
            <w:tcW w:w="620" w:type="dxa"/>
            <w:vAlign w:val="bottom"/>
          </w:tcPr>
          <w:p>
            <w:pPr>
              <w:spacing w:after="0"/>
              <w:rPr>
                <w:sz w:val="14"/>
                <w:szCs w:val="14"/>
                <w:color w:val="auto"/>
              </w:rPr>
            </w:pPr>
          </w:p>
        </w:tc>
        <w:tc>
          <w:tcPr>
            <w:tcW w:w="11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1,624,900</w:t>
            </w:r>
          </w:p>
        </w:tc>
        <w:tc>
          <w:tcPr>
            <w:tcW w:w="17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$100,300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$165,200</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$12,900</w:t>
            </w:r>
          </w:p>
        </w:tc>
      </w:tr>
      <w:tr>
        <w:trPr>
          <w:trHeight w:val="170"/>
        </w:trPr>
        <w:tc>
          <w:tcPr>
            <w:tcW w:w="3600" w:type="dxa"/>
            <w:vAlign w:val="bottom"/>
          </w:tcPr>
          <w:p>
            <w:pPr>
              <w:spacing w:after="0"/>
              <w:rPr>
                <w:sz w:val="14"/>
                <w:szCs w:val="14"/>
                <w:color w:val="auto"/>
              </w:rPr>
            </w:pP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Included in the charges above, are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could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Additionally, the Company recorded merger costs of approximately</w:t>
      </w:r>
    </w:p>
    <w:p>
      <w:pPr>
        <w:spacing w:after="0"/>
        <w:rPr>
          <w:sz w:val="20"/>
          <w:szCs w:val="20"/>
          <w:color w:val="auto"/>
        </w:rPr>
      </w:pPr>
      <w:r>
        <w:rPr>
          <w:rFonts w:ascii="Courier New" w:cs="Courier New" w:eastAsia="Courier New" w:hAnsi="Courier New"/>
          <w:sz w:val="15"/>
          <w:szCs w:val="15"/>
          <w:color w:val="auto"/>
        </w:rPr>
        <w:t>$17,235,000 related to other poolings of interests transactions consummated</w:t>
      </w:r>
    </w:p>
    <w:p>
      <w:pPr>
        <w:spacing w:after="0"/>
        <w:rPr>
          <w:sz w:val="20"/>
          <w:szCs w:val="20"/>
          <w:color w:val="auto"/>
        </w:rPr>
      </w:pPr>
      <w:r>
        <w:rPr>
          <w:rFonts w:ascii="Courier New" w:cs="Courier New" w:eastAsia="Courier New" w:hAnsi="Courier New"/>
          <w:sz w:val="15"/>
          <w:szCs w:val="15"/>
          <w:color w:val="auto"/>
        </w:rPr>
        <w:t>during 1998.</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Furthermore, the Company recorded certain unusual charges of $864,063,000 in 1998 that were primarily, yet indirectly related to the WM Holdings Merger as discussed in Note 14.</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1997 Pooling of Interests Transactions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On August 26, 1997, the Company consummated a merger with United Waste Systems, Inc. ("United") accounted for as a pooling of interests (the "United Merger") and, accordingly, the accompanying consolidated financial statements include the accounts and operations of United for all periods presented. Under the terms of the United Merger, the Company issued 1.075 shares of its common stock for each outstanding share of United common stock. Additionally,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United stock options. In the third quarter of 1997, the Company incurred approximately $89,152,000 in merger costs associated with the United Merger. Of this amount, $17,566,000 related to transaction costs, $26,198,000 for severance and other termination benefits, $21,629,000 for integration of operations, and $23,759,000 for the disposal of duplicate facilities and impaired assets as a result of the United Merger. The results of operations for United prior to consummation of the United Merger for the restated periods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SIX MONTHS ENDED</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YEAR ENDED</w:t>
            </w:r>
          </w:p>
        </w:tc>
      </w:tr>
      <w:tr>
        <w:trPr>
          <w:trHeight w:val="170"/>
        </w:trPr>
        <w:tc>
          <w:tcPr>
            <w:tcW w:w="3340" w:type="dxa"/>
            <w:vAlign w:val="bottom"/>
          </w:tcPr>
          <w:p>
            <w:pPr>
              <w:spacing w:after="0"/>
              <w:rPr>
                <w:sz w:val="14"/>
                <w:szCs w:val="14"/>
                <w:color w:val="auto"/>
              </w:rPr>
            </w:pPr>
          </w:p>
        </w:tc>
        <w:tc>
          <w:tcPr>
            <w:tcW w:w="16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JUNE 30, 1997</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1996</w:t>
            </w:r>
          </w:p>
        </w:tc>
      </w:tr>
      <w:tr>
        <w:trPr>
          <w:trHeight w:val="170"/>
        </w:trPr>
        <w:tc>
          <w:tcPr>
            <w:tcW w:w="3340" w:type="dxa"/>
            <w:vAlign w:val="bottom"/>
          </w:tcPr>
          <w:p>
            <w:pPr>
              <w:spacing w:after="0"/>
              <w:rPr>
                <w:sz w:val="14"/>
                <w:szCs w:val="14"/>
                <w:color w:val="auto"/>
              </w:rPr>
            </w:pPr>
          </w:p>
        </w:tc>
        <w:tc>
          <w:tcPr>
            <w:tcW w:w="1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14"/>
                <w:szCs w:val="14"/>
                <w:color w:val="auto"/>
              </w:rPr>
            </w:pP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1620" w:type="dxa"/>
            <w:vAlign w:val="bottom"/>
          </w:tcPr>
          <w:p>
            <w:pPr>
              <w:spacing w:after="0"/>
              <w:rPr>
                <w:sz w:val="14"/>
                <w:szCs w:val="14"/>
                <w:color w:val="auto"/>
              </w:rPr>
            </w:pP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$216,619</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$335,743</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23,849</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35,393</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1996 Pooling of Interests Transactions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August 30, 1996, the Company consummated a merger with Sanifill, Inc. ("Sanifill") accounted for as a pooling of interests (the "Sanifill Merger") and, accordingly, the accompanying consolidated financial statements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the Company's common stock. In the third quarter of 1996, the Company incurred approximately $80,000,000 in merger costs associated with the Sanifill Merger. The $80,000,000 of merger costs includes $9,500,000 of transaction costs, $20,000,000 of relocation, severance, and other termination benefits, $13,000,000 relating to integrating operations, and $37,500,000 relating to the disposal of duplicate facilities. The results of operations for Sanifill prior to consummation of the Sanifill Merger for the restated periods are as follows (in thousands):</w:t>
      </w:r>
    </w:p>
    <w:p>
      <w:pPr>
        <w:spacing w:after="0" w:line="200" w:lineRule="exact"/>
        <w:rPr>
          <w:sz w:val="20"/>
          <w:szCs w:val="20"/>
          <w:color w:val="auto"/>
        </w:rPr>
      </w:pPr>
    </w:p>
    <w:p>
      <w:pPr>
        <w:spacing w:after="0" w:line="29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SIX MONTHS ENDED</w:t>
      </w:r>
    </w:p>
    <w:p>
      <w:pPr>
        <w:ind w:left="4920"/>
        <w:spacing w:after="0"/>
        <w:rPr>
          <w:sz w:val="20"/>
          <w:szCs w:val="20"/>
          <w:color w:val="auto"/>
        </w:rPr>
      </w:pPr>
      <w:r>
        <w:rPr>
          <w:rFonts w:ascii="Courier New" w:cs="Courier New" w:eastAsia="Courier New" w:hAnsi="Courier New"/>
          <w:sz w:val="15"/>
          <w:szCs w:val="15"/>
          <w:color w:val="auto"/>
        </w:rPr>
        <w:t>JUNE 30, 1996</w:t>
      </w:r>
    </w:p>
    <w:p>
      <w:pPr>
        <w:ind w:left="4840"/>
        <w:spacing w:after="0"/>
        <w:rPr>
          <w:sz w:val="20"/>
          <w:szCs w:val="20"/>
          <w:color w:val="auto"/>
        </w:rPr>
      </w:pPr>
      <w:r>
        <w:rPr>
          <w:rFonts w:ascii="Courier New" w:cs="Courier New" w:eastAsia="Courier New" w:hAnsi="Courier New"/>
          <w:sz w:val="15"/>
          <w:szCs w:val="15"/>
          <w:color w:val="auto"/>
        </w:rPr>
        <w:t>----------------</w:t>
      </w:r>
    </w:p>
    <w:p>
      <w:pPr>
        <w:ind w:left="502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Operating revenues..................................</w:t>
      </w:r>
      <w:r>
        <w:rPr>
          <w:sz w:val="20"/>
          <w:szCs w:val="20"/>
          <w:color w:val="auto"/>
        </w:rPr>
        <w:tab/>
      </w:r>
      <w:r>
        <w:rPr>
          <w:rFonts w:ascii="Courier New" w:cs="Courier New" w:eastAsia="Courier New" w:hAnsi="Courier New"/>
          <w:sz w:val="14"/>
          <w:szCs w:val="14"/>
          <w:color w:val="auto"/>
        </w:rPr>
        <w:t>$181,406</w:t>
      </w:r>
    </w:p>
    <w:p>
      <w:pPr>
        <w:spacing w:after="0"/>
        <w:tabs>
          <w:tab w:leader="none" w:pos="53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18,964</w:t>
      </w:r>
    </w:p>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7, 1996, the Company consummated a merger with Western Waste Industries ("Western") accounted for as a pooling of interests (the "Western Merger") and, accordingly, the accompanying consolidated financial statements include the accounts and operations of Western for all periods presented. Under the terms of the Western Merger, the Company issued 1.50 shares of its common stock for each share of Western outstanding common stock. Prior to the Western Merger, the Company owned approximately 4.1% of Western's outstanding shares (634,900 common shares), which were canceled on the effective date of the Western Merger. The Western Merger increased the Company's outstanding shares of common stock by</w:t>
      </w:r>
    </w:p>
    <w:p>
      <w:pPr>
        <w:sectPr>
          <w:pgSz w:w="11900" w:h="16838" w:orient="portrait"/>
          <w:cols w:equalWidth="0" w:num="1">
            <w:col w:w="10219"/>
          </w:cols>
          <w:pgMar w:left="240" w:top="283" w:right="1440" w:bottom="1440" w:gutter="0" w:footer="0" w:header="0"/>
        </w:sectPr>
      </w:pP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3"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approximately 22,028,000 shares and the Company assumed options under Western's stock option plans equivalent to approximately 5,200,000 underlying Company shares of common stock. In the second quarter of 1996, the Company incurred approximately $35,000,000 in merger costs associated with the Western Merger and approximately $4,800,000 in benefits related to Western's pre-merger retirement program. The $35,000,000 of merger costs include $6,800,000 of transaction costs, $15,000,000 of severance and other termination benefits, and $13,200,000 of costs related to integrating operations. The results of operations for Western prior to consummation of the Western Merger for the restated periods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7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THREE MONTHS ENDED</w:t>
            </w:r>
          </w:p>
        </w:tc>
      </w:tr>
      <w:tr>
        <w:trPr>
          <w:trHeight w:val="170"/>
        </w:trPr>
        <w:tc>
          <w:tcPr>
            <w:tcW w:w="4520" w:type="dxa"/>
            <w:vAlign w:val="bottom"/>
          </w:tcPr>
          <w:p>
            <w:pPr>
              <w:spacing w:after="0"/>
              <w:rPr>
                <w:sz w:val="14"/>
                <w:szCs w:val="14"/>
                <w:color w:val="auto"/>
              </w:rPr>
            </w:pPr>
          </w:p>
        </w:tc>
        <w:tc>
          <w:tcPr>
            <w:tcW w:w="17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31, 1996</w:t>
            </w:r>
          </w:p>
        </w:tc>
      </w:tr>
      <w:tr>
        <w:trPr>
          <w:trHeight w:val="170"/>
        </w:trPr>
        <w:tc>
          <w:tcPr>
            <w:tcW w:w="4520" w:type="dxa"/>
            <w:vAlign w:val="bottom"/>
          </w:tcPr>
          <w:p>
            <w:pPr>
              <w:spacing w:after="0"/>
              <w:rPr>
                <w:sz w:val="14"/>
                <w:szCs w:val="14"/>
                <w:color w:val="auto"/>
              </w:rPr>
            </w:pPr>
          </w:p>
        </w:tc>
        <w:tc>
          <w:tcPr>
            <w:tcW w:w="17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520" w:type="dxa"/>
            <w:vAlign w:val="bottom"/>
          </w:tcPr>
          <w:p>
            <w:pPr>
              <w:spacing w:after="0"/>
              <w:rPr>
                <w:sz w:val="14"/>
                <w:szCs w:val="14"/>
                <w:color w:val="auto"/>
              </w:rPr>
            </w:pP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$68,441</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4,703</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1998 and 1997 Purchase Acquisitions and Acquisitions of Minority Interests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November 30, 1998, the Company acquired the 49% interest of Waste Management International plc's ("WMI plc") United Kingdom operations that was previously owned by Wessex Water Plc for 205 million pounds, which is equivalent to $342,000,000.</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November 3, 1998, the Company acquired the publicly owned shares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WMI plc. Under the agreement, the Company paid approximately</w:t>
      </w:r>
    </w:p>
    <w:p>
      <w:pPr>
        <w:spacing w:after="0"/>
        <w:rPr>
          <w:sz w:val="20"/>
          <w:szCs w:val="20"/>
          <w:color w:val="auto"/>
        </w:rPr>
      </w:pPr>
      <w:r>
        <w:rPr>
          <w:rFonts w:ascii="Courier New" w:cs="Courier New" w:eastAsia="Courier New" w:hAnsi="Courier New"/>
          <w:sz w:val="15"/>
          <w:szCs w:val="15"/>
          <w:color w:val="auto"/>
        </w:rPr>
        <w:t>$443,000,000 in the aggregate, to the holders of the approximately 20% of the</w:t>
      </w:r>
    </w:p>
    <w:p>
      <w:pPr>
        <w:spacing w:after="0"/>
        <w:rPr>
          <w:sz w:val="20"/>
          <w:szCs w:val="20"/>
          <w:color w:val="auto"/>
        </w:rPr>
      </w:pPr>
      <w:r>
        <w:rPr>
          <w:rFonts w:ascii="Courier New" w:cs="Courier New" w:eastAsia="Courier New" w:hAnsi="Courier New"/>
          <w:sz w:val="15"/>
          <w:szCs w:val="15"/>
          <w:color w:val="auto"/>
        </w:rPr>
        <w:t>outstanding shares of WMI plc not previously owned by WM Holdings and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The Company liquidated WMI plc after the acquisition in an effort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simplify the corporate structure and provide enhanced tax planning</w:t>
      </w:r>
    </w:p>
    <w:p>
      <w:pPr>
        <w:spacing w:after="0"/>
        <w:rPr>
          <w:sz w:val="20"/>
          <w:szCs w:val="20"/>
          <w:color w:val="auto"/>
        </w:rPr>
      </w:pPr>
      <w:r>
        <w:rPr>
          <w:rFonts w:ascii="Courier New" w:cs="Courier New" w:eastAsia="Courier New" w:hAnsi="Courier New"/>
          <w:sz w:val="15"/>
          <w:szCs w:val="15"/>
          <w:color w:val="auto"/>
        </w:rPr>
        <w:t>opportunities.</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for approximately $150,000,000 in cash. The businesses acquired include three landfills and one collection operation located in Ohio.</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March 31, 1998, the Company acquired the remaining outstanding shares of Wheelabrator Technologies Inc. ("WTI"), which it did not already own for $876,200,000 in cash.</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primarily of cash and assumed debt. The businesses acquired include 20 collection operations, ten landfills, and 12 transfer stations, located primarily in Michigan.</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On April 1, 1997, the Company acquired substantially all of the assets of Mid-American Waste Systems, Inc. for approximately $201,000,000, consisting primarily of cash and assumed debt. The assets acquired include 11 collection operations, 11 landfills, six transfer stations, and three recycling operations.</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 March 12, 1997, the Company acquired substantially all of the Canadian solid waste subsidiaries of Allied Waste Industries, Inc. for approximately $518,000,000 in cash. Those businesses represented 41 collection operations, seven landfills, and eight transfer stations in Alberta, British Columbia, Manitoba, Ontario, Quebec, and Saskatchewan.</w:t>
      </w:r>
    </w:p>
    <w:p>
      <w:pPr>
        <w:spacing w:after="0" w:line="178"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In addition to the above purchase acquisitions, the Company consummated numerous other acquisitions that were accounted for under the purchase method of accounting. Results of operations of companies that were acquired and subject to purchase accounting are included from the dates of such acquisitions.</w:t>
      </w:r>
    </w:p>
    <w:p>
      <w:pPr>
        <w:spacing w:after="0" w:line="163"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The total cost of acquisitions accounted for under the purchase method of accounting, excluding the purchases of minority interests, was approximately $2,452,690,000 and $2,150,975,000 in 1998 and 1997, respectively.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pro forma information set forth below assumes acquisitions in 1998 and 1997 accounted for as purchases had occurred at the beginning of 1997.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5280" w:type="dxa"/>
            <w:vAlign w:val="bottom"/>
          </w:tcPr>
          <w:p>
            <w:pPr>
              <w:spacing w:after="0"/>
              <w:rPr>
                <w:sz w:val="14"/>
                <w:szCs w:val="14"/>
                <w:color w:val="auto"/>
              </w:rPr>
            </w:pPr>
          </w:p>
        </w:tc>
        <w:tc>
          <w:tcPr>
            <w:tcW w:w="2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2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Operating revenues.........................................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$13,137,758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$13,431,884</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from continuing operations...................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(735,939)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(938,850)</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(739,839)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(851,907)</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(loss) from continuing operations.................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0"/>
        </w:trPr>
        <w:tc>
          <w:tcPr>
            <w:tcW w:w="52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(loss) from continuing operations.................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0"/>
        </w:trPr>
        <w:tc>
          <w:tcPr>
            <w:tcW w:w="5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580" w:type="dxa"/>
            <w:vAlign w:val="bottom"/>
          </w:tcPr>
          <w:p>
            <w:pPr>
              <w:spacing w:after="0"/>
              <w:rPr>
                <w:sz w:val="14"/>
                <w:szCs w:val="14"/>
                <w:color w:val="auto"/>
              </w:rPr>
            </w:pPr>
          </w:p>
        </w:tc>
        <w:tc>
          <w:tcPr>
            <w:tcW w:w="23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Land and landfills.................................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8,384,077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$ 7,160,129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Vehicles...........................................</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2,797,137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2,676,433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3,072,162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3,078,799</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Containers.........................................</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1,844,904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1,637,023</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Buildings and improvements.........................</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1,632,006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1,664,572</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505,527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544,035</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18,235,813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16,760,991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(6,598,074)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(5,572,461)</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11,637,739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$11,188,530</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Depreciation and amortization expense for property and equipment was $1,314,568,000, $1,242,061,000 and $1,102,260,000 for 1998, 1997, and 1996, respectively.</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Effective October 1, 1997, the Board of Directors of WM Holdings approved a revision to WM Holdings' North American collection fleet management policy. Under the revised policy, WM Holdings replaced front-end loaders after eight years, and rear-end loaders and roll-off trucks after ten years. The previous policy was to not replace front-end loaders before they were a minimum of ten years old and other heavy collection vehicles before they were a minimum of 12 years old. As a result of this decision, the Company recognized an impairment writedown of $70,900,000 in the fourth quarter of 1997 for those vehicles scheduled for replacement in the next two years under the new policy. Depreciable lives were adjusted for the WM Holdings fleet commencing in the fourth quarter of 1997 to reflect the new policy. Also effective October 1, 1997, WM Holdings reduced depreciable lives on containers from 15 and 20 years to 12 years, and ceased assigning salvage value in computing depreciation on North American collection vehicles or containers. These changes in estimates resulted in an increase in depreciation expense of $33,700,000 in the fourth quarter of 1997. Upon consummation of the WM Holdings Merger, WM Holdings' replacement policies were conformed with that of the Company, which are materially consistent with the revised WM Holdings policy stated above.</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3"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Also effective October 1, 1997, WM Holdings changed its process of evaluating the probability that landfill airspace from expansions will be permitted. This change in estimate decreased the useful lives of certain WM Holdings landfills and increased depreciation and amortization and the provision for final closure and post-closure by $15,800,000 in the fourth quarter of 1997.</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36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Bank borrowings.............................................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1,903,100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485,500</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Commercial paper, average interest of 5.7% in 1998, and 6.1%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1997...................................................</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840,108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356,327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of 6 1/8% to 8 3/4%,</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due 1999 to 2028..........................................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5,959,884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5,224,119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4% Convertible subordinated notes due 2002..................</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535,275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535,275</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4 1/2% Convertible subordinated notes due 2001..............</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148,370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149,500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5% Convertible subordinated debentures due 2006.............</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114,445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5.75% Convertible subordinated notes due 2005...............</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453,680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450,182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installments, maturing through 2021, fixed and variable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rates ranging from 3.53% to 9.25% at December 31,</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1,220,634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1,307,793</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Installment loans and notes payable, interest to 14%,</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maturing through 2017.....................................</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491,533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779,709</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30,914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76,556</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11,697,943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9,479,961</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Less current maturities.....................................</w:t>
            </w:r>
          </w:p>
        </w:tc>
        <w:tc>
          <w:tcPr>
            <w:tcW w:w="1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583,742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1,598,012</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11,114,201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$7,881,949</w:t>
            </w:r>
          </w:p>
        </w:tc>
      </w:tr>
      <w:tr>
        <w:trPr>
          <w:trHeight w:val="170"/>
        </w:trPr>
        <w:tc>
          <w:tcPr>
            <w:tcW w:w="5360" w:type="dxa"/>
            <w:vAlign w:val="bottom"/>
          </w:tcPr>
          <w:p>
            <w:pPr>
              <w:spacing w:after="0"/>
              <w:rPr>
                <w:sz w:val="14"/>
                <w:szCs w:val="14"/>
                <w:color w:val="auto"/>
              </w:rPr>
            </w:pPr>
          </w:p>
        </w:tc>
        <w:tc>
          <w:tcPr>
            <w:tcW w:w="12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aggregate estimated payments, including scheduled minimum maturities, of long-term debt outstanding at December 31, 1998, for the following five years and thereafter are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583,742</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2,706,367</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760,401</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2,394,956</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626,455</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4,626,022</w:t>
            </w:r>
          </w:p>
        </w:tc>
      </w:tr>
      <w:tr>
        <w:trPr>
          <w:trHeight w:val="170"/>
        </w:trPr>
        <w:tc>
          <w:tcPr>
            <w:tcW w:w="4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$11,697,943</w:t>
            </w:r>
          </w:p>
        </w:tc>
      </w:tr>
      <w:tr>
        <w:trPr>
          <w:trHeight w:val="170"/>
        </w:trPr>
        <w:tc>
          <w:tcPr>
            <w:tcW w:w="49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consummation of the WM Holdings Merger, the Company entered into a</w:t>
      </w:r>
    </w:p>
    <w:p>
      <w:pPr>
        <w:spacing w:after="0"/>
        <w:rPr>
          <w:sz w:val="20"/>
          <w:szCs w:val="20"/>
          <w:color w:val="auto"/>
        </w:rPr>
      </w:pPr>
      <w:r>
        <w:rPr>
          <w:rFonts w:ascii="Courier New" w:cs="Courier New" w:eastAsia="Courier New" w:hAnsi="Courier New"/>
          <w:sz w:val="15"/>
          <w:szCs w:val="15"/>
          <w:color w:val="auto"/>
        </w:rPr>
        <w:t>$3,000,000,000 syndicated loan facility (the "Syndicated Facility") which was in</w:t>
      </w:r>
    </w:p>
    <w:p>
      <w:pPr>
        <w:spacing w:after="0"/>
        <w:rPr>
          <w:sz w:val="20"/>
          <w:szCs w:val="20"/>
          <w:color w:val="auto"/>
        </w:rPr>
      </w:pPr>
      <w:r>
        <w:rPr>
          <w:rFonts w:ascii="Courier New" w:cs="Courier New" w:eastAsia="Courier New" w:hAnsi="Courier New"/>
          <w:sz w:val="15"/>
          <w:szCs w:val="15"/>
          <w:color w:val="auto"/>
        </w:rPr>
        <w:t>addition to the Company's existing $2,000,000,000 senior revolving credit</w:t>
      </w:r>
    </w:p>
    <w:p>
      <w:pPr>
        <w:spacing w:after="0" w:line="238" w:lineRule="auto"/>
        <w:rPr>
          <w:sz w:val="20"/>
          <w:szCs w:val="20"/>
          <w:color w:val="auto"/>
        </w:rPr>
      </w:pPr>
      <w:r>
        <w:rPr>
          <w:rFonts w:ascii="Courier New" w:cs="Courier New" w:eastAsia="Courier New" w:hAnsi="Courier New"/>
          <w:sz w:val="15"/>
          <w:szCs w:val="15"/>
          <w:color w:val="auto"/>
        </w:rPr>
        <w:t>facility (the "Credit Facility"). The Syndicated Facility requires annual</w:t>
      </w:r>
    </w:p>
    <w:p>
      <w:pPr>
        <w:spacing w:after="0"/>
        <w:rPr>
          <w:sz w:val="20"/>
          <w:szCs w:val="20"/>
          <w:color w:val="auto"/>
        </w:rPr>
      </w:pPr>
      <w:r>
        <w:rPr>
          <w:rFonts w:ascii="Courier New" w:cs="Courier New" w:eastAsia="Courier New" w:hAnsi="Courier New"/>
          <w:sz w:val="15"/>
          <w:szCs w:val="15"/>
          <w:color w:val="auto"/>
        </w:rPr>
        <w:t>renewal by the lender and provides for a one-year term option at the Company's</w:t>
      </w:r>
    </w:p>
    <w:p>
      <w:pPr>
        <w:spacing w:after="0"/>
        <w:rPr>
          <w:sz w:val="20"/>
          <w:szCs w:val="20"/>
          <w:color w:val="auto"/>
        </w:rPr>
      </w:pPr>
      <w:r>
        <w:rPr>
          <w:rFonts w:ascii="Courier New" w:cs="Courier New" w:eastAsia="Courier New" w:hAnsi="Courier New"/>
          <w:sz w:val="15"/>
          <w:szCs w:val="15"/>
          <w:color w:val="auto"/>
        </w:rPr>
        <w:t>request in the event of non-renewal. The Syndicated Facility is available for</w:t>
      </w:r>
    </w:p>
    <w:p>
      <w:pPr>
        <w:spacing w:after="0" w:line="238" w:lineRule="auto"/>
        <w:rPr>
          <w:sz w:val="20"/>
          <w:szCs w:val="20"/>
          <w:color w:val="auto"/>
        </w:rPr>
      </w:pPr>
      <w:r>
        <w:rPr>
          <w:rFonts w:ascii="Courier New" w:cs="Courier New" w:eastAsia="Courier New" w:hAnsi="Courier New"/>
          <w:sz w:val="15"/>
          <w:szCs w:val="15"/>
          <w:color w:val="auto"/>
        </w:rPr>
        <w:t>borrowings, including up to $800,000,000 of standby letters of credit and to</w:t>
      </w:r>
    </w:p>
    <w:p>
      <w:pPr>
        <w:spacing w:after="0"/>
        <w:rPr>
          <w:sz w:val="20"/>
          <w:szCs w:val="20"/>
          <w:color w:val="auto"/>
        </w:rPr>
      </w:pPr>
      <w:r>
        <w:rPr>
          <w:rFonts w:ascii="Courier New" w:cs="Courier New" w:eastAsia="Courier New" w:hAnsi="Courier New"/>
          <w:sz w:val="15"/>
          <w:szCs w:val="15"/>
          <w:color w:val="auto"/>
        </w:rPr>
        <w:t>support the issuance of commercial paper; accordingly, commercial paper has been</w:t>
      </w:r>
    </w:p>
    <w:p>
      <w:pPr>
        <w:spacing w:after="0"/>
        <w:rPr>
          <w:sz w:val="20"/>
          <w:szCs w:val="20"/>
          <w:color w:val="auto"/>
        </w:rPr>
      </w:pPr>
      <w:r>
        <w:rPr>
          <w:rFonts w:ascii="Courier New" w:cs="Courier New" w:eastAsia="Courier New" w:hAnsi="Courier New"/>
          <w:sz w:val="15"/>
          <w:szCs w:val="15"/>
          <w:color w:val="auto"/>
        </w:rPr>
        <w:t>classified as non-current for financial reporting purposes. The applicable</w:t>
      </w:r>
    </w:p>
    <w:p>
      <w:pPr>
        <w:spacing w:after="0"/>
        <w:rPr>
          <w:sz w:val="20"/>
          <w:szCs w:val="20"/>
          <w:color w:val="auto"/>
        </w:rPr>
      </w:pPr>
      <w:r>
        <w:rPr>
          <w:rFonts w:ascii="Courier New" w:cs="Courier New" w:eastAsia="Courier New" w:hAnsi="Courier New"/>
          <w:sz w:val="15"/>
          <w:szCs w:val="15"/>
          <w:color w:val="auto"/>
        </w:rPr>
        <w:t>interest rate and facility fee for the Syndicated Facility are similar to those</w:t>
      </w:r>
    </w:p>
    <w:p>
      <w:pPr>
        <w:spacing w:after="0" w:line="238" w:lineRule="auto"/>
        <w:rPr>
          <w:sz w:val="20"/>
          <w:szCs w:val="20"/>
          <w:color w:val="auto"/>
        </w:rPr>
      </w:pPr>
      <w:r>
        <w:rPr>
          <w:rFonts w:ascii="Courier New" w:cs="Courier New" w:eastAsia="Courier New" w:hAnsi="Courier New"/>
          <w:sz w:val="15"/>
          <w:szCs w:val="15"/>
          <w:color w:val="auto"/>
        </w:rPr>
        <w:t>contained in the Company's then existing Credit Facility (which was amended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for the WM Holdings Merger). The covenant restrictions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Syndicated Facility and Credit Facility include, among others, interest coverage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debt capitalization ratios, and limitations on dividends, additional</w:t>
      </w:r>
    </w:p>
    <w:p>
      <w:pPr>
        <w:spacing w:after="0"/>
        <w:rPr>
          <w:sz w:val="20"/>
          <w:szCs w:val="20"/>
          <w:color w:val="auto"/>
        </w:rPr>
      </w:pPr>
      <w:r>
        <w:rPr>
          <w:rFonts w:ascii="Courier New" w:cs="Courier New" w:eastAsia="Courier New" w:hAnsi="Courier New"/>
          <w:sz w:val="15"/>
          <w:szCs w:val="15"/>
          <w:color w:val="auto"/>
        </w:rPr>
        <w:t>indebtedness, liens, and asset sales. The Syndicated Facility and Credit</w:t>
      </w:r>
    </w:p>
    <w:p>
      <w:pPr>
        <w:spacing w:after="0"/>
        <w:rPr>
          <w:sz w:val="20"/>
          <w:szCs w:val="20"/>
          <w:color w:val="auto"/>
        </w:rPr>
      </w:pPr>
      <w:r>
        <w:rPr>
          <w:rFonts w:ascii="Courier New" w:cs="Courier New" w:eastAsia="Courier New" w:hAnsi="Courier New"/>
          <w:sz w:val="15"/>
          <w:szCs w:val="15"/>
          <w:color w:val="auto"/>
        </w:rPr>
        <w:t>Facility are used to refinance existing bank loans and letters of credit, to</w:t>
      </w:r>
    </w:p>
    <w:p>
      <w:pPr>
        <w:spacing w:after="0" w:line="238" w:lineRule="auto"/>
        <w:rPr>
          <w:sz w:val="20"/>
          <w:szCs w:val="20"/>
          <w:color w:val="auto"/>
        </w:rPr>
      </w:pPr>
      <w:r>
        <w:rPr>
          <w:rFonts w:ascii="Courier New" w:cs="Courier New" w:eastAsia="Courier New" w:hAnsi="Courier New"/>
          <w:sz w:val="15"/>
          <w:szCs w:val="15"/>
          <w:color w:val="auto"/>
        </w:rPr>
        <w:t>fund acquisitions, and for working capital purposes. At December 31, 1997, the</w:t>
      </w:r>
    </w:p>
    <w:p>
      <w:pPr>
        <w:spacing w:after="0"/>
        <w:rPr>
          <w:sz w:val="20"/>
          <w:szCs w:val="20"/>
          <w:color w:val="auto"/>
        </w:rPr>
      </w:pPr>
      <w:r>
        <w:rPr>
          <w:rFonts w:ascii="Courier New" w:cs="Courier New" w:eastAsia="Courier New" w:hAnsi="Courier New"/>
          <w:sz w:val="15"/>
          <w:szCs w:val="15"/>
          <w:color w:val="auto"/>
        </w:rPr>
        <w:t>committed capacity under the Credit Facility was $2,000,000,000, including</w:t>
      </w:r>
    </w:p>
    <w:p>
      <w:pPr>
        <w:spacing w:after="0"/>
        <w:rPr>
          <w:sz w:val="20"/>
          <w:szCs w:val="20"/>
          <w:color w:val="auto"/>
        </w:rPr>
      </w:pPr>
      <w:r>
        <w:rPr>
          <w:rFonts w:ascii="Courier New" w:cs="Courier New" w:eastAsia="Courier New" w:hAnsi="Courier New"/>
          <w:sz w:val="15"/>
          <w:szCs w:val="15"/>
          <w:color w:val="auto"/>
        </w:rPr>
        <w:t>standby letters of credit of up to $650,000,000. At December 31, 1997,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 interest rate was 6.1% per annum and the facility fee was 0.1125%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with the Company having borrowed $430,000,000 and issued letters of</w:t>
      </w:r>
    </w:p>
    <w:p>
      <w:pPr>
        <w:spacing w:after="0"/>
        <w:rPr>
          <w:sz w:val="20"/>
          <w:szCs w:val="20"/>
          <w:color w:val="auto"/>
        </w:rPr>
      </w:pPr>
      <w:r>
        <w:rPr>
          <w:rFonts w:ascii="Courier New" w:cs="Courier New" w:eastAsia="Courier New" w:hAnsi="Courier New"/>
          <w:sz w:val="15"/>
          <w:szCs w:val="15"/>
          <w:color w:val="auto"/>
        </w:rPr>
        <w:t>credit of $467,029,000 under the Credit Facility. Principal reductions are not</w:t>
      </w:r>
    </w:p>
    <w:p>
      <w:pPr>
        <w:spacing w:after="0"/>
        <w:rPr>
          <w:sz w:val="20"/>
          <w:szCs w:val="20"/>
          <w:color w:val="auto"/>
        </w:rPr>
      </w:pPr>
      <w:r>
        <w:rPr>
          <w:rFonts w:ascii="Courier New" w:cs="Courier New" w:eastAsia="Courier New" w:hAnsi="Courier New"/>
          <w:sz w:val="15"/>
          <w:szCs w:val="15"/>
          <w:color w:val="auto"/>
        </w:rPr>
        <w:t>required during the five-year term of the Credit Facility, which was entered</w:t>
      </w:r>
    </w:p>
    <w:p>
      <w:pPr>
        <w:spacing w:after="0" w:line="238" w:lineRule="auto"/>
        <w:rPr>
          <w:sz w:val="20"/>
          <w:szCs w:val="20"/>
          <w:color w:val="auto"/>
        </w:rPr>
      </w:pPr>
      <w:r>
        <w:rPr>
          <w:rFonts w:ascii="Courier New" w:cs="Courier New" w:eastAsia="Courier New" w:hAnsi="Courier New"/>
          <w:sz w:val="15"/>
          <w:szCs w:val="15"/>
          <w:color w:val="auto"/>
        </w:rPr>
        <w:t>into on August 7, 1997. At December 31, 1998, the applicable interest rate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syndicated Facility was 5.46% and there were no borrowings outstanding under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Credit Facility. The facility fee was 0.10% and 0.125% per annum, under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Syndicated Facility and Credit Facility, respectively, at December 31, 1998.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had borrowed $1,545,000,000 and had issued letters of credit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$1,253,361,000 under the Syndicated Facility and Credit Facility at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November 1998, the Company entered into two multi-currency credit facilities totaling EURO 300,000,000, with a syndicate of banks. The facilities provide for borrowings in several currencies and are renewable annually. The outstanding balance as of December 31, 1998 was EURO 228,176,000 (equivalent to $267,400,000). The applicable interest rate is determined by LIBOR or PIBOR plus margin and mandatory costs as defined per the agreement. The interest rates on the two outstanding loans at December 31, 1998, were 7.03% and 3.87%.</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in the indenture. The 6 1/8% Notes are subject to certain mandatory tender features as described in the indenture, which may require the purchase by the Company of a portion of or all of the outstanding notes on July 15, 2001. The proceeds from the 7% Notes and 6 1/8% Notes were used to repay outstanding indebtedness under the Company's bank borrowings. Interest on the 7% Notes and 6 1/8% Notes is payable semi-annually on January 15 and July 15.</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May 1998, the Company retired approximately $40,000,000 of certain debt with an average interest rate of 9.0% with proceeds from the Credit Facility. In connection with this debt retirement, the Company incurred prepayment penalties and other fees of $1,811,000 and wrote off the remaining unamortized discounts and debt offering costs of $4,689,000, which were recorded as an extraordinary item.</w:t>
      </w:r>
    </w:p>
    <w:p>
      <w:pPr>
        <w:spacing w:after="0" w:line="176"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On December 17, 1997, the Company issued $350,000,000 of 6 1/2% senior notes due December 15, 2002, and $150,000,000 of 7 1/8% senior notes due December 15, 2017. The senior notes constitute senior and unsecured obligations of the Company ranking equal in right of payment with all other senior and unsecured obligations of the Company, as defined in the indenture. The 6 1/2% senior notes due December 15, 2002, are not redeemable. The $150,000,000 of</w:t>
      </w:r>
    </w:p>
    <w:p>
      <w:pPr>
        <w:spacing w:after="0" w:line="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7 1/8% senior notes due December 15, 2017, are redeemable, in whole or in part, at the option of the Company at any time and from time to time at a redemption price defined in the indenture. Interest is payable semi-annually on December 15 and June 15. The proceeds were used to repay debt under the Company's bank borrowings.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September 12, 1997, the Company issued $300,000,000 of 7% senior notes due October 1, 2004, and $300,000,000 of 7 1/8% senior notes due October 1, 2007. The senior notes constitute senior and unsecured obligations of the Company, ranking equal in right of payment with all other senior and unsecured obligations of the Company, as defined in the indenture. The senior notes are redeemable at the option of the Company at any time and from time to time at the principal amount of such notes, plus accrued interest. Interest is payable semi-annually on October 1 and April 1. The proceeds were used to repay debt under the Company's bank borrowings.</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August 1997 and September 1997, the Company prepaid the holders of certain privately placed senior note an aggregate amount of $182,500,000 with proceeds from its Credit Facility. Interest on these privately placed senior notes ranged from 7.29% to 8.44%. In connection with this transaction, the Company was required to pay prepayment penalties of $7,975,000 and wrote off the remaining unamortized deferred offering costs of approximately $1,311,000, which was recorded as an extraordinary item in the third quarter of 1997.</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February 7, 1997, the Company issued $535,275,000 of 4% convertible subordinated notes, due on February 1, 2002. Interest is payable semi-annually in February and August. The notes are convertible by the holders into shares of the Company's common stock at any time at a conversion price of $43.56 per share. The notes are subordinated in right of payment to all existing and future senior indebtedness, as defined in the indenture. The notes are redeemable after February 1, 2000 at the option of the Company at 101.6% of the principal amount, declining to 100.8% of the principal amount on February 1, 2001 and thereafter until maturity, at which time the notes will be redeemed at par, plus accrued interest. The proceeds were primarily used to repay debt under the Company's bank borrowings, to fund acquisitions, and for general corporate purposes.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June 5, 1996, United issued $150,000,000 of 4 1/2% convertible subordinated notes, due June 1, 2001. Interest is payable semi-annually in June and December. The notes are convertible into shares of the Company's common stock at a conversion price of $30.23 per share. The notes are subordinated in right of payment to all existing and future senior indebtedness, as defined in the indenture. The notes are redeemable after June 1, 1999, at the option of the Company at 101.8% of the principal amount, declining annually to par on June 1, 2001, plus accrued interest.</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in the indenture. In March 1999, these debentures were called by the Company and subsequently converted into equity by the debenture holders. See Note 20.</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can be purchased for cash by the Company on March 15, 2000, at $843.03. Accrued unpaid interest to those dates will also be paid. The notes will be callable by the Company on and after March 15, 2000, for cash, at the stated issue price plus accrued stated discount and accrued but unpaid interest through the date of redemption. In addition, each note is convertible at any time prior to maturity into approximately 18.9 shares of the Company's common stock, subject to adjustment upon the occurrence of certain events. Upon any such conversion, the Company will have the option of paying cash equal to the market value of the shares which would otherwise be issuable.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ENVIRONMENTAL LIABILITIES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final cell of a landfill or the regulatory required costs associated with existing operations at a hazardous waste treatment, storage or disposal facility which are subject to Toxic Substances Central Act ("TSCA") or Subtitle D of the Resource Conservation and Recovery Act ("RCRA") hazardous waste treatment, storage, or disposal facility, and post-closure of those facilities. For landfills, the final closure and post-closure liabilities are accrued and charged to expense as airspace is consumed such that the total estimated final closure and post-closure cost will be fully accrued for each</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landfill at the time the site discontinues accepting waste and is closed. Estimates for final closure and post-closure costs are developed using input from the Company's engineers and accountants and are reviewed by management (typically not less than once per year). The estimates are based on the Company's interpretation of current requirements and proposed regulatory changes. In the U.S., the final closure and post-closure requirements are established under the standards of the U.S. Environmental Protection Agency's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 Such costs for foreign landfills are estimated based on compliance with local laws, regulations and customs. For other facilities, final closure and post-closure costs are determined in consideration of regulatory requirements.</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operates, or to which it transported waste, including 88 sites listed on the Superfund National Priorities List ("NPL") as of December 31, 1998.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SFAS No. 5. The Company believes that it is "reasonably possible," as that term is defined in SFAS No. 5 ("more than remote but less than likely"), that its potential liability, at the high end of such ranges, would be approximately $233,000,000 higher on a discounted basis in the aggregate than the estimate that has been recorded in the consolidated financial statements as of December 31, 1998.</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PRPs to</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3"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contribute to the settlements of such liabilities, or other factors could necessitate the recording of additional liabilities which could be material.</w:t>
      </w:r>
    </w:p>
    <w:p>
      <w:pPr>
        <w:spacing w:after="0" w:line="15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Where the Company believes that both the amount of a particular environmental liability and the timing of the payments are reliably determinable, the cost in current dollars is inflated at 2% (3% at December 31, 1997) until expected time of payment and then discounted to present value at 5.5% (6% at December 31, 1997). The portion of the Company's recorded environmental liabilities that is not inflated or discounted was approximately $492,339,000 and $344,700,000 at December 31, 1998 and 1997, respectively. Had the Company not discounted any portion of its liability, the amount recorded would have been increased by approximately $308,262,000 at December 31, 1998.</w:t>
      </w:r>
    </w:p>
    <w:p>
      <w:pPr>
        <w:spacing w:after="0" w:line="167"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Company's liabilities for final closure, post-closure monitoring and environmental remediation costs were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1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76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7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Current portion, included in accrued liabilities.....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150,592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129,611</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Non-current portion..................................</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971,507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1,038,049</w:t>
            </w:r>
          </w:p>
        </w:tc>
      </w:tr>
      <w:tr>
        <w:trPr>
          <w:trHeight w:val="170"/>
        </w:trPr>
        <w:tc>
          <w:tcPr>
            <w:tcW w:w="47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recorded.............................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1,122,099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$1,167,660</w:t>
            </w:r>
          </w:p>
        </w:tc>
      </w:tr>
      <w:tr>
        <w:trPr>
          <w:trHeight w:val="170"/>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7"/>
              </w:rPr>
              <w:t>Amount to be provided over remaining life of active</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sites, including discount of $308,262 related to</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recorded amounts...................................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1,806,966</w:t>
            </w:r>
          </w:p>
        </w:tc>
        <w:tc>
          <w:tcPr>
            <w:tcW w:w="100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Expected aggregate environmental liabilities based on</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current cost.......................................</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$2,929,065</w:t>
            </w:r>
          </w:p>
        </w:tc>
        <w:tc>
          <w:tcPr>
            <w:tcW w:w="1000" w:type="dxa"/>
            <w:vAlign w:val="bottom"/>
          </w:tcPr>
          <w:p>
            <w:pPr>
              <w:spacing w:after="0"/>
              <w:rPr>
                <w:sz w:val="14"/>
                <w:szCs w:val="14"/>
                <w:color w:val="auto"/>
              </w:rPr>
            </w:pPr>
          </w:p>
        </w:tc>
      </w:tr>
      <w:tr>
        <w:trPr>
          <w:trHeight w:val="170"/>
        </w:trPr>
        <w:tc>
          <w:tcPr>
            <w:tcW w:w="47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Anticipated payments (based on current costs) of environmental liabilities at December 31, 1998,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150,592</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101,499</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73,053</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2002....................................................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57,216</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2003....................................................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47,415</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Thereafter..............................................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2,499,290</w:t>
            </w:r>
          </w:p>
        </w:tc>
      </w:tr>
      <w:tr>
        <w:trPr>
          <w:trHeight w:val="170"/>
        </w:trPr>
        <w:tc>
          <w:tcPr>
            <w:tcW w:w="50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$2,929,065</w:t>
            </w:r>
          </w:p>
        </w:tc>
      </w:tr>
      <w:tr>
        <w:trPr>
          <w:trHeight w:val="170"/>
        </w:trPr>
        <w:tc>
          <w:tcPr>
            <w:tcW w:w="50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799" w:firstLine="441"/>
        <w:spacing w:after="0" w:line="265" w:lineRule="auto"/>
        <w:rPr>
          <w:sz w:val="20"/>
          <w:szCs w:val="20"/>
          <w:color w:val="auto"/>
        </w:rPr>
      </w:pPr>
      <w:r>
        <w:rPr>
          <w:rFonts w:ascii="Courier New" w:cs="Courier New" w:eastAsia="Courier New" w:hAnsi="Courier New"/>
          <w:sz w:val="14"/>
          <w:szCs w:val="14"/>
          <w:color w:val="auto"/>
        </w:rPr>
        <w:t>In addition to the amounts above, at a certain site, the Company has perpetual care obligations aggregating approximately $1,527,000 per year.</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80"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3"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pursuing such claims, it regularly considers settlement opportunities when</w:t>
      </w:r>
    </w:p>
    <w:p>
      <w:pPr>
        <w:spacing w:after="0"/>
        <w:rPr>
          <w:sz w:val="20"/>
          <w:szCs w:val="20"/>
          <w:color w:val="auto"/>
        </w:rPr>
      </w:pPr>
      <w:r>
        <w:rPr>
          <w:rFonts w:ascii="Courier New" w:cs="Courier New" w:eastAsia="Courier New" w:hAnsi="Courier New"/>
          <w:sz w:val="15"/>
          <w:szCs w:val="15"/>
          <w:color w:val="auto"/>
        </w:rPr>
        <w:t>appropriate terms are offered. Settlements to date ($46,600,000 in 1998,</w:t>
      </w:r>
    </w:p>
    <w:p>
      <w:pPr>
        <w:spacing w:after="0"/>
        <w:rPr>
          <w:sz w:val="20"/>
          <w:szCs w:val="20"/>
          <w:color w:val="auto"/>
        </w:rPr>
      </w:pPr>
      <w:r>
        <w:rPr>
          <w:rFonts w:ascii="Courier New" w:cs="Courier New" w:eastAsia="Courier New" w:hAnsi="Courier New"/>
          <w:sz w:val="15"/>
          <w:szCs w:val="15"/>
          <w:color w:val="auto"/>
        </w:rPr>
        <w:t>$94,300,000 in 1997, and $60,300,000 in 1996) have been included in operating</w:t>
      </w:r>
    </w:p>
    <w:p>
      <w:pPr>
        <w:spacing w:after="0" w:line="238" w:lineRule="auto"/>
        <w:rPr>
          <w:sz w:val="20"/>
          <w:szCs w:val="20"/>
          <w:color w:val="auto"/>
        </w:rPr>
      </w:pPr>
      <w:r>
        <w:rPr>
          <w:rFonts w:ascii="Courier New" w:cs="Courier New" w:eastAsia="Courier New" w:hAnsi="Courier New"/>
          <w:sz w:val="15"/>
          <w:szCs w:val="15"/>
          <w:color w:val="auto"/>
        </w:rPr>
        <w:t>costs and expenses as an offset to environmental expenses.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FAIR VALUE OF FINANCIAL INSTRUMENTS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estimated fair value amounts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The fair value estimates presented herein are based on information available to management as of December 31, 1998 and 1997. Such amounts have not been revalued since those dates, and current estimates of fair value may differ significantly from the amounts presented herein.</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carrying values of cash and cash equivalents, short-term investments, restricted funds held by trustees, trade accounts receivable, trade accounts payable, financial instruments included in notes and other receivables, financial instruments included in other assets, and derivative financial instruments approximate their fair values principally because of the short-term maturities of these instruments.</w:t>
      </w:r>
    </w:p>
    <w:p>
      <w:pPr>
        <w:spacing w:after="0" w:line="176"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fair values of the Company's outstanding indebtedness is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8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2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ESTIMATED</w:t>
            </w:r>
          </w:p>
        </w:tc>
        <w:tc>
          <w:tcPr>
            <w:tcW w:w="128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ESTIMATED</w:t>
            </w:r>
          </w:p>
        </w:tc>
      </w:tr>
      <w:tr>
        <w:trPr>
          <w:trHeight w:val="170"/>
        </w:trPr>
        <w:tc>
          <w:tcPr>
            <w:tcW w:w="290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CARRYING</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FAIR</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CARRYING</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290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VALUE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2900" w:type="dxa"/>
            <w:vAlign w:val="bottom"/>
          </w:tcPr>
          <w:p>
            <w:pPr>
              <w:spacing w:after="0"/>
              <w:rPr>
                <w:sz w:val="14"/>
                <w:szCs w:val="14"/>
                <w:color w:val="auto"/>
              </w:rPr>
            </w:pP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w w:val="86"/>
              </w:rPr>
              <w:t>Senior notes and debentures..........</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$5,959,884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$6,202,556</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$5,224,119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$5,345,490</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4% Convertible subordinated notes due</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w w:val="86"/>
              </w:rPr>
              <w:t>2002...............................</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535,275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641,795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535,275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592,148</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4 1/2% Convertible subordinated notes</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w w:val="86"/>
              </w:rPr>
              <w:t>due 2001...........................</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148,370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232,985</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149,500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214,906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5% Convertible subordinated</w:t>
            </w:r>
          </w:p>
        </w:tc>
        <w:tc>
          <w:tcPr>
            <w:tcW w:w="1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w w:val="86"/>
              </w:rPr>
              <w:t>debentures due 2006................</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114,445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188,489</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170,631</w:t>
            </w:r>
          </w:p>
        </w:tc>
      </w:tr>
      <w:tr>
        <w:trPr>
          <w:trHeight w:val="170"/>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5.75% Convertible subordinated notes</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w w:val="86"/>
              </w:rPr>
              <w:t>due 2005...........................</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453,680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442,928</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450,182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467,821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86"/>
              </w:rPr>
              <w:t>Tax-exempt and project bonds.........</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1,220,634</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1,320,841</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1,307,793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1,371,871</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86"/>
              </w:rPr>
              <w:t>Other borrowings.....................</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3,265,655</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3,303,520</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1,698,092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1,706,129</w:t>
            </w:r>
          </w:p>
        </w:tc>
      </w:tr>
      <w:tr>
        <w:trPr>
          <w:trHeight w:val="509"/>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8. DERIVATIVE FINANCIAL INSTRUMENTS</w:t>
            </w: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2900" w:type="dxa"/>
            <w:vAlign w:val="bottom"/>
          </w:tcPr>
          <w:p>
            <w:pPr>
              <w:ind w:left="440"/>
              <w:spacing w:after="0"/>
              <w:rPr>
                <w:sz w:val="20"/>
                <w:szCs w:val="20"/>
                <w:color w:val="auto"/>
              </w:rPr>
            </w:pPr>
            <w:r>
              <w:rPr>
                <w:rFonts w:ascii="Courier New" w:cs="Courier New" w:eastAsia="Courier New" w:hAnsi="Courier New"/>
                <w:sz w:val="15"/>
                <w:szCs w:val="15"/>
                <w:color w:val="auto"/>
              </w:rPr>
              <w:t>Interest rate agreements --</w:t>
            </w:r>
          </w:p>
        </w:tc>
        <w:tc>
          <w:tcPr>
            <w:tcW w:w="3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The Company and its subsidiaries have entered</w:t>
            </w:r>
          </w:p>
        </w:tc>
        <w:tc>
          <w:tcPr>
            <w:tcW w:w="880" w:type="dxa"/>
            <w:vAlign w:val="bottom"/>
          </w:tcPr>
          <w:p>
            <w:pPr>
              <w:spacing w:after="0"/>
              <w:rPr>
                <w:sz w:val="24"/>
                <w:szCs w:val="24"/>
                <w:color w:val="auto"/>
              </w:rPr>
            </w:pPr>
          </w:p>
        </w:tc>
      </w:tr>
    </w:tbl>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into interest rate swap agreements to balance fixed and floating rate debt in 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consolidated financial statements as a part of interest expense on the underlying debt over the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STATEMENTS</w:t>
            </w:r>
          </w:p>
        </w:tc>
        <w:tc>
          <w:tcPr>
            <w:tcW w:w="22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(CONTINUED)</w:t>
            </w:r>
          </w:p>
        </w:tc>
        <w:tc>
          <w:tcPr>
            <w:tcW w:w="1500" w:type="dxa"/>
            <w:vAlign w:val="bottom"/>
          </w:tcPr>
          <w:p>
            <w:pPr>
              <w:spacing w:after="0"/>
              <w:rPr>
                <w:sz w:val="14"/>
                <w:szCs w:val="14"/>
                <w:color w:val="auto"/>
              </w:rPr>
            </w:pPr>
          </w:p>
        </w:tc>
      </w:tr>
      <w:tr>
        <w:trPr>
          <w:trHeight w:val="339"/>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w w:val="98"/>
              </w:rPr>
              <w:t>life of the agreements and the swap is not</w:t>
            </w:r>
          </w:p>
        </w:tc>
        <w:tc>
          <w:tcPr>
            <w:tcW w:w="32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recorded on the balance sheet. As of</w:t>
            </w:r>
          </w:p>
        </w:tc>
        <w:tc>
          <w:tcPr>
            <w:tcW w:w="1500" w:type="dxa"/>
            <w:vAlign w:val="bottom"/>
          </w:tcPr>
          <w:p>
            <w:pPr>
              <w:spacing w:after="0"/>
              <w:rPr>
                <w:sz w:val="24"/>
                <w:szCs w:val="24"/>
                <w:color w:val="auto"/>
              </w:rPr>
            </w:pPr>
          </w:p>
        </w:tc>
      </w:tr>
      <w:tr>
        <w:trPr>
          <w:trHeight w:val="170"/>
        </w:trPr>
        <w:tc>
          <w:tcPr>
            <w:tcW w:w="6960" w:type="dxa"/>
            <w:vAlign w:val="bottom"/>
            <w:gridSpan w:val="5"/>
          </w:tcPr>
          <w:p>
            <w:pPr>
              <w:spacing w:after="0"/>
              <w:rPr>
                <w:sz w:val="20"/>
                <w:szCs w:val="20"/>
                <w:color w:val="auto"/>
              </w:rPr>
            </w:pPr>
            <w:r>
              <w:rPr>
                <w:rFonts w:ascii="Courier New" w:cs="Courier New" w:eastAsia="Courier New" w:hAnsi="Courier New"/>
                <w:sz w:val="15"/>
                <w:szCs w:val="15"/>
                <w:color w:val="auto"/>
                <w:w w:val="98"/>
              </w:rPr>
              <w:t>December 31, 1998, interest rate agreements in notional amounts and with terms</w:t>
            </w:r>
          </w:p>
        </w:tc>
        <w:tc>
          <w:tcPr>
            <w:tcW w:w="1500" w:type="dxa"/>
            <w:vAlign w:val="bottom"/>
          </w:tcPr>
          <w:p>
            <w:pPr>
              <w:spacing w:after="0"/>
              <w:rPr>
                <w:sz w:val="14"/>
                <w:szCs w:val="14"/>
                <w:color w:val="auto"/>
              </w:rPr>
            </w:pPr>
          </w:p>
        </w:tc>
      </w:tr>
      <w:tr>
        <w:trPr>
          <w:trHeight w:val="170"/>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as set forth in the following table were outstanding:</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2460" w:type="dxa"/>
            <w:vAlign w:val="bottom"/>
          </w:tcPr>
          <w:p>
            <w:pPr>
              <w:spacing w:after="0"/>
              <w:rPr>
                <w:sz w:val="24"/>
                <w:szCs w:val="2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NOTIONAL</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RECEIVE</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PAY</w:t>
            </w:r>
          </w:p>
        </w:tc>
        <w:tc>
          <w:tcPr>
            <w:tcW w:w="278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DURATION OF AGREEMENTS</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June 1997 to June 1999</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November 1994</w:t>
            </w:r>
          </w:p>
        </w:tc>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to September 1999</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November 1996</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to November 1999</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Dutch Guilder..............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November 1996</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to January 2000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German Deutschemark........</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March 1996 to</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January 2000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December 1998</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to December 2002</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33,750,000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1998 to January 2003</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23,772,000</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April 1997 to</w:t>
            </w: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April 2012</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Currency agreements -- From time to time, the Company and certain of its subsidiaries use foreign currency derivatives to seek to mitigate the impact of translation on foreign earnings and income from foreign investees. Typically these have taken the form of purchased put options or collars. The Company receives or pays, based on the notional amount of the option, the difference between the average exchange rate of the hedged currency against the base currency and the average (strike price) contained in the option. Complex instruments involving multipliers or leverage are not used. Although the purpose for using such derivatives is to mitigate currency risk, they do not qualify for hedge accounting under generally accepted accounting principles and, accordingly, must be adjusted to market value at the end of each accounting period with gains or losses included in other income. There were no currency derivatives of this type outstanding at December 31, 1998. From time to time, the Company also uses foreign currency forward contracts to hedge committed transactions when the terms of such a transaction are known and there is a high probability that the transaction will occur.</w:t>
      </w:r>
    </w:p>
    <w:p>
      <w:pPr>
        <w:spacing w:after="0" w:line="18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Commodity agreements -- Prior to the WM Holdings Merger, WM Holdings utilized derivatives to seek to mitigate the impact of fluctuations in the price of fuel used by its vehicles. Quantities hedged did not exceed anticipated fuel purchases in any period. Gains or losses were recognized in operating expenses, as cost of fuel purchases, when paid or received. The primary instruments used were collars, swaps and swaptions. Collars consist of the purchase of call options along with a corresponding sale of put options at a lower price, with the effect of establishing a "cap" and a "floor" with respect to the price of specified quantities of fuel. A swap is an agreement with a counterparty whereby WM Holdings would pay a fixed price and would receive a floating price for specified quantities during a given period. In a swaption, WM Holdings would be paid a premium by the counterparty for the right, but not the obligation, at the end of the option period (usually 90 to 180 days) to enter into a swap with respect to a specified quantity in a given period in the future. All such derivatives were terminated following the WM Holdings Merger, and no fuel hedging transactions were outstanding at December 31, 1998.</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CAPITAL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June 1998, Eastern completed the registration and sale of 8,625,000 shares of its common stock at $26.375 per share (equivalent to 5,525,175 shares of the Company's common stock at $41.17 per share). This public offering included the sale of 500,000 shares of Eastern common stock by selling shareholders (equivalent to 320,300 shares of the Company's common stock). The net proceeds after deducting fees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related costs, were approximately $205,000,000 and were primarily used to repay debt under Eastern's credit facility and for general corporate purposes.</w:t>
      </w:r>
    </w:p>
    <w:p>
      <w:pPr>
        <w:spacing w:after="0" w:line="15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As a condition to completing the WM Holdings Merger, during June 1998, WM Holdings sold 20,000,000 shares of its common stock from its treasury (equivalent to 14,500,000 shares of the Company's common stock) in an offering to the public. The net proceeds of approximately $607,000,000 were used by WM Holdings to retire outstanding debt under its credit facilities.</w:t>
      </w:r>
    </w:p>
    <w:p>
      <w:pPr>
        <w:spacing w:after="0" w:line="178"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In June 1997, prior to the WM Holdings Merger, the Company acquired a majority of the Canadian solid waste businesses of WM Holdings in a purchase business combination for consideration that included 1,705,757 shares of the Company's common stock. WM Holdings sold its shares of the Company's common stock on the open market during December 1997 for approximately $65,000,000. Because the WM Holdings Merger was accounted for as a pooling of interests, WM Holdings' sale of its shares of the Company's common stock is treated as an equity offering to the public for financial accounting and reporting purposes.</w:t>
      </w:r>
    </w:p>
    <w:p>
      <w:pPr>
        <w:spacing w:after="0" w:line="167"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On March 3, 1997, prior to its becoming a wholly-owned subsidiary of the Company, United completed a public offering in which it issued 3,450,000 shares of its common stock, priced at $36.50 per share (equivalent to 3,708,750 shares of the Company's common stock, priced at $33.95 per share). The net proceeds of approximately $119,000,000 were used to repay debt under United's credit facility, to fund acquisitions, and for general corporate purposes.</w:t>
      </w:r>
    </w:p>
    <w:p>
      <w:pPr>
        <w:spacing w:after="0" w:line="164"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On February 7, 1997, the Company completed a public offering of 11,500,000 shares of its common stock, priced at $35.125 per share. The net proceeds of approximately $387,438,000 were primarily used to repay bank borrowing.</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February 1997, the board of directors of WM Holdings authorized the repurchase of up to 50,000,000 shares of its own common stock (equivalent to 36,250,000 shares of the Company's common stock) in the open market, in privately negotiated transactions, or through issuer tender offers. WM Holdings repurchased 30,000,000 shares of its own common stock (equivalent to 21,750,000 shares of the Company's common stock) through a "Dutch auction" tender offer in the second quarter of 1997.</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During 1994 through 1996, WM Holdings sold put options on 42,300,000 shares of its common stock (equivalent to 30,700,000 shares of the Company's common stock). The put options gave the holders the right at maturity to require WM Holdings to repurchase shares of its common stock at specified prices. Proceeds from the sale of put options were credited to additional paid-in capital. The amount WM Holdings would be obligated to pay to repurchase shares of its common stock if all outstanding put options were exercised was reclassified to a temporary equity account. In the event the options were exercised, WM Holdings had the right to pay the holder in cash the difference between the strike price and the market price of WM Holdings' shares, in lieu of repurchasing the stock. Options on 32,500,000 shares expired unexercised, as the price of WM Holdings' stock was in excess of the strike price at maturity. WM Holdings repurchased 3,100,000 shares of its common stock at a cost of $107,500,000, and 6,700,000 options were settled for cash of $13,600,000. There were no put options outstanding at and subsequent to December 31, 1997.</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1998, the Company is limited in its ability to pay</w:t>
      </w:r>
    </w:p>
    <w:p>
      <w:pPr>
        <w:spacing w:after="0"/>
        <w:rPr>
          <w:sz w:val="20"/>
          <w:szCs w:val="20"/>
          <w:color w:val="auto"/>
        </w:rPr>
      </w:pPr>
      <w:r>
        <w:rPr>
          <w:rFonts w:ascii="Courier New" w:cs="Courier New" w:eastAsia="Courier New" w:hAnsi="Courier New"/>
          <w:sz w:val="15"/>
          <w:szCs w:val="15"/>
          <w:color w:val="auto"/>
        </w:rPr>
        <w:t>dividends pursuant to its current credit agreements of amounts not to exceed</w:t>
      </w:r>
    </w:p>
    <w:p>
      <w:pPr>
        <w:spacing w:after="0"/>
        <w:rPr>
          <w:sz w:val="20"/>
          <w:szCs w:val="20"/>
          <w:color w:val="auto"/>
        </w:rPr>
      </w:pPr>
      <w:r>
        <w:rPr>
          <w:rFonts w:ascii="Courier New" w:cs="Courier New" w:eastAsia="Courier New" w:hAnsi="Courier New"/>
          <w:sz w:val="15"/>
          <w:szCs w:val="15"/>
          <w:color w:val="auto"/>
        </w:rPr>
        <w:t>$100,000,000 per year. The Company declared cash dividends of approximately</w:t>
      </w:r>
    </w:p>
    <w:p>
      <w:pPr>
        <w:spacing w:after="0" w:line="238" w:lineRule="auto"/>
        <w:rPr>
          <w:sz w:val="20"/>
          <w:szCs w:val="20"/>
          <w:color w:val="auto"/>
        </w:rPr>
      </w:pPr>
      <w:r>
        <w:rPr>
          <w:rFonts w:ascii="Courier New" w:cs="Courier New" w:eastAsia="Courier New" w:hAnsi="Courier New"/>
          <w:sz w:val="15"/>
          <w:szCs w:val="15"/>
          <w:color w:val="auto"/>
        </w:rPr>
        <w:t>$93,810,000, $309,577,000, and $308,265,000, to its shareholders during 1998,</w:t>
      </w:r>
    </w:p>
    <w:p>
      <w:pPr>
        <w:spacing w:after="0"/>
        <w:rPr>
          <w:sz w:val="20"/>
          <w:szCs w:val="20"/>
          <w:color w:val="auto"/>
        </w:rPr>
      </w:pPr>
      <w:r>
        <w:rPr>
          <w:rFonts w:ascii="Courier New" w:cs="Courier New" w:eastAsia="Courier New" w:hAnsi="Courier New"/>
          <w:sz w:val="15"/>
          <w:szCs w:val="15"/>
          <w:color w:val="auto"/>
        </w:rPr>
        <w:t>1997, and 1996, respectively. Based on the Company's weighted average common</w:t>
      </w:r>
    </w:p>
    <w:p>
      <w:pPr>
        <w:spacing w:after="0"/>
        <w:rPr>
          <w:sz w:val="20"/>
          <w:szCs w:val="20"/>
          <w:color w:val="auto"/>
        </w:rPr>
      </w:pPr>
      <w:r>
        <w:rPr>
          <w:rFonts w:ascii="Courier New" w:cs="Courier New" w:eastAsia="Courier New" w:hAnsi="Courier New"/>
          <w:sz w:val="15"/>
          <w:szCs w:val="15"/>
          <w:color w:val="auto"/>
        </w:rPr>
        <w:t>shares outstanding, the cash dividends per common share are $0.16, $0.56, and</w:t>
      </w:r>
    </w:p>
    <w:p>
      <w:pPr>
        <w:spacing w:after="0" w:line="238" w:lineRule="auto"/>
        <w:rPr>
          <w:sz w:val="20"/>
          <w:szCs w:val="20"/>
          <w:color w:val="auto"/>
        </w:rPr>
      </w:pPr>
      <w:r>
        <w:rPr>
          <w:rFonts w:ascii="Courier New" w:cs="Courier New" w:eastAsia="Courier New" w:hAnsi="Courier New"/>
          <w:sz w:val="15"/>
          <w:szCs w:val="15"/>
          <w:color w:val="auto"/>
        </w:rPr>
        <w:t>$0.57 for the years ended December 31, 1998, 1997, and 1996,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COMMON STOCK OPTIONS AND WARRANTS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26,500,000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Under the Company's 1996 Stock Option Plan for Non-Employee Directors ("1996 Directors Plan"), its directors who are not officers, full-time employees, or consultants of the Company receive an annual grant of 12,500 options on each January 1 (amended to 10,000 options effective January 1, 1999). In accordance with the 1996 Directors Plan, options to purchase up to 1,400,000 shares of the Company's common stock may be granted, with five year vesting periods (amended to one year effective January 1, 1999), and expiration dates ten years from the date of grant. Options may be granted at an exercise price which equals fair market value of the common stock on the date of grant.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1995, the FASB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to make disclosures of pro forma net income and earnings per share as if the recognition provisions of SFAS No. 123 had been applied, as well as disclosures regarding assumptions utilized in determining the pro forma amounts. The Company did not adopt the recognition provisions of SFAS No. 123, however, the required disclosures are included below.</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Stock options granted by the Company in 1998, 1997, and 1996 have ten year terms. Stock options granted by Eastern and Western became fully vested upon consummation of the respective mergers. Stock options granted by Sanifill continue to vest under varying vesting periods ranging from immediate vesting to five years following the date of grant.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Stock options granted by WM Holdings prior to March 10, 1998, became fully vested upon consummation of the WM Holdings Merger, and certain of those include put provision benefits for up to a one year period from the date of the WM Holdings Merger (See Note 14). WM Holdings options granted after March 10, 1998, continue to vest in accordance with their original vesting schedule of 3 years.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table summarizes common stock option and warrant transactions under the aforementioned plans and various predecessor plans for 1998, 1997, and</w:t>
      </w:r>
    </w:p>
    <w:tbl>
      <w:tblPr>
        <w:tblLayout w:type="fixed"/>
        <w:tblInd w:w="0" w:type="dxa"/>
        <w:tblCellMar>
          <w:top w:w="0" w:type="dxa"/>
          <w:left w:w="0" w:type="dxa"/>
          <w:bottom w:w="0" w:type="dxa"/>
          <w:right w:w="0" w:type="dxa"/>
        </w:tblCellMar>
      </w:tblPr>
      <w:tr>
        <w:trPr>
          <w:trHeight w:val="165"/>
        </w:trPr>
        <w:tc>
          <w:tcPr>
            <w:tcW w:w="4480" w:type="dxa"/>
            <w:vAlign w:val="bottom"/>
          </w:tcPr>
          <w:p>
            <w:pPr>
              <w:jc w:val="right"/>
              <w:ind w:right="3967"/>
              <w:spacing w:after="0" w:line="165" w:lineRule="exact"/>
              <w:rPr>
                <w:sz w:val="20"/>
                <w:szCs w:val="20"/>
                <w:color w:val="auto"/>
              </w:rPr>
            </w:pPr>
            <w:r>
              <w:rPr>
                <w:rFonts w:ascii="Courier New" w:cs="Courier New" w:eastAsia="Courier New" w:hAnsi="Courier New"/>
                <w:sz w:val="15"/>
                <w:szCs w:val="15"/>
                <w:color w:val="auto"/>
                <w:w w:val="93"/>
              </w:rPr>
              <w:t>1996:</w:t>
            </w:r>
          </w:p>
        </w:tc>
        <w:tc>
          <w:tcPr>
            <w:tcW w:w="1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78"/>
        </w:trPr>
        <w:tc>
          <w:tcPr>
            <w:tcW w:w="448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OPTIONS AND</w:t>
            </w:r>
          </w:p>
        </w:tc>
        <w:tc>
          <w:tcPr>
            <w:tcW w:w="15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WEIGHTED AVERAGE</w:t>
            </w:r>
          </w:p>
        </w:tc>
      </w:tr>
      <w:tr>
        <w:trPr>
          <w:trHeight w:val="170"/>
        </w:trPr>
        <w:tc>
          <w:tcPr>
            <w:tcW w:w="448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WARRANTS</w:t>
            </w:r>
          </w:p>
        </w:tc>
        <w:tc>
          <w:tcPr>
            <w:tcW w:w="154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EXERCISE PRICE</w:t>
            </w:r>
          </w:p>
        </w:tc>
      </w:tr>
      <w:tr>
        <w:trPr>
          <w:trHeight w:val="170"/>
        </w:trPr>
        <w:tc>
          <w:tcPr>
            <w:tcW w:w="44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4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(IN 000'S)</w:t>
            </w:r>
          </w:p>
        </w:tc>
        <w:tc>
          <w:tcPr>
            <w:tcW w:w="1540" w:type="dxa"/>
            <w:vAlign w:val="bottom"/>
          </w:tcPr>
          <w:p>
            <w:pPr>
              <w:spacing w:after="0"/>
              <w:rPr>
                <w:sz w:val="14"/>
                <w:szCs w:val="14"/>
                <w:color w:val="auto"/>
              </w:rPr>
            </w:pPr>
          </w:p>
        </w:tc>
      </w:tr>
      <w:tr>
        <w:trPr>
          <w:trHeight w:val="339"/>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1995..................</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33,728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$25.00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12,368</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28.17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Assumed in acquisitions.........................</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24.94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(7,411)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16.31</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Forfeited.......................................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(1,147)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44.03</w:t>
            </w:r>
          </w:p>
        </w:tc>
      </w:tr>
      <w:tr>
        <w:trPr>
          <w:trHeight w:val="170"/>
        </w:trPr>
        <w:tc>
          <w:tcPr>
            <w:tcW w:w="4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1996..................</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37,911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27.13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10,424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35.20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(8,023)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Forfeited.......................................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(2,681)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43.99</w:t>
            </w:r>
          </w:p>
        </w:tc>
      </w:tr>
      <w:tr>
        <w:trPr>
          <w:trHeight w:val="170"/>
        </w:trPr>
        <w:tc>
          <w:tcPr>
            <w:tcW w:w="4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1997..................</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37,631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30.46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10,645</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43.92</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Assumed in acquisitions.........................</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1,986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36.77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(8,593)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Forfeited.......................................</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(859)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45.33</w:t>
            </w:r>
          </w:p>
        </w:tc>
      </w:tr>
      <w:tr>
        <w:trPr>
          <w:trHeight w:val="170"/>
        </w:trPr>
        <w:tc>
          <w:tcPr>
            <w:tcW w:w="4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1998..................</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40,810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32.72</w:t>
            </w:r>
          </w:p>
        </w:tc>
      </w:tr>
      <w:tr>
        <w:trPr>
          <w:trHeight w:val="170"/>
        </w:trPr>
        <w:tc>
          <w:tcPr>
            <w:tcW w:w="4480" w:type="dxa"/>
            <w:vAlign w:val="bottom"/>
          </w:tcPr>
          <w:p>
            <w:pPr>
              <w:spacing w:after="0"/>
              <w:rPr>
                <w:sz w:val="14"/>
                <w:szCs w:val="1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Exercisable at December 31, 1996..................</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20,546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27.20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Exercisable at December 31, 1997..................</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20,440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30.34</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Exercisable at December 31, 1998..................</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23,994</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29.25</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common stock options and warrants outstanding at December 31, 1998, include approximately 21,247,000, common stock options and warrants granted by Western, Sanifill, United, WM Holdings, and Eastern, of which approximately 17,470,000 are exercisable.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weighted average fair value of common stock options and warrants granted during 1998, 1997 and 1996 were $18.61, $11.92 and $9.59, respectively. The fair value of each common stock option or warrant granted to employees or directors by the Company during 1998, 1997 and 1996 is estimated utilizing the Black-Scholes option-pricing model. The following weighted average assumptions were used: dividend yield of 0% to 2%, risk-free interest rates which vary for each grant and range from 5.06% to 7.67%, expected life of three to seven years for all grants, and stock price volatility primarily ranging from 25.2% to 31.3% for all grants.</w:t>
      </w:r>
    </w:p>
    <w:p>
      <w:pPr>
        <w:spacing w:after="0" w:line="179"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Outstanding and exercisable stock options and warrants at December 31, 1998, were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OUTSTANDING</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6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EXERCISABLE</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4"/>
              </w:rPr>
              <w:t>-------------------------------------------------</w:t>
            </w: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OPTIONS AND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 AVERAGE</w:t>
            </w:r>
          </w:p>
        </w:tc>
        <w:tc>
          <w:tcPr>
            <w:tcW w:w="168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7"/>
              </w:rPr>
              <w:t>WEIGHTED AVERAGE</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OPTIONS AND</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WEIGHTED AVERAGE</w:t>
            </w:r>
          </w:p>
        </w:tc>
      </w:tr>
      <w:tr>
        <w:trPr>
          <w:trHeight w:val="170"/>
        </w:trPr>
        <w:tc>
          <w:tcPr>
            <w:tcW w:w="220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w w:val="95"/>
              </w:rPr>
              <w:t>EXERCISE PRICE</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WARRANTS</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 PRICE</w:t>
            </w:r>
          </w:p>
        </w:tc>
        <w:tc>
          <w:tcPr>
            <w:tcW w:w="1680" w:type="dxa"/>
            <w:vAlign w:val="bottom"/>
            <w:gridSpan w:val="2"/>
          </w:tcPr>
          <w:p>
            <w:pPr>
              <w:jc w:val="center"/>
              <w:ind w:right="87"/>
              <w:spacing w:after="0"/>
              <w:rPr>
                <w:sz w:val="20"/>
                <w:szCs w:val="20"/>
                <w:color w:val="auto"/>
              </w:rPr>
            </w:pPr>
            <w:r>
              <w:rPr>
                <w:rFonts w:ascii="Courier New" w:cs="Courier New" w:eastAsia="Courier New" w:hAnsi="Courier New"/>
                <w:sz w:val="15"/>
                <w:szCs w:val="15"/>
                <w:color w:val="auto"/>
                <w:w w:val="98"/>
              </w:rPr>
              <w:t>REMAINING TERM</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WARRANTS</w:t>
            </w: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EXERCISE PRICE</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3"/>
                <w:szCs w:val="13"/>
                <w:color w:val="auto"/>
                <w:w w:val="75"/>
              </w:rPr>
              <w:t>- --------------</w:t>
            </w:r>
          </w:p>
        </w:tc>
        <w:tc>
          <w:tcPr>
            <w:tcW w:w="12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$ 2.25 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3,428</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$ 6.71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3,426</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$ 6.71</w:t>
            </w:r>
          </w:p>
        </w:tc>
      </w:tr>
      <w:tr>
        <w:trPr>
          <w:trHeight w:val="170"/>
        </w:trPr>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$10.01 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5,885</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4,845</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13.47</w:t>
            </w:r>
          </w:p>
        </w:tc>
      </w:tr>
      <w:tr>
        <w:trPr>
          <w:trHeight w:val="170"/>
        </w:trPr>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$20.01 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6,985</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24.82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3,793</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24.19</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10,156</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35.06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3,583</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35.88</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9,274</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45.20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6,907</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44.48</w:t>
            </w: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$50.01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140.16.......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5,082</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55.57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1,440</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59.73</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$ 2.25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to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140.16.......</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40,810</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32.72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23,994</w:t>
            </w:r>
          </w:p>
        </w:tc>
        <w:tc>
          <w:tcPr>
            <w:tcW w:w="16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29.25</w:t>
            </w:r>
          </w:p>
        </w:tc>
      </w:tr>
      <w:tr>
        <w:trPr>
          <w:trHeight w:val="170"/>
        </w:trPr>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509"/>
        </w:trPr>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20" w:type="dxa"/>
            <w:vAlign w:val="bottom"/>
          </w:tcPr>
          <w:p>
            <w:pPr>
              <w:jc w:val="right"/>
              <w:ind w:right="1467"/>
              <w:spacing w:after="0"/>
              <w:rPr>
                <w:sz w:val="20"/>
                <w:szCs w:val="20"/>
                <w:color w:val="auto"/>
              </w:rPr>
            </w:pPr>
            <w:r>
              <w:rPr>
                <w:rFonts w:ascii="Courier New" w:cs="Courier New" w:eastAsia="Courier New" w:hAnsi="Courier New"/>
                <w:sz w:val="15"/>
                <w:szCs w:val="15"/>
                <w:color w:val="auto"/>
                <w:w w:val="88"/>
              </w:rPr>
              <w:t>80</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the Company applied the recognition provisions of SFAS No. 123, the Company's net income (loss) and earnings (loss) per common share for 1998, 1997, and 1996 would approximate the pro forma amounts shown below (in thousands, except per share amounts):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9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960" w:type="dxa"/>
            <w:vAlign w:val="bottom"/>
          </w:tcPr>
          <w:p>
            <w:pPr>
              <w:spacing w:after="0"/>
              <w:rPr>
                <w:sz w:val="14"/>
                <w:szCs w:val="14"/>
                <w:color w:val="auto"/>
              </w:rPr>
            </w:pPr>
          </w:p>
        </w:tc>
        <w:tc>
          <w:tcPr>
            <w:tcW w:w="29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9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As reported...............................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$(770,702)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$(938,895)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$24,231</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Pro forma.................................</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(833,014)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(978,831)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As reported...............................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Pro forma.................................</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As reported...............................</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0.04</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Pro forma.................................</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right="3359" w:firstLine="441"/>
        <w:spacing w:after="0" w:line="235" w:lineRule="auto"/>
        <w:rPr>
          <w:sz w:val="20"/>
          <w:szCs w:val="20"/>
          <w:color w:val="auto"/>
        </w:rPr>
      </w:pPr>
      <w:r>
        <w:rPr>
          <w:rFonts w:ascii="Courier New" w:cs="Courier New" w:eastAsia="Courier New" w:hAnsi="Courier New"/>
          <w:sz w:val="15"/>
          <w:szCs w:val="15"/>
          <w:color w:val="auto"/>
        </w:rPr>
        <w:t>The effects of applying SFAS No. 123 in this pro forma disclosure are not necessarily indicative of future amounts.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Beginning in 1996, WM Holdings made grants of restricted stock. Compensation expense for grants of restricted shares was recognized ratably over the vesting period (generally five to ten years) and amounted to approximately $759,000 in 1998 through the date of the WM Holdings Merger, and $2,400,000 and $100,000 in 1997 and 1996, respectively. The unamortized restricted stock of $9,209,000 vested upon consummation of the WM Holdings Merger, and accordingly was included in merger costs in 1998.</w:t>
      </w:r>
    </w:p>
    <w:p>
      <w:pPr>
        <w:spacing w:after="0" w:line="177" w:lineRule="exact"/>
        <w:rPr>
          <w:sz w:val="20"/>
          <w:szCs w:val="20"/>
          <w:color w:val="auto"/>
        </w:rPr>
      </w:pPr>
    </w:p>
    <w:p>
      <w:pPr>
        <w:jc w:val="both"/>
        <w:ind w:right="3619" w:firstLine="441"/>
        <w:spacing w:after="0" w:line="259" w:lineRule="auto"/>
        <w:rPr>
          <w:sz w:val="20"/>
          <w:szCs w:val="20"/>
          <w:color w:val="auto"/>
        </w:rPr>
      </w:pPr>
      <w:r>
        <w:rPr>
          <w:rFonts w:ascii="Courier New" w:cs="Courier New" w:eastAsia="Courier New" w:hAnsi="Courier New"/>
          <w:sz w:val="14"/>
          <w:szCs w:val="14"/>
          <w:color w:val="auto"/>
        </w:rPr>
        <w:t>In September 1998, two senior executives were granted an aggregate of 1,700,000 shares under the 1993 Plan. The options granted vest according to certain performance goals in lieu of the normal vesting schedules. All such options fully vest no later than eight years from the date of grant.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EMPLOYEE BENEFIT PLANS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Principally through the USA Waste Services, Inc. Employee's Savings Plan, the Waste Management Retirement Savings Plan, and the Wheelabrator-Rust Savings and Retirement Plan, the Company has established qualified defined contribution retirement plans covering substantially all domestic employees other than those employees who are covered under collective bargaining agreements which do not provide for coverage under the plans. In previous years, certain of the plans provided for annual contributions by the Company as determined by their respective boards of directors. In 1998, the primary feature of plans covering the majority of participants was the Company match of employee contributions of amounts as specified in the applicable plan.</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January 1, 1999, the Waste Management Retirement Savings Plan and the Wheelabrator-Rust Savings and Retirement Plan were merged into the USA Waste Services, Inc. Employee's Savings Plan, which was then renamed the Waste Management Retirement Savings Plan ("Savings Plan"). The Savings Plan covers employees (except those working subject to a collective bargaining agreement which do not provide for coverage under the plans) following a 90 day waiting period after hire, and allows eligible employees to contribute up to 15% of their annual compensation, as limited by IRS regulations. Under the Savings Plan, the Company matches employee contributions up to 3% of their eligible compensation, and matches 50% of employee contributions in excess of 3% but less than 6% of eligible compensation. Both employee and Company contributions vest immediately. Charges to operations for these plans were $69,721,000, $42,335,000 and $29,648,000 during 1998, 1997 and 1996, respectively.</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Certain of the Company's foreign subsidiaries participate in both defined benefit and defined contribution retirement plans for its employees in those countries. The projected benefit obligation, plan assets and unfunded liability of the defined benefit plans are not material. In addition to the pension plan for certain employees under collective bargaining agreements established at the end of 1998 (see below), other Company subsidiaries participate in various multi-employer pension plans covering certain employees not covered under the Company's pension plan. These multi-employer plans are generally defined benefit plans; however, in many cases, specific benefit levels are not negotiated with or known by the employer contributors. Contributions of $25,800,000, $18,600,000 and $16,500,000 for subsidiaries' defined benefit plans were made and charged to income in 1998, 1997 and 1996, respectively.</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had a qualified defined benefit pension plan for all eligible non-union domestic employees of WM Holdings which, as discussed below, was terminated as of December 31, 1998 in conjunction with the WM Holdings Merger. Throughout the life of the plan, benefits were based on the employee's years of service and compensation during the highest five consecutive years out of the last ten years of employment. The Company's funding policy was to contribute annually an amount determined in consultation with its actuaries, approximately equal to pension expense, except as may be limited by the requirements of the Employee Retirement Income Security Act ("ERISA"). An actuarial valuation report was prepared for the plan as of September 30 each year and used, as permitted by the FASB's Statement of Financial Accounting Standards No. 87, Employers Accounting for Pensions ("SFAS No. 87"), for the year-end disclosures.</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conjunction with the WM Holdings Merger, the Company decided to terminate the defined benefit pension plan as of December 31, 1998, and liquidate the plan's assets and settle its obligations to participants in 1999, except as related to certain employees participating under collective bargaining agreements, whose benefits were transferred to a newly created plan effective October 1, 1998. As required under the FASB's Statement of Financial Accounting Standard No. 88, Employer's Accounting for Settlements and Curtailments of Defined Benefit Pension Plans and for Termination Benefits, this decision has resulted in a curtailment expense charge in unusual items of $34,716,000 in 1998, and is currently estimated to result in an approximate net cash settlement charge in unusual items in 1999 of $125,000,000. To the extent that this termination benefit has not yet been charged to expense and funded, additional minimum pension liability has been recorded as a charge to other comprehensive income. The Company expects to record this amount in 1999, at which time it will result in an adjustment to other comprehensive income. The amount of the 1999 settlement is inversely sensitive to changing interest rates. This sensitivity is approximately $20,000,000 for every 25 basis point fluctuation in interest rates.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Also in conjunction with the WM Holdings Merger, the Company has terminated certain non-qualified supplemental benefit plans for certain officers and non-officer managers, the most significant plan being the Supplemental Executive Retirement Plan (collectively the "Supplemental Plans"). The curtailment and settlement loss related to these plans of $61,987,000 was recorded in unusual items in 1998. A substantial portion of these benefits was paid to participants by December 31, 1998, and unpaid amounts are accrued at December 31, 1998.</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WM Holdings and certain of its subsidiaries provided post-retirement health care and other benefits to eligible employees. In conjunction with the WM Holdings Merger, the Company has decided to limit participation in these plans to participating retired employees as of December 31, 1998.</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85</w:t>
      </w: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 (CONTINUED)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4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The following tables provide a reconciliation of</w:t>
            </w:r>
          </w:p>
        </w:tc>
        <w:tc>
          <w:tcPr>
            <w:tcW w:w="22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6"/>
              </w:rPr>
              <w:t>the changes in the plans'</w:t>
            </w:r>
          </w:p>
        </w:tc>
        <w:tc>
          <w:tcPr>
            <w:tcW w:w="620" w:type="dxa"/>
            <w:vAlign w:val="bottom"/>
          </w:tcPr>
          <w:p>
            <w:pPr>
              <w:spacing w:after="0"/>
              <w:rPr>
                <w:sz w:val="24"/>
                <w:szCs w:val="24"/>
                <w:color w:val="auto"/>
              </w:rPr>
            </w:pPr>
          </w:p>
        </w:tc>
      </w:tr>
      <w:tr>
        <w:trPr>
          <w:trHeight w:val="170"/>
        </w:trPr>
        <w:tc>
          <w:tcPr>
            <w:tcW w:w="7040" w:type="dxa"/>
            <w:vAlign w:val="bottom"/>
            <w:gridSpan w:val="6"/>
          </w:tcPr>
          <w:p>
            <w:pPr>
              <w:spacing w:after="0"/>
              <w:rPr>
                <w:sz w:val="20"/>
                <w:szCs w:val="20"/>
                <w:color w:val="auto"/>
              </w:rPr>
            </w:pPr>
            <w:r>
              <w:rPr>
                <w:rFonts w:ascii="Courier New" w:cs="Courier New" w:eastAsia="Courier New" w:hAnsi="Courier New"/>
                <w:sz w:val="15"/>
                <w:szCs w:val="15"/>
                <w:color w:val="auto"/>
                <w:w w:val="97"/>
              </w:rPr>
              <w:t>benefit obligations and the fair value of assets over the two-year period ending</w:t>
            </w:r>
          </w:p>
        </w:tc>
        <w:tc>
          <w:tcPr>
            <w:tcW w:w="620" w:type="dxa"/>
            <w:vAlign w:val="bottom"/>
          </w:tcPr>
          <w:p>
            <w:pPr>
              <w:spacing w:after="0"/>
              <w:rPr>
                <w:sz w:val="14"/>
                <w:szCs w:val="14"/>
                <w:color w:val="auto"/>
              </w:rPr>
            </w:pPr>
          </w:p>
        </w:tc>
      </w:tr>
      <w:tr>
        <w:trPr>
          <w:trHeight w:val="170"/>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w w:val="98"/>
              </w:rPr>
              <w:t>December 31, 1998, and a statement of the funded status as of December 31 of</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both years (in thousands):</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3780" w:type="dxa"/>
            <w:vAlign w:val="bottom"/>
          </w:tcPr>
          <w:p>
            <w:pPr>
              <w:spacing w:after="0"/>
              <w:rPr>
                <w:sz w:val="24"/>
                <w:szCs w:val="24"/>
                <w:color w:val="auto"/>
              </w:rPr>
            </w:pPr>
          </w:p>
        </w:tc>
        <w:tc>
          <w:tcPr>
            <w:tcW w:w="20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24"/>
                <w:szCs w:val="24"/>
                <w:color w:val="auto"/>
              </w:rPr>
            </w:pPr>
          </w:p>
        </w:tc>
        <w:tc>
          <w:tcPr>
            <w:tcW w:w="16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3780" w:type="dxa"/>
            <w:vAlign w:val="bottom"/>
          </w:tcPr>
          <w:p>
            <w:pPr>
              <w:spacing w:after="0"/>
              <w:rPr>
                <w:sz w:val="14"/>
                <w:szCs w:val="14"/>
                <w:color w:val="auto"/>
              </w:rPr>
            </w:pPr>
          </w:p>
        </w:tc>
        <w:tc>
          <w:tcPr>
            <w:tcW w:w="20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Benefit obligation at beginning of</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period...............................</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$ 328,892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$257,677</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$ 64,482</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$ 59,126</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17,892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14,720</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1,783</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1,212</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cost...........................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23,944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20,877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4,535</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4,538</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Plan participants' contributions........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Amendments..............................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23,372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3,060</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(24,188)</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3,890</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Actuarial (gain) loss...................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90,346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44,654</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4,651</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Benefits paid...........................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(11,928)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(12,096)</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(4,775)</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Curtailments............................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52,209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4,085</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Settlements.............................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(52,959)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 obligation at end of period.....</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$ 471,768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$328,892</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$ 53,723</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$ 64,482</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Fair value of plan assets at beginning</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period............................</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$ 264,870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$193,722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Actual return on plan assets............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29,310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50,357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Employer contributions..................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89,985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32,887</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1,625</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4,054</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Plan participants' contributions........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Benefits paid...........................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(11,928)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(12,096)</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(4,775)</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Settlements.............................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(52,959)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Fair value of plan assets at end of</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period...............................</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$ 319,278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$264,870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Funded status at 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$(152,490)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$(64,022)</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$(53,723)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$(64,482)</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Unrecognized transition (asset)</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obligation...........................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(2,860)</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 actuarial (gain)</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123,554</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67,176</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(8,640)</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Unrecognized prior service cost.........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953</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(20,576)</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3,890</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amount recognized...................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(30,376)</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1,247</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$(73,830)</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$(69,305)</w:t>
            </w:r>
          </w:p>
        </w:tc>
      </w:tr>
      <w:tr>
        <w:trPr>
          <w:trHeight w:val="170"/>
        </w:trPr>
        <w:tc>
          <w:tcPr>
            <w:tcW w:w="37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441"/>
        <w:spacing w:after="0" w:line="265" w:lineRule="auto"/>
        <w:rPr>
          <w:sz w:val="20"/>
          <w:szCs w:val="20"/>
          <w:color w:val="auto"/>
        </w:rPr>
      </w:pPr>
      <w:r>
        <w:rPr>
          <w:rFonts w:ascii="Courier New" w:cs="Courier New" w:eastAsia="Courier New" w:hAnsi="Courier New"/>
          <w:sz w:val="14"/>
          <w:szCs w:val="14"/>
          <w:color w:val="auto"/>
        </w:rPr>
        <w:t>The following table provides the amounts recognized in the consolidated balance sheets as of December 31 of both years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6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3420" w:type="dxa"/>
            <w:vAlign w:val="bottom"/>
          </w:tcPr>
          <w:p>
            <w:pPr>
              <w:spacing w:after="0"/>
              <w:rPr>
                <w:sz w:val="14"/>
                <w:szCs w:val="14"/>
                <w:color w:val="auto"/>
              </w:rPr>
            </w:pPr>
          </w:p>
        </w:tc>
        <w:tc>
          <w:tcPr>
            <w:tcW w:w="1420" w:type="dxa"/>
            <w:vAlign w:val="bottom"/>
            <w:gridSpan w:val="2"/>
          </w:tcPr>
          <w:p>
            <w:pPr>
              <w:ind w:left="440"/>
              <w:spacing w:after="0"/>
              <w:rPr>
                <w:sz w:val="20"/>
                <w:szCs w:val="20"/>
                <w:color w:val="auto"/>
              </w:rPr>
            </w:pPr>
            <w:r>
              <w:rPr>
                <w:rFonts w:ascii="Courier New" w:cs="Courier New" w:eastAsia="Courier New" w:hAnsi="Courier New"/>
                <w:sz w:val="10"/>
                <w:szCs w:val="10"/>
                <w:color w:val="auto"/>
                <w:w w:val="79"/>
              </w:rPr>
              <w:t>--------------------</w:t>
            </w:r>
          </w:p>
        </w:tc>
        <w:tc>
          <w:tcPr>
            <w:tcW w:w="960" w:type="dxa"/>
            <w:vAlign w:val="bottom"/>
          </w:tcPr>
          <w:p>
            <w:pPr>
              <w:spacing w:after="0"/>
              <w:rPr>
                <w:sz w:val="14"/>
                <w:szCs w:val="14"/>
                <w:color w:val="auto"/>
              </w:rPr>
            </w:pPr>
          </w:p>
        </w:tc>
        <w:tc>
          <w:tcPr>
            <w:tcW w:w="18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342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9"/>
              </w:rPr>
              <w:t>Prepaid benefit cost......................</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8,220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$ 32,139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Accrued benefit liability.................</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(30,892)</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(73,830)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(69,305)</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Minimum pension liability.................</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(118,871)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(10,139)</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Intangible asset..........................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1,184</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before tax benefit......................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118,871</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8,955</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w w:val="89"/>
              </w:rPr>
              <w:t>Net amount recognized.....................</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(30,376)</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1,247</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$(73,830)</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$(69,305)</w:t>
            </w:r>
          </w:p>
        </w:tc>
      </w:tr>
      <w:tr>
        <w:trPr>
          <w:trHeight w:val="170"/>
        </w:trPr>
        <w:tc>
          <w:tcPr>
            <w:tcW w:w="3420" w:type="dxa"/>
            <w:vAlign w:val="bottom"/>
          </w:tcPr>
          <w:p>
            <w:pPr>
              <w:spacing w:after="0"/>
              <w:rPr>
                <w:sz w:val="14"/>
                <w:szCs w:val="14"/>
                <w:color w:val="auto"/>
              </w:rPr>
            </w:pP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3420" w:type="dxa"/>
            <w:vAlign w:val="bottom"/>
          </w:tcPr>
          <w:p>
            <w:pPr>
              <w:spacing w:after="0"/>
              <w:rPr>
                <w:sz w:val="24"/>
                <w:szCs w:val="24"/>
                <w:color w:val="auto"/>
              </w:rPr>
            </w:pPr>
          </w:p>
        </w:tc>
        <w:tc>
          <w:tcPr>
            <w:tcW w:w="540" w:type="dxa"/>
            <w:vAlign w:val="bottom"/>
          </w:tcPr>
          <w:p>
            <w:pPr>
              <w:jc w:val="right"/>
              <w:ind w:right="290"/>
              <w:spacing w:after="0"/>
              <w:rPr>
                <w:sz w:val="20"/>
                <w:szCs w:val="20"/>
                <w:color w:val="auto"/>
              </w:rPr>
            </w:pPr>
            <w:r>
              <w:rPr>
                <w:rFonts w:ascii="Courier New" w:cs="Courier New" w:eastAsia="Courier New" w:hAnsi="Courier New"/>
                <w:sz w:val="15"/>
                <w:szCs w:val="15"/>
                <w:color w:val="auto"/>
                <w:w w:val="88"/>
              </w:rPr>
              <w:t>83</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tbl>
      <w:tblPr>
        <w:tblLayout w:type="fixed"/>
        <w:tblInd w:w="0" w:type="dxa"/>
        <w:tblCellMar>
          <w:top w:w="0" w:type="dxa"/>
          <w:left w:w="0" w:type="dxa"/>
          <w:bottom w:w="0" w:type="dxa"/>
          <w:right w:w="0" w:type="dxa"/>
        </w:tblCellMar>
      </w:tblPr>
      <w:tr>
        <w:trPr>
          <w:trHeight w:val="170"/>
        </w:trPr>
        <w:tc>
          <w:tcPr>
            <w:tcW w:w="4920" w:type="dxa"/>
            <w:vAlign w:val="bottom"/>
            <w:gridSpan w:val="4"/>
          </w:tcPr>
          <w:p>
            <w:pPr>
              <w:ind w:left="2540"/>
              <w:spacing w:after="0"/>
              <w:rPr>
                <w:sz w:val="20"/>
                <w:szCs w:val="20"/>
                <w:color w:val="auto"/>
              </w:rPr>
            </w:pPr>
            <w:r>
              <w:rPr>
                <w:rFonts w:ascii="Courier New" w:cs="Courier New" w:eastAsia="Courier New" w:hAnsi="Courier New"/>
                <w:sz w:val="15"/>
                <w:szCs w:val="15"/>
                <w:color w:val="auto"/>
              </w:rPr>
              <w:t>WASTE MANAGEMENT, INC.</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4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(CONTINUED)</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9"/>
        </w:trPr>
        <w:tc>
          <w:tcPr>
            <w:tcW w:w="696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The following table provides the components of net periodic benefit cost</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920" w:type="dxa"/>
            <w:vAlign w:val="bottom"/>
            <w:gridSpan w:val="4"/>
          </w:tcPr>
          <w:p>
            <w:pPr>
              <w:spacing w:after="0"/>
              <w:rPr>
                <w:sz w:val="20"/>
                <w:szCs w:val="20"/>
                <w:color w:val="auto"/>
              </w:rPr>
            </w:pPr>
            <w:r>
              <w:rPr>
                <w:rFonts w:ascii="Courier New" w:cs="Courier New" w:eastAsia="Courier New" w:hAnsi="Courier New"/>
                <w:sz w:val="15"/>
                <w:szCs w:val="15"/>
                <w:color w:val="auto"/>
                <w:w w:val="97"/>
              </w:rPr>
              <w:t>for the years ended 1998, 1997, and 1996 (in thousands):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PENSION BENEFITS</w:t>
            </w:r>
          </w:p>
        </w:tc>
        <w:tc>
          <w:tcPr>
            <w:tcW w:w="23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OTHER BENEFITS</w:t>
            </w:r>
          </w:p>
        </w:tc>
      </w:tr>
      <w:tr>
        <w:trPr>
          <w:trHeight w:val="170"/>
        </w:trPr>
        <w:tc>
          <w:tcPr>
            <w:tcW w:w="34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6"/>
                <w:szCs w:val="6"/>
                <w:color w:val="auto"/>
                <w:w w:val="75"/>
              </w:rPr>
              <w: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42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cost: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Service cost.......................</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17,892</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$ 14,720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$ 15,309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$1,118</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Interest cost......................</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23,944</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20,877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16,610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4,535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4,538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4,375</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Expected return on plan assets.....</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(20,954)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(17,084)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(13,818)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transition asset...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prior-service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202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net (gain) loss....</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8,450</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4,772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0"/>
        </w:trPr>
        <w:tc>
          <w:tcPr>
            <w:tcW w:w="342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Net periodic benefit cost..........</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27,867</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22,057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20,901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6,151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5,497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5,180</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Curtailment loss (included in asset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impairments and unusual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items)..........................</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53,208</w:t>
            </w:r>
          </w:p>
        </w:tc>
        <w:tc>
          <w:tcPr>
            <w:tcW w:w="660" w:type="dxa"/>
            <w:vAlign w:val="bottom"/>
          </w:tcPr>
          <w:p>
            <w:pPr>
              <w:spacing w:after="0"/>
              <w:rPr>
                <w:sz w:val="14"/>
                <w:szCs w:val="1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Settlement loss (included in asset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impairments and unusual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items)..........................</w:t>
            </w:r>
          </w:p>
        </w:tc>
        <w:tc>
          <w:tcPr>
            <w:tcW w:w="10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43,495</w:t>
            </w:r>
          </w:p>
        </w:tc>
        <w:tc>
          <w:tcPr>
            <w:tcW w:w="660" w:type="dxa"/>
            <w:vAlign w:val="bottom"/>
          </w:tcPr>
          <w:p>
            <w:pPr>
              <w:spacing w:after="0"/>
              <w:rPr>
                <w:sz w:val="14"/>
                <w:szCs w:val="1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rPr>
              <w:t>Net periodic benefit cost after</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rPr>
              <w:t>curtailments and settlements....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124,570</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$ 22,057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$ 20,901</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$6,151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$5,497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$5,180</w:t>
            </w:r>
          </w:p>
        </w:tc>
      </w:tr>
      <w:tr>
        <w:trPr>
          <w:trHeight w:val="170"/>
        </w:trPr>
        <w:tc>
          <w:tcPr>
            <w:tcW w:w="3420" w:type="dxa"/>
            <w:vAlign w:val="bottom"/>
          </w:tcPr>
          <w:p>
            <w:pPr>
              <w:spacing w:after="0"/>
              <w:rPr>
                <w:sz w:val="14"/>
                <w:szCs w:val="14"/>
                <w:color w:val="auto"/>
              </w:rPr>
            </w:pPr>
          </w:p>
        </w:tc>
        <w:tc>
          <w:tcPr>
            <w:tcW w:w="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16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8"/>
              </w:rPr>
              <w:t>The assumptions used in the measurement of the Company's benefit</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840" w:type="dxa"/>
            <w:vAlign w:val="bottom"/>
            <w:gridSpan w:val="8"/>
          </w:tcPr>
          <w:p>
            <w:pPr>
              <w:spacing w:after="0"/>
              <w:rPr>
                <w:sz w:val="20"/>
                <w:szCs w:val="20"/>
                <w:color w:val="auto"/>
              </w:rPr>
            </w:pPr>
            <w:r>
              <w:rPr>
                <w:rFonts w:ascii="Courier New" w:cs="Courier New" w:eastAsia="Courier New" w:hAnsi="Courier New"/>
                <w:sz w:val="15"/>
                <w:szCs w:val="15"/>
                <w:color w:val="auto"/>
              </w:rPr>
              <w:t>obligations are shown in the following table (weighted average assumptions as of</w:t>
            </w:r>
          </w:p>
        </w:tc>
        <w:tc>
          <w:tcPr>
            <w:tcW w:w="70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PENSION BENEFITS</w:t>
            </w:r>
          </w:p>
        </w:tc>
        <w:tc>
          <w:tcPr>
            <w:tcW w:w="16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OTHER BENEFITS</w:t>
            </w:r>
          </w:p>
        </w:tc>
        <w:tc>
          <w:tcPr>
            <w:tcW w:w="70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5"/>
              </w:rPr>
              <w:t>-----------------</w:t>
            </w:r>
          </w:p>
        </w:tc>
        <w:tc>
          <w:tcPr>
            <w:tcW w:w="9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339"/>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82"/>
              </w:rPr>
              <w:t>Discount rate..................................</w:t>
            </w:r>
          </w:p>
        </w:tc>
        <w:tc>
          <w:tcPr>
            <w:tcW w:w="74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6.25%</w:t>
            </w:r>
          </w:p>
        </w:tc>
        <w:tc>
          <w:tcPr>
            <w:tcW w:w="3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7.25%</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7.00%</w:t>
            </w:r>
          </w:p>
        </w:tc>
        <w:tc>
          <w:tcPr>
            <w:tcW w:w="700" w:type="dxa"/>
            <w:vAlign w:val="bottom"/>
          </w:tcPr>
          <w:p>
            <w:pPr>
              <w:spacing w:after="0"/>
              <w:rPr>
                <w:sz w:val="24"/>
                <w:szCs w:val="24"/>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82"/>
              </w:rPr>
              <w:t>Expected return on plan assets.................</w:t>
            </w:r>
          </w:p>
        </w:tc>
        <w:tc>
          <w:tcPr>
            <w:tcW w:w="7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9.00%</w:t>
            </w:r>
          </w:p>
        </w:tc>
        <w:tc>
          <w:tcPr>
            <w:tcW w:w="3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700" w:type="dxa"/>
            <w:vAlign w:val="bottom"/>
          </w:tcPr>
          <w:p>
            <w:pPr>
              <w:spacing w:after="0"/>
              <w:rPr>
                <w:sz w:val="14"/>
                <w:szCs w:val="14"/>
                <w:color w:val="auto"/>
              </w:rPr>
            </w:pPr>
          </w:p>
        </w:tc>
      </w:t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w w:val="82"/>
              </w:rPr>
              <w:t>Rate of compensation...........................</w:t>
            </w:r>
          </w:p>
        </w:tc>
        <w:tc>
          <w:tcPr>
            <w:tcW w:w="7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3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n/a</w:t>
            </w:r>
          </w:p>
        </w:tc>
        <w:tc>
          <w:tcPr>
            <w:tcW w:w="70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principal element of the Other Benefits referred to above is the post-retirement health care plan. Participants in the WM Holdings plan contribute to the cost of the benefit, and for retirees since January 1, 1992, the Company's contribution is capped at between $0 and $600 per month per retiree, based on years of service. For measurement purposes, a 7.1% annual rate of increase in the per capita cost of covered health care claims was assumed for 1998 (being an average of the rate used by all plans); the rate was assumed to decrease to 6% in 2001 and remain at that level thereafter. A 1% change in assumed health care cost trend rates would have the following effects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 INCREASE</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 DECREASE</w:t>
            </w:r>
          </w:p>
        </w:tc>
      </w:tr>
      <w:tr>
        <w:trPr>
          <w:trHeight w:val="170"/>
        </w:trPr>
        <w:tc>
          <w:tcPr>
            <w:tcW w:w="484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Effect on total of service and interest components of</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 periodic post-retirement health care benefit</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Effect on the health care component of the accumulated</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post-retirement benefit obligation..................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3"/>
              </w:rPr>
              <w:t>3,938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(3,673)</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1998, WM Holdings merged the Employee Stock Ownership Plan that was initially established for eligible WM Holdings' employees in 1988 into its Retirement Savings Plan. During 1994, WM Holdings established an Employee Stock Benefit Trust ("Trust") and sold 12,600,000 shares of its treasury stock to the Trust in return for a 30-year, 7.33% note with interest payable quarterly and principal due at maturity. WM Holdings has agreed to contribute to the Trust each quarter funds sufficient, when added to dividends on the shares held by the Trust, to pay interest on the note as well as principal outstanding at maturity. At the direction of an administrative committee, the trustee will use the shares or proceeds from the sale of shares to</w:t>
      </w:r>
    </w:p>
    <w:p>
      <w:pPr>
        <w:sectPr>
          <w:pgSz w:w="11900" w:h="16838" w:orient="portrait"/>
          <w:cols w:equalWidth="0" w:num="1">
            <w:col w:w="10219"/>
          </w:cols>
          <w:pgMar w:left="240" w:top="283" w:right="1440" w:bottom="1074" w:gutter="0" w:footer="0" w:header="0"/>
        </w:sectPr>
      </w:pP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3" w:right="1440" w:bottom="1074"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pay employee benefits, and to the extent of such payments by the Trust, the Company will forgive principal and interest on the note. The shares of common stock issued to the Trust are not considered to be outstanding in the computation of earnings per share until the shares are utilized to fund obligations for which the trust was established. Changes in the market value of these shares are reflected as adjustments in additional paid-in capital.</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INCOME TAXES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financial reporting purposes, income (loss) from continuing operations before income taxes, showing domestic and international sources,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Domestic...................................</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$(896,875)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$(865,783)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$757,537</w:t>
            </w: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International..............................</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196,996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203,286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16,695</w:t>
            </w:r>
          </w:p>
        </w:tc>
      </w:tr>
      <w:tr>
        <w:trPr>
          <w:trHeight w:val="170"/>
        </w:trPr>
        <w:tc>
          <w:tcPr>
            <w:tcW w:w="38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Income (loss) from continuing</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$(699,879)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$(662,497)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$774,232</w:t>
            </w:r>
          </w:p>
        </w:tc>
      </w:tr>
      <w:tr>
        <w:trPr>
          <w:trHeight w:val="170"/>
        </w:trPr>
        <w:tc>
          <w:tcPr>
            <w:tcW w:w="38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firstLine="441"/>
        <w:spacing w:after="0" w:line="235" w:lineRule="auto"/>
        <w:rPr>
          <w:sz w:val="20"/>
          <w:szCs w:val="20"/>
          <w:color w:val="auto"/>
        </w:rPr>
      </w:pPr>
      <w:r>
        <w:rPr>
          <w:rFonts w:ascii="Courier New" w:cs="Courier New" w:eastAsia="Courier New" w:hAnsi="Courier New"/>
          <w:sz w:val="15"/>
          <w:szCs w:val="15"/>
          <w:color w:val="auto"/>
        </w:rPr>
        <w:t>The provision for income taxes on continuing operations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4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42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3420" w:type="dxa"/>
            <w:vAlign w:val="bottom"/>
          </w:tcPr>
          <w:p>
            <w:pPr>
              <w:ind w:left="160"/>
              <w:spacing w:after="0"/>
              <w:rPr>
                <w:sz w:val="20"/>
                <w:szCs w:val="20"/>
                <w:color w:val="auto"/>
              </w:rPr>
            </w:pPr>
            <w:r>
              <w:rPr>
                <w:rFonts w:ascii="Courier New" w:cs="Courier New" w:eastAsia="Courier New" w:hAnsi="Courier New"/>
                <w:sz w:val="15"/>
                <w:szCs w:val="15"/>
                <w:color w:val="auto"/>
                <w:w w:val="87"/>
              </w:rPr>
              <w:t>Federal..................................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356,056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$ 569,935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$216,814</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State....................................</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88,484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83,592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57,860</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72,541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22,875</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517,081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738,884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297,549</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Federal..................................</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(463,635)</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(369,408)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86,654</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(51,889)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(27,271)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26,936</w:t>
            </w:r>
          </w:p>
        </w:tc>
      </w:tr>
      <w:tr>
        <w:trPr>
          <w:trHeight w:val="170"/>
        </w:trPr>
        <w:tc>
          <w:tcPr>
            <w:tcW w:w="4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65,366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75,561</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(450,158)</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(375,543)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189,151</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ind w:left="880"/>
              <w:spacing w:after="0"/>
              <w:rPr>
                <w:sz w:val="20"/>
                <w:szCs w:val="20"/>
                <w:color w:val="auto"/>
              </w:rPr>
            </w:pPr>
            <w:r>
              <w:rPr>
                <w:rFonts w:ascii="Courier New" w:cs="Courier New" w:eastAsia="Courier New" w:hAnsi="Courier New"/>
                <w:sz w:val="15"/>
                <w:szCs w:val="15"/>
                <w:color w:val="auto"/>
                <w:w w:val="84"/>
              </w:rPr>
              <w:t>Provision for income taxes.......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66,923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$ 363,341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$486,700</w:t>
            </w:r>
          </w:p>
        </w:tc>
      </w:tr>
      <w:tr>
        <w:trPr>
          <w:trHeight w:val="170"/>
        </w:trPr>
        <w:tc>
          <w:tcPr>
            <w:tcW w:w="3420" w:type="dxa"/>
            <w:vAlign w:val="bottom"/>
          </w:tcPr>
          <w:p>
            <w:pPr>
              <w:spacing w:after="0"/>
              <w:rPr>
                <w:sz w:val="14"/>
                <w:szCs w:val="14"/>
                <w:color w:val="auto"/>
              </w:rPr>
            </w:pPr>
          </w:p>
        </w:tc>
        <w:tc>
          <w:tcPr>
            <w:tcW w:w="15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34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85</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federal statutory rate is reconciled to the effective rate as follows: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r>
      <w:tr>
        <w:trPr>
          <w:trHeight w:val="170"/>
        </w:trPr>
        <w:tc>
          <w:tcPr>
            <w:tcW w:w="448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8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4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Income taxes (benefit) at federal statutory</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35.00%</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 benefit..............................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7.11</w:t>
            </w:r>
          </w:p>
        </w:tc>
      </w:t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Nondeductible costs relating to acquired</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intangibles.....................................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30.88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merger costs........................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Writedown of investments in subsidiary............</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6.46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Gain on sale of foreign subsidiary................</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Deferred tax valuation and other tax reserves.....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8.79</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40.11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Federal tax on foreign income.....................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4.35</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0.30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Nonconventional fuel tax credit...................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(3.61)</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(1.99)</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5.91</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(0.07)</w:t>
            </w:r>
          </w:p>
        </w:tc>
      </w:tr>
      <w:tr>
        <w:trPr>
          <w:trHeight w:val="170"/>
        </w:trPr>
        <w:tc>
          <w:tcPr>
            <w:tcW w:w="4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income taxes......................</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9.56%</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62.82%</w:t>
            </w:r>
          </w:p>
        </w:tc>
      </w:tr>
      <w:tr>
        <w:trPr>
          <w:trHeight w:val="170"/>
        </w:trPr>
        <w:tc>
          <w:tcPr>
            <w:tcW w:w="44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components of the net deferred tax assets (liabilities)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580" w:type="dxa"/>
            <w:vAlign w:val="bottom"/>
          </w:tcPr>
          <w:p>
            <w:pPr>
              <w:spacing w:after="0"/>
              <w:rPr>
                <w:sz w:val="14"/>
                <w:szCs w:val="14"/>
                <w:color w:val="auto"/>
              </w:rPr>
            </w:pPr>
          </w:p>
        </w:tc>
        <w:tc>
          <w:tcPr>
            <w:tcW w:w="23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Net operating loss, capital loss and tax credit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322,129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287,384</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Environmental and other reserves.................</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670,502</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754,195</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Reserves not deductible until paid...............</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178,608</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291,168</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Subtotal.................................</w:t>
            </w:r>
          </w:p>
        </w:tc>
        <w:tc>
          <w:tcPr>
            <w:tcW w:w="18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1,171,239</w:t>
            </w:r>
          </w:p>
        </w:tc>
        <w:tc>
          <w:tcPr>
            <w:tcW w:w="18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1,332,747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ind w:left="160"/>
              <w:spacing w:after="0"/>
              <w:rPr>
                <w:sz w:val="20"/>
                <w:szCs w:val="20"/>
                <w:color w:val="auto"/>
              </w:rPr>
            </w:pPr>
            <w:r>
              <w:rPr>
                <w:rFonts w:ascii="Courier New" w:cs="Courier New" w:eastAsia="Courier New" w:hAnsi="Courier New"/>
                <w:sz w:val="15"/>
                <w:szCs w:val="15"/>
                <w:color w:val="auto"/>
              </w:rPr>
              <w:t>Property, equipment, intangible assets, and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(1,072,138)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(1,567,579)</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Valuation allowance................................</w:t>
            </w:r>
          </w:p>
        </w:tc>
        <w:tc>
          <w:tcPr>
            <w:tcW w:w="180" w:type="dxa"/>
            <w:vAlign w:val="bottom"/>
          </w:tcPr>
          <w:p>
            <w:pPr>
              <w:spacing w:after="0"/>
              <w:rPr>
                <w:sz w:val="14"/>
                <w:szCs w:val="1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(331,592)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(232,800)</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(232,491)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(467,632)</w:t>
            </w:r>
          </w:p>
        </w:tc>
      </w:tr>
      <w:tr>
        <w:trPr>
          <w:trHeight w:val="170"/>
        </w:trPr>
        <w:tc>
          <w:tcPr>
            <w:tcW w:w="4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 December 31, 1998, the Company's subsidiaries have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$200,599,000 of federal net operating loss ("NOL") carryforwards, $1,007,749,000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state NOL carryforwards, and $598,930,000 of foreign NOL carryforwards.</w:t>
      </w:r>
    </w:p>
    <w:p>
      <w:pPr>
        <w:spacing w:after="0"/>
        <w:rPr>
          <w:sz w:val="20"/>
          <w:szCs w:val="20"/>
          <w:color w:val="auto"/>
        </w:rPr>
      </w:pPr>
      <w:r>
        <w:rPr>
          <w:rFonts w:ascii="Courier New" w:cs="Courier New" w:eastAsia="Courier New" w:hAnsi="Courier New"/>
          <w:sz w:val="15"/>
          <w:szCs w:val="15"/>
          <w:color w:val="auto"/>
        </w:rPr>
        <w:t>Foreign NOL carryforwards of approximately $535,530,000 may be carried forward</w:t>
      </w:r>
    </w:p>
    <w:p>
      <w:pPr>
        <w:spacing w:after="0" w:line="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indefinitely; the remaining NOL carryforwards have expiration dates through 2013. The Company's subsidiaries have $16,062,000 of alternative minimum tax credit carryforwards that may be used indefinitely; state tax credit carryforwards of $5,039,000; federal investment tax credit carryforwards of $381,000; and foreign tax credit carryforwards of $32,614,000. Valuation allowances have been established for uncertainties in realizing the benefit of tax loss and credit carryforwards. While the Company expects to realize the deferred tax assets, net of the valuation allowances, changes in estimates of future taxable income or in tax laws may alter this expectation.</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During 1997, the valuation allowance increased approximately $101,056,000, composed of increases to allowances due to the uncertainty of realizing alternative minimum tax credits, tax benefits from certain asset impairment writedowns (primarily land), foreign tax credits, and NOL carryforwards partially offset by reductions in allowances attributable primarily to foreign net operating loss carryforwards. In 1998, the</w:t>
      </w:r>
    </w:p>
    <w:p>
      <w:pPr>
        <w:sectPr>
          <w:pgSz w:w="11900" w:h="16838" w:orient="portrait"/>
          <w:cols w:equalWidth="0" w:num="1">
            <w:col w:w="10219"/>
          </w:cols>
          <w:pgMar w:left="240" w:top="283" w:right="1440" w:bottom="1440" w:gutter="0" w:footer="0" w:header="0"/>
        </w:sectPr>
      </w:pP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3"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89</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valuation allowance increased approximately $98,792,000 primarily due to the uncertainty of realizing foreign NOL carryforwards.</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does not provide for U.S. income taxes on unremitted earnings of foreign subsidiaries as it is the present intention of management to reinvest the unremitted earnings in its foreign operations. Unremitted earnings of foreign subsidiaries are approximately $498,000,000 at December 31, 1998. It is not practicable to determine the amount of U.S. income taxes that would be payable upon remittance of the assets that represent those earnings.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SEGMENT AND RELATED INFORMATION</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Company's North American solid waste management operations represents 80.5% of operating revenues, 98.7% of earnings before interest and tax ("EBIT"), and 77.3% of total assets in 1998, and is the Company's principal reportable segment under Statement of Financial Accounting Standards No. 131, Disclosure about Segments of an Enterprise and Related Information ("SFAS No. 131"). This segment provides integrated waste management services consisting of collection, transfer, disposal (solid waste landfill, hazardous waste landfill and waste-to-energy), recycling, and other miscellaneous services to commercial, industrial, municipal and residential customers in North America. Similar operations in international markets outside of North America are disclosed as a separate segment. The Company's other reportable segment consists of non-solid waste services, aggregated as a single segment for this reporting presentation as permitted under SFAS No. 131.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and includes business lines that are being actively marketed. No single customer accounted for as much as 10% of consolidated revenue in any year.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Certain of the services provided by the Company are subject to extensive and evolving federal, state, and local environmental laws and regulations in the U.S. and elsewhere that have been enacted in response to technological advances and the public's increased concern over environmental issues. Refer to Notes 6 and 17 for a further discussion of regulatory issues.</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Summarized financial information concerning the Company's reportable segments for the respective years ended December 31, is shown in the following table. Prior period information has been restated to conform to the segments described above, which are based on the structure and internal organization of the Company as of December 31, 1998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INTERNATIONAL</w:t>
            </w:r>
          </w:p>
        </w:tc>
        <w:tc>
          <w:tcPr>
            <w:tcW w:w="11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NON-SOLID</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CORPORATE</w:t>
            </w:r>
          </w:p>
        </w:tc>
        <w:tc>
          <w:tcPr>
            <w:tcW w:w="1100" w:type="dxa"/>
            <w:vAlign w:val="bottom"/>
          </w:tcPr>
          <w:p>
            <w:pPr>
              <w:spacing w:after="0"/>
              <w:rPr>
                <w:sz w:val="14"/>
                <w:szCs w:val="14"/>
                <w:color w:val="auto"/>
              </w:rPr>
            </w:pPr>
          </w:p>
        </w:tc>
      </w:tr>
      <w:tr>
        <w:trPr>
          <w:trHeight w:val="170"/>
        </w:trPr>
        <w:tc>
          <w:tcPr>
            <w:tcW w:w="272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SOLID WASTE</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WASTE SERVICES</w:t>
            </w:r>
          </w:p>
        </w:tc>
        <w:tc>
          <w:tcPr>
            <w:tcW w:w="22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WASTE</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FUNCTIONS(A)</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720" w:type="dxa"/>
            <w:vAlign w:val="bottom"/>
          </w:tcPr>
          <w:p>
            <w:pPr>
              <w:spacing w:after="0"/>
              <w:rPr>
                <w:sz w:val="14"/>
                <w:szCs w:val="14"/>
                <w:color w:val="auto"/>
              </w:rPr>
            </w:pPr>
          </w:p>
        </w:tc>
        <w:tc>
          <w:tcPr>
            <w:tcW w:w="14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88"/>
              </w:rPr>
              <w:t>1998</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revenues(b)...</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10,220,478</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$1,533,635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949,356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$12,703,469</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before interest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 (EBIT)(c), (d).....</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2,478,733</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132,937</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103,443</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(204,043)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2,511,070</w:t>
            </w:r>
          </w:p>
        </w:tc>
      </w:tr>
      <w:tr>
        <w:trPr>
          <w:trHeight w:val="170"/>
        </w:trPr>
        <w:tc>
          <w:tcPr>
            <w:tcW w:w="27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1,241,330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169,051</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43,579</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44,752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1,498,712</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1,438,458</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166,035</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34,605</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1,651,489</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assets(d).............</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17,553,957</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3,107,968</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1,003,035</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1,050,238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22,715,198</w:t>
            </w:r>
          </w:p>
        </w:tc>
      </w:tr>
      <w:tr>
        <w:trPr>
          <w:trHeight w:val="170"/>
        </w:trPr>
        <w:tc>
          <w:tcPr>
            <w:tcW w:w="272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88"/>
              </w:rPr>
              <w:t>1997</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operating revenues(b)...</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9,244,910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$1,789,988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937,600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$11,972,498</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Earnings before interest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taxes (EBIT)(c), (d).....</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1,790,027</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187,619</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96,082</w:t>
            </w:r>
          </w:p>
        </w:tc>
        <w:tc>
          <w:tcPr>
            <w:tcW w:w="32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(413,814)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1,659,914</w:t>
            </w:r>
          </w:p>
        </w:tc>
      </w:tr>
      <w:tr>
        <w:trPr>
          <w:trHeight w:val="170"/>
        </w:trPr>
        <w:tc>
          <w:tcPr>
            <w:tcW w:w="27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1,086,547</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181,353</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55,258</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68,652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1,391,810</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1,128,904</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150,908</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29,337</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1,332,207</w:t>
            </w:r>
          </w:p>
        </w:tc>
      </w:tr>
      <w:tr>
        <w:trPr>
          <w:trHeight w:val="170"/>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assets(d).............</w:t>
            </w:r>
          </w:p>
        </w:tc>
        <w:tc>
          <w:tcPr>
            <w:tcW w:w="260" w:type="dxa"/>
            <w:vAlign w:val="bottom"/>
          </w:tcPr>
          <w:p>
            <w:pPr>
              <w:spacing w:after="0"/>
              <w:rPr>
                <w:sz w:val="14"/>
                <w:szCs w:val="14"/>
                <w:color w:val="auto"/>
              </w:rPr>
            </w:pPr>
          </w:p>
        </w:tc>
        <w:tc>
          <w:tcPr>
            <w:tcW w:w="12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15,067,951</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3,055,634</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1,222,464</w:t>
            </w:r>
          </w:p>
        </w:tc>
        <w:tc>
          <w:tcPr>
            <w:tcW w:w="3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810,375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20,156,424</w:t>
            </w:r>
          </w:p>
        </w:tc>
      </w:tr>
      <w:tr>
        <w:trPr>
          <w:trHeight w:val="509"/>
        </w:trPr>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90</w:t>
      </w: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3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WASTE MANAGEMENT, INC.</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470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21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w w:val="99"/>
              </w:rPr>
              <w:t>-- (CONTINUED)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8"/>
        </w:trPr>
        <w:tc>
          <w:tcPr>
            <w:tcW w:w="2380" w:type="dxa"/>
            <w:vAlign w:val="bottom"/>
          </w:tcPr>
          <w:p>
            <w:pPr>
              <w:spacing w:after="0"/>
              <w:rPr>
                <w:sz w:val="24"/>
                <w:szCs w:val="2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NORTH AMERICAN</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INTERNATIONAL</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NON-SOLID</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CORPORATE</w:t>
            </w:r>
          </w:p>
        </w:tc>
        <w:tc>
          <w:tcPr>
            <w:tcW w:w="110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SOLID WASTE</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WASTE SERVICES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WASTE</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FUNCTIONS(A)</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80" w:type="dxa"/>
            <w:vAlign w:val="bottom"/>
          </w:tcPr>
          <w:p>
            <w:pPr>
              <w:spacing w:after="0"/>
              <w:rPr>
                <w:sz w:val="14"/>
                <w:szCs w:val="1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operating revenues(b)</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   $ 8,097,860</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$1,913,793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986,949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$10,998,602</w:t>
            </w:r>
          </w:p>
        </w:tc>
      </w:tr>
      <w:tr>
        <w:trPr>
          <w:trHeight w:val="170"/>
        </w:trPr>
        <w:tc>
          <w:tcPr>
            <w:tcW w:w="4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Earnings before interest and</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85"/>
              </w:rPr>
              <w:t>taxes (EBIT)(c), (d).....</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1,654,154</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216,198</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132,267</w:t>
            </w:r>
          </w:p>
        </w:tc>
        <w:tc>
          <w:tcPr>
            <w:tcW w:w="36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(148,927)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1,853,692</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ind w:left="440"/>
              <w:spacing w:after="0"/>
              <w:rPr>
                <w:sz w:val="20"/>
                <w:szCs w:val="20"/>
                <w:color w:val="auto"/>
              </w:rPr>
            </w:pPr>
            <w:r>
              <w:rPr>
                <w:rFonts w:ascii="Courier New" w:cs="Courier New" w:eastAsia="Courier New" w:hAnsi="Courier New"/>
                <w:sz w:val="15"/>
                <w:szCs w:val="15"/>
                <w:color w:val="auto"/>
                <w:w w:val="85"/>
              </w:rPr>
              <w:t>amortization.............</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949,570</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195,944</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52,631</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66,051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1,264,196</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87"/>
              </w:rPr>
              <w:t>Capital expenditures........</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1,248,623</w:t>
            </w:r>
          </w:p>
        </w:tc>
        <w:tc>
          <w:tcPr>
            <w:tcW w:w="52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214,103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27,769</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28,777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1,519,272</w:t>
            </w: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87"/>
              </w:rPr>
              <w:t>Total assets(d).............</w:t>
            </w:r>
          </w:p>
        </w:tc>
        <w:tc>
          <w:tcPr>
            <w:tcW w:w="1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13,938,513</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4,103,273</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2,118,313</w:t>
            </w:r>
          </w:p>
        </w:tc>
        <w:tc>
          <w:tcPr>
            <w:tcW w:w="36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567,425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20,727,524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179"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(except for limited amounts of locally negotiated and managed project debt), administration of corporate tax function, the corporate insurance function and management of closed landfill and related insurance recovery functions, along with other typical administrative functions.</w:t>
      </w:r>
    </w:p>
    <w:p>
      <w:pPr>
        <w:spacing w:after="0" w:line="178"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Non-Solid Waste revenues are net of inter-segment revenue with North American Solid Waste of $122,400,000, $86,400,000 and $69,100,000 in 1998, 1997 and 1996, respectively. There are no other significant sales between segments.</w:t>
      </w:r>
    </w:p>
    <w:p>
      <w:pPr>
        <w:spacing w:after="0" w:line="176" w:lineRule="exact"/>
        <w:rPr>
          <w:rFonts w:ascii="Courier New" w:cs="Courier New" w:eastAsia="Courier New" w:hAnsi="Courier New"/>
          <w:sz w:val="15"/>
          <w:szCs w:val="15"/>
          <w:color w:val="auto"/>
        </w:rPr>
      </w:pPr>
    </w:p>
    <w:p>
      <w:pPr>
        <w:ind w:left="450" w:right="3699" w:hanging="450"/>
        <w:spacing w:after="0" w:line="259" w:lineRule="auto"/>
        <w:tabs>
          <w:tab w:leader="none" w:pos="45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w:t>
      </w:r>
    </w:p>
    <w:p>
      <w:pPr>
        <w:spacing w:after="0" w:line="162" w:lineRule="exact"/>
        <w:rPr>
          <w:rFonts w:ascii="Courier New" w:cs="Courier New" w:eastAsia="Courier New" w:hAnsi="Courier New"/>
          <w:sz w:val="14"/>
          <w:szCs w:val="14"/>
          <w:color w:val="auto"/>
        </w:rPr>
      </w:pPr>
    </w:p>
    <w:p>
      <w:pPr>
        <w:ind w:left="450" w:right="3259" w:hanging="450"/>
        <w:spacing w:after="0" w:line="238" w:lineRule="auto"/>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 Certain asset impairments and unusual items reported in the reconciliation of EBIT to reported net income below, however, have resulted in adjustments to assets ultimately reflected on segment balance sheets. Assets are net of inter-segment receivables and investments.</w:t>
      </w:r>
    </w:p>
    <w:p>
      <w:pPr>
        <w:spacing w:after="0" w:line="176" w:lineRule="exact"/>
        <w:rPr>
          <w:sz w:val="20"/>
          <w:szCs w:val="20"/>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reconciliation of total EBIT reported above to net income is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700" w:type="dxa"/>
            <w:vAlign w:val="bottom"/>
          </w:tcPr>
          <w:p>
            <w:pPr>
              <w:spacing w:after="0"/>
              <w:rPr>
                <w:sz w:val="14"/>
                <w:szCs w:val="14"/>
                <w:color w:val="auto"/>
              </w:rPr>
            </w:pPr>
          </w:p>
        </w:tc>
        <w:tc>
          <w:tcPr>
            <w:tcW w:w="34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EBIT, as reported above..................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2,511,070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$ 1,659,914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$1,853,692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(Plus) less: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costs...........................</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1,807,245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112,748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126,626</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Asset impairments and unusual items....</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864,063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1,771,145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529,768</w:t>
            </w:r>
          </w:p>
        </w:tc>
      </w:tr>
      <w:tr>
        <w:trPr>
          <w:trHeight w:val="170"/>
        </w:trPr>
        <w:tc>
          <w:tcPr>
            <w:tcW w:w="37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Income (loss) from continuing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operations held for sale............</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9,930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681,457</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555,576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525,340</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1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(26,829)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(45,214)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(34,603)</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Minority interest......................</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24,254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45,442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41,289</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net......................</w:t>
            </w:r>
          </w:p>
        </w:tc>
        <w:tc>
          <w:tcPr>
            <w:tcW w:w="1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(139,392)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(127,216)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(108,645)</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before income taxes....................</w:t>
            </w:r>
          </w:p>
        </w:tc>
        <w:tc>
          <w:tcPr>
            <w:tcW w:w="1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(699,879)</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(662,497)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774,232</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Provision for income taxes...............</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66,923</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363,341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486,700</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operations.............................</w:t>
            </w:r>
          </w:p>
        </w:tc>
        <w:tc>
          <w:tcPr>
            <w:tcW w:w="16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(766,802)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(1,025,838)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287,532</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Discontinued operations..................</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(95,688)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263,301</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Extraordinary loss.......................</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3,900</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6,809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Cumulative effect of change in accounting</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principle..............................</w:t>
            </w:r>
          </w:p>
        </w:tc>
        <w:tc>
          <w:tcPr>
            <w:tcW w:w="1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(770,702)</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(938,895)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24,231</w:t>
            </w:r>
          </w:p>
        </w:tc>
      </w:tr>
      <w:tr>
        <w:trPr>
          <w:trHeight w:val="170"/>
        </w:trPr>
        <w:tc>
          <w:tcPr>
            <w:tcW w:w="3700" w:type="dxa"/>
            <w:vAlign w:val="bottom"/>
          </w:tcPr>
          <w:p>
            <w:pPr>
              <w:spacing w:after="0"/>
              <w:rPr>
                <w:sz w:val="14"/>
                <w:szCs w:val="1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9"/>
          </w:cols>
          <w:pgMar w:left="230" w:top="283" w:right="1440" w:bottom="1440" w:gutter="0" w:footer="0" w:header="0"/>
        </w:sectPr>
      </w:pPr>
    </w:p>
    <w:p>
      <w:pPr>
        <w:spacing w:after="0" w:line="1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29"/>
          </w:cols>
          <w:pgMar w:left="230" w:top="283"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Foreign operations in 1998 were conducted in seven countries in Europe, seven countries in the Pacific Rim, Canada, Mexico, Brazil, Israel and Argentina. Operating revenues and property and equipment (net) relating to the Company's operations by significant geographic area is as follows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354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342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United States.......................</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$10,681,924</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$ 9,707,546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$ 8,897,002</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Europe..............................</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1,264,209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1,406,026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1,523,347</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Canada..............................</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425,531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412,633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150,837</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foreign.......................</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331,805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446,293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427,416</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$12,703,469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$11,972,498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$10,998,602</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United States.......................</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$ 9,785,845</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$ 9,187,923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$ 9,385,496</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Europe..............................</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841,418</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903,174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1,135,720</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Canada..............................</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840,887</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906,142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231,928</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foreign.......................</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169,589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191,291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212,797</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$11,637,739</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$11,188,530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$10,965,941</w:t>
            </w:r>
          </w:p>
        </w:tc>
      </w:tr>
      <w:tr>
        <w:trPr>
          <w:trHeight w:val="170"/>
        </w:trPr>
        <w:tc>
          <w:tcPr>
            <w:tcW w:w="3420" w:type="dxa"/>
            <w:vAlign w:val="bottom"/>
          </w:tcPr>
          <w:p>
            <w:pPr>
              <w:spacing w:after="0"/>
              <w:rPr>
                <w:sz w:val="14"/>
                <w:szCs w:val="14"/>
                <w:color w:val="auto"/>
              </w:rPr>
            </w:pP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operates facilities in Hong Kong which are owned by the Hong</w:t>
      </w:r>
    </w:p>
    <w:p>
      <w:pPr>
        <w:spacing w:after="0"/>
        <w:rPr>
          <w:sz w:val="20"/>
          <w:szCs w:val="20"/>
          <w:color w:val="auto"/>
        </w:rPr>
      </w:pPr>
      <w:r>
        <w:rPr>
          <w:rFonts w:ascii="Courier New" w:cs="Courier New" w:eastAsia="Courier New" w:hAnsi="Courier New"/>
          <w:sz w:val="15"/>
          <w:szCs w:val="15"/>
          <w:color w:val="auto"/>
        </w:rPr>
        <w:t>Kong government. The Hong Kong economy has been impacted by the economic</w:t>
      </w:r>
    </w:p>
    <w:p>
      <w:pPr>
        <w:spacing w:after="0"/>
        <w:rPr>
          <w:sz w:val="20"/>
          <w:szCs w:val="20"/>
          <w:color w:val="auto"/>
        </w:rPr>
      </w:pPr>
      <w:r>
        <w:rPr>
          <w:rFonts w:ascii="Courier New" w:cs="Courier New" w:eastAsia="Courier New" w:hAnsi="Courier New"/>
          <w:sz w:val="15"/>
          <w:szCs w:val="15"/>
          <w:color w:val="auto"/>
        </w:rPr>
        <w:t>uncertainty associated with many of the countries in the region. High and</w:t>
      </w:r>
    </w:p>
    <w:p>
      <w:pPr>
        <w:spacing w:after="0" w:line="238" w:lineRule="auto"/>
        <w:rPr>
          <w:sz w:val="20"/>
          <w:szCs w:val="20"/>
          <w:color w:val="auto"/>
        </w:rPr>
      </w:pPr>
      <w:r>
        <w:rPr>
          <w:rFonts w:ascii="Courier New" w:cs="Courier New" w:eastAsia="Courier New" w:hAnsi="Courier New"/>
          <w:sz w:val="15"/>
          <w:szCs w:val="15"/>
          <w:color w:val="auto"/>
        </w:rPr>
        <w:t>volatile interest rates have resulted from speculation regarding its currency.</w:t>
      </w:r>
    </w:p>
    <w:p>
      <w:pPr>
        <w:spacing w:after="0"/>
        <w:rPr>
          <w:sz w:val="20"/>
          <w:szCs w:val="20"/>
          <w:color w:val="auto"/>
        </w:rPr>
      </w:pPr>
      <w:r>
        <w:rPr>
          <w:rFonts w:ascii="Courier New" w:cs="Courier New" w:eastAsia="Courier New" w:hAnsi="Courier New"/>
          <w:sz w:val="15"/>
          <w:szCs w:val="15"/>
          <w:color w:val="auto"/>
        </w:rPr>
        <w:t>The Company also has operations in Indonesia, Thailand and Brazil. These</w:t>
      </w:r>
    </w:p>
    <w:p>
      <w:pPr>
        <w:spacing w:after="0"/>
        <w:rPr>
          <w:sz w:val="20"/>
          <w:szCs w:val="20"/>
          <w:color w:val="auto"/>
        </w:rPr>
      </w:pPr>
      <w:r>
        <w:rPr>
          <w:rFonts w:ascii="Courier New" w:cs="Courier New" w:eastAsia="Courier New" w:hAnsi="Courier New"/>
          <w:sz w:val="15"/>
          <w:szCs w:val="15"/>
          <w:color w:val="auto"/>
        </w:rPr>
        <w:t>countries have experienced illiquidity, volatile currency exchange rates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rates, and reduced economic activity. The Company will be affected 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foreseeable future by economic conditions in this region, although it is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to determine the extent of such impact. At December 31, 1998, the</w:t>
      </w:r>
    </w:p>
    <w:p>
      <w:pPr>
        <w:spacing w:after="0"/>
        <w:rPr>
          <w:sz w:val="20"/>
          <w:szCs w:val="20"/>
          <w:color w:val="auto"/>
        </w:rPr>
      </w:pPr>
      <w:r>
        <w:rPr>
          <w:rFonts w:ascii="Courier New" w:cs="Courier New" w:eastAsia="Courier New" w:hAnsi="Courier New"/>
          <w:sz w:val="15"/>
          <w:szCs w:val="15"/>
          <w:color w:val="auto"/>
        </w:rPr>
        <w:t>Company has $114,749,000 revenue, $41,403,000 property and equipment, net, and</w:t>
      </w:r>
    </w:p>
    <w:p>
      <w:pPr>
        <w:spacing w:after="0"/>
        <w:rPr>
          <w:sz w:val="20"/>
          <w:szCs w:val="20"/>
          <w:color w:val="auto"/>
        </w:rPr>
      </w:pPr>
      <w:r>
        <w:rPr>
          <w:rFonts w:ascii="Courier New" w:cs="Courier New" w:eastAsia="Courier New" w:hAnsi="Courier New"/>
          <w:sz w:val="15"/>
          <w:szCs w:val="15"/>
          <w:color w:val="auto"/>
        </w:rPr>
        <w:t>$104,103,000 total investment in the above Asian countries (including Hong</w:t>
      </w:r>
    </w:p>
    <w:p>
      <w:pPr>
        <w:spacing w:after="0" w:line="238" w:lineRule="auto"/>
        <w:rPr>
          <w:sz w:val="20"/>
          <w:szCs w:val="20"/>
          <w:color w:val="auto"/>
        </w:rPr>
      </w:pPr>
      <w:r>
        <w:rPr>
          <w:rFonts w:ascii="Courier New" w:cs="Courier New" w:eastAsia="Courier New" w:hAnsi="Courier New"/>
          <w:sz w:val="15"/>
          <w:szCs w:val="15"/>
          <w:color w:val="auto"/>
        </w:rPr>
        <w:t>Kong). The Company has a total investment of $38,900,000 in Brazil which is</w:t>
      </w:r>
    </w:p>
    <w:p>
      <w:pPr>
        <w:spacing w:after="0"/>
        <w:rPr>
          <w:sz w:val="20"/>
          <w:szCs w:val="20"/>
          <w:color w:val="auto"/>
        </w:rPr>
      </w:pPr>
      <w:r>
        <w:rPr>
          <w:rFonts w:ascii="Courier New" w:cs="Courier New" w:eastAsia="Courier New" w:hAnsi="Courier New"/>
          <w:sz w:val="15"/>
          <w:szCs w:val="15"/>
          <w:color w:val="auto"/>
        </w:rPr>
        <w:t>primarily investments accounted for under the equity method of accounting.</w:t>
      </w:r>
    </w:p>
    <w:p>
      <w:pPr>
        <w:spacing w:after="0"/>
        <w:rPr>
          <w:sz w:val="20"/>
          <w:szCs w:val="20"/>
          <w:color w:val="auto"/>
        </w:rPr>
      </w:pPr>
      <w:r>
        <w:rPr>
          <w:rFonts w:ascii="Courier New" w:cs="Courier New" w:eastAsia="Courier New" w:hAnsi="Courier New"/>
          <w:sz w:val="15"/>
          <w:szCs w:val="15"/>
          <w:color w:val="auto"/>
        </w:rPr>
        <w:t>Income from continuing operations before income taxes from Hong Kong was</w:t>
      </w:r>
    </w:p>
    <w:p>
      <w:pPr>
        <w:spacing w:after="0" w:line="238" w:lineRule="auto"/>
        <w:rPr>
          <w:sz w:val="20"/>
          <w:szCs w:val="20"/>
          <w:color w:val="auto"/>
        </w:rPr>
      </w:pPr>
      <w:r>
        <w:rPr>
          <w:rFonts w:ascii="Courier New" w:cs="Courier New" w:eastAsia="Courier New" w:hAnsi="Courier New"/>
          <w:sz w:val="15"/>
          <w:szCs w:val="15"/>
          <w:color w:val="auto"/>
        </w:rPr>
        <w:t>$21,200,000 in 1998. Income from Indonesia, Thailand and Brazil has not been</w:t>
      </w:r>
    </w:p>
    <w:p>
      <w:pPr>
        <w:spacing w:after="0"/>
        <w:rPr>
          <w:sz w:val="20"/>
          <w:szCs w:val="20"/>
          <w:color w:val="auto"/>
        </w:rPr>
      </w:pPr>
      <w:r>
        <w:rPr>
          <w:rFonts w:ascii="Courier New" w:cs="Courier New" w:eastAsia="Courier New" w:hAnsi="Courier New"/>
          <w:sz w:val="15"/>
          <w:szCs w:val="15"/>
          <w:color w:val="auto"/>
        </w:rPr>
        <w:t>significant to 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ASSET IMPAIRMENTS AND UNUSUAL ITEMS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1998, 1997, and 1996, the Company recorded certain charges for asset impairments and unusual items resulting from reviews of business integration and operating plans. Such reviews were generally performed in connection with the Company's merger activities. In addition, the 1997 consolidated financial statements include a significant accounting charge resulting from a comprehensive review performed by the management of WM Holdings of its operations and investments in the fourth quarter of 1997. Similarly, the 1996 consolidated financial statements include accounting charges recorded by WM Holdings for certain operational and management restructuring activities and assets that had become impaired.</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Fair values for asset impairment losses was determined for landfills, hazardous waste facilities, recycling investments and other facilities, primarily based on future cash flow projections discounted back using discount rates appropriate for the risks involved with the specific assets. For surplus real estate, market opinions and appraisals were used. In determining fair values for abandoned projects and vehicles to be sold, recoverable salvage values were determined using market estimates. Impaired assets to be sold are primarily businesses to be sold (see Note 18) and surplus real estate. The Company provides for losses in connection with long-term waste service contracts where an obligation exists to perform services and when it becomes</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3"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evident the projected direct and incremental contract costs will exceed the related contract revenues. In general, these losses relate to contracts with remaining average duration of five years.</w:t>
      </w:r>
    </w:p>
    <w:p>
      <w:pPr>
        <w:spacing w:after="0" w:line="175"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The following is a summary of asset impairments and unusual items that are reflected in the Company's consolidated financial statements for the year ended December 31, 1998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 for losses on contractual commitments.............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$115.6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Changes in estimates relating to the reassessment of</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ultimate losses for certain legal and remediation</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331.9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 sold...................................................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195.1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Curtailment and settlement costs of terminating the defined</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benefit pension plan (Note 11)............................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WM Holdings'</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Supplemental Executive Retirement Plan (Note 11) and other</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supplemental plans........................................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Put provisions of certain WM Holdings' stock options as a</w:t>
            </w:r>
          </w:p>
        </w:tc>
        <w:tc>
          <w:tcPr>
            <w:tcW w:w="620" w:type="dxa"/>
            <w:vAlign w:val="bottom"/>
          </w:tcPr>
          <w:p>
            <w:pPr>
              <w:spacing w:after="0"/>
              <w:rPr>
                <w:sz w:val="14"/>
                <w:szCs w:val="14"/>
                <w:color w:val="auto"/>
              </w:rPr>
            </w:pP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result of change in control provisions....................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r>
        <w:trPr>
          <w:trHeight w:val="170"/>
        </w:trPr>
        <w:tc>
          <w:tcPr>
            <w:tcW w:w="5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1998, the Company increased its reserves for certain legal and environmental remediation issues as a result of management's emphasis to resolve and settle certain issues relating primarily to WM Holdings, including a class action securities litigation against WM Holdings.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The charge to pre-tax earnings as a result of these put rights was $114,600,000 in the third quarter of 1998. To the extent the future market value of the Company's common stock exceeds $54.34 per share, the Company will be required to record additional charges to earnings through July 16, 1999, at which time all put rights expire. The expense related to these stock option put rights has no impact to equity as the offset is a direct increase to additional paid-in capital, as these put rights will be satisfied by the issuance of stock.</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is a summary of asset impairments and unusual items reflected in the Company's consolidated financial statements for the year ended December 31, 1997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expansions and development projects due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political or competitive factors, which will result in</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closure earlier than previously expected (includes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$233.8 for hazardous waste sites)......................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592.9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Hazardous waste facilities, resulting from continuing</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market deterioration, increased competition, excess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capacity and changing regulation.......................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Goodwill, primarily related to landfills and hazardous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waste facilities impaired (including $411.0 related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hazardous waste business)..............................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of WTI long-lived assets, including $47.1</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related to a wood waste burning independent power</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production facility....................................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Recycling investments, related primarily to continued</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pricing, overcapacity and competitive factors..........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to estimated net realizable value of trucks to</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be sold as a result of new fleet management policy</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(Note 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Write-down to estimated net sales proceeds of businesses</w:t>
            </w:r>
          </w:p>
        </w:tc>
        <w:tc>
          <w:tcPr>
            <w:tcW w:w="80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to be sold (Note 18)...................................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Abandoned equipment and facilities........................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Surplus real estate.......................................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Provisions for losses on contractual commitments............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Severance for terminated employees..........................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 primarily costs of</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demobilization in Argentina following the expiration of</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the City of Buenos Aires contract, divestiture or closure</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of underperforming businesses (primarily in Italy and</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Germany) and abandonment of projects (primarily in</w:t>
            </w:r>
          </w:p>
        </w:tc>
        <w:tc>
          <w:tcPr>
            <w:tcW w:w="80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Germany)..................................................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104.3</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$1,771.1</w:t>
            </w:r>
          </w:p>
        </w:tc>
      </w:tr>
      <w:tr>
        <w:trPr>
          <w:trHeight w:val="170"/>
        </w:trPr>
        <w:tc>
          <w:tcPr>
            <w:tcW w:w="5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360" w:type="dxa"/>
            <w:vAlign w:val="bottom"/>
          </w:tcPr>
          <w:p>
            <w:pPr>
              <w:ind w:left="3420"/>
              <w:spacing w:after="0"/>
              <w:rPr>
                <w:sz w:val="20"/>
                <w:szCs w:val="20"/>
                <w:color w:val="auto"/>
              </w:rPr>
            </w:pPr>
            <w:r>
              <w:rPr>
                <w:rFonts w:ascii="Courier New" w:cs="Courier New" w:eastAsia="Courier New" w:hAnsi="Courier New"/>
                <w:sz w:val="15"/>
                <w:szCs w:val="15"/>
                <w:color w:val="auto"/>
              </w:rPr>
              <w:t>91</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is a summary of asset impairments and unusual items reflected in the Company's consolidated financial statements for the year ended December 31, 1996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abandon expansion projects due to political or</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competitive factors, which will result in closure</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earlier than previously expected.......................</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Recycling investments, related primarily to pricing,</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overcapacity and competitive factors...................</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primarily equipment to be scrapped.................</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Surplus real estate.......................................</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be sold...................................................</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Reserves for certain litigation and for reengineering of</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finance and administrative functions......................</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154.1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Provisions for losses on contractual commitments............</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Western retirement benefits.................................</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Loss on sale of investment in Wessex Water Plc............</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Revaluation of investments in France, Austria, and Spain</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in contemplation of exiting all or part of these</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markets or forming joint ventures and write-off of a</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hazardous waste disposal facility in Germany with</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w w:val="98"/>
              </w:rPr>
              <w:t>volumes adversely affected by regulatory changes.......</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169.6</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529.8</w:t>
            </w:r>
          </w:p>
        </w:tc>
      </w:tr>
      <w:tr>
        <w:trPr>
          <w:trHeight w:val="170"/>
        </w:trPr>
        <w:tc>
          <w:tcPr>
            <w:tcW w:w="53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following reconciles the number of common shares outstanding at December 31 of each year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5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4300" w:type="dxa"/>
            <w:vAlign w:val="bottom"/>
          </w:tcPr>
          <w:p>
            <w:pPr>
              <w:spacing w:after="0"/>
              <w:rPr>
                <w:sz w:val="14"/>
                <w:szCs w:val="14"/>
                <w:color w:val="auto"/>
              </w:rPr>
            </w:pPr>
          </w:p>
        </w:tc>
        <w:tc>
          <w:tcPr>
            <w:tcW w:w="25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3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w w:val="99"/>
              </w:rPr>
              <w:t>Number of common shares outstanding.............</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600,351</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556,546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541,071</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(16,050)</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(3,802)</w:t>
            </w:r>
          </w:p>
        </w:tc>
      </w:tr>
      <w:tr>
        <w:trPr>
          <w:trHeight w:val="170"/>
        </w:trPr>
        <w:tc>
          <w:tcPr>
            <w:tcW w:w="43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outstanding...................................</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584,301</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557,675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537,269</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 options and</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warrants......................................</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9,647</w:t>
            </w:r>
          </w:p>
        </w:tc>
      </w:tr>
      <w:tr>
        <w:trPr>
          <w:trHeight w:val="170"/>
        </w:trPr>
        <w:tc>
          <w:tcPr>
            <w:tcW w:w="43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4300" w:type="dxa"/>
            <w:vAlign w:val="bottom"/>
          </w:tcPr>
          <w:p>
            <w:pPr>
              <w:ind w:left="160"/>
              <w:spacing w:after="0"/>
              <w:rPr>
                <w:sz w:val="20"/>
                <w:szCs w:val="20"/>
                <w:color w:val="auto"/>
              </w:rPr>
            </w:pPr>
            <w:r>
              <w:rPr>
                <w:rFonts w:ascii="Courier New" w:cs="Courier New" w:eastAsia="Courier New" w:hAnsi="Courier New"/>
                <w:sz w:val="15"/>
                <w:szCs w:val="15"/>
                <w:color w:val="auto"/>
                <w:w w:val="99"/>
              </w:rPr>
              <w:t>potential common shares outstanding...........</w:t>
            </w: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584,301</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557,675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546,916</w:t>
            </w:r>
          </w:p>
        </w:tc>
      </w:tr>
      <w:tr>
        <w:trPr>
          <w:trHeight w:val="170"/>
        </w:trPr>
        <w:tc>
          <w:tcPr>
            <w:tcW w:w="4300" w:type="dxa"/>
            <w:vAlign w:val="bottom"/>
          </w:tcPr>
          <w:p>
            <w:pPr>
              <w:spacing w:after="0"/>
              <w:rPr>
                <w:sz w:val="14"/>
                <w:szCs w:val="14"/>
                <w:color w:val="auto"/>
              </w:rPr>
            </w:pPr>
          </w:p>
        </w:tc>
        <w:tc>
          <w:tcPr>
            <w:tcW w:w="9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Diluted earnings per common share for the years ended December 31, 1998, 1997, and 1996 has been calculated excluding the effects of the Company's convertible subordinated notes and debentures as inclusion of such items would be anti-dilutive for these periods.</w:t>
      </w:r>
    </w:p>
    <w:p>
      <w:pPr>
        <w:spacing w:after="0" w:line="176"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At December 31, 1998, there were approximately 73,600,000 common shares potentially issuable with respect to stock options, warrants, and convertible debt, which could dilute basic earnings per share in the future.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283"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COMPREHENSIVE INCOME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Comprehensive income is defined as the change in equity of a business enterprise from transactions and other events and circumstances from nonowner sources and includes all changes in equity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FOREIGN</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MINIMUM</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ACCUMULATED</w:t>
            </w:r>
          </w:p>
        </w:tc>
      </w:tr>
      <w:tr>
        <w:trPr>
          <w:trHeight w:val="170"/>
        </w:trPr>
        <w:tc>
          <w:tcPr>
            <w:tcW w:w="36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CURRENCY</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PENSION</w:t>
            </w:r>
          </w:p>
        </w:tc>
        <w:tc>
          <w:tcPr>
            <w:tcW w:w="12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OTHER</w:t>
            </w:r>
          </w:p>
        </w:tc>
      </w:tr>
      <w:tr>
        <w:trPr>
          <w:trHeight w:val="170"/>
        </w:trPr>
        <w:tc>
          <w:tcPr>
            <w:tcW w:w="36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TRANSLATION</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LIABILITY</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COMPREHENSIVE</w:t>
            </w:r>
          </w:p>
        </w:tc>
      </w:tr>
      <w:tr>
        <w:trPr>
          <w:trHeight w:val="170"/>
        </w:trPr>
        <w:tc>
          <w:tcPr>
            <w:tcW w:w="36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INCOME</w:t>
            </w:r>
          </w:p>
        </w:tc>
      </w:tr>
      <w:tr>
        <w:trPr>
          <w:trHeight w:val="170"/>
        </w:trPr>
        <w:tc>
          <w:tcPr>
            <w:tcW w:w="36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(95,056)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$(18,885)</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$(113,941)</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Current-period change.................</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(180,744)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11,492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(169,252)</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1997..............</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(275,800)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(7,393)</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(283,193)</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Current-period change.................</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(77,842)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(59,769)</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(137,611)</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(353,642)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$(67,162)</w:t>
            </w:r>
          </w:p>
        </w:tc>
        <w:tc>
          <w:tcPr>
            <w:tcW w:w="1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$(420,804)</w:t>
            </w:r>
          </w:p>
        </w:tc>
      </w:tr>
      <w:tr>
        <w:trPr>
          <w:trHeight w:val="170"/>
        </w:trPr>
        <w:tc>
          <w:tcPr>
            <w:tcW w:w="3600" w:type="dxa"/>
            <w:vAlign w:val="bottom"/>
          </w:tcPr>
          <w:p>
            <w:pPr>
              <w:spacing w:after="0"/>
              <w:rPr>
                <w:sz w:val="14"/>
                <w:szCs w:val="14"/>
                <w:color w:val="auto"/>
              </w:rPr>
            </w:pPr>
          </w:p>
        </w:tc>
        <w:tc>
          <w:tcPr>
            <w:tcW w:w="12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COMMITMENTS AND CONTINGENCIES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leases --</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The Company leases</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many</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of its operating and office</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facilities for</w:t>
            </w: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various terms. Lease expense</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aggregated $194,846,000,</w:t>
            </w:r>
          </w:p>
        </w:tc>
      </w:tr>
      <w:tr>
        <w:trPr>
          <w:trHeight w:val="170"/>
        </w:trPr>
        <w:tc>
          <w:tcPr>
            <w:tcW w:w="3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$189,873,600, and $186,270,000 during 1998,</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w w:val="97"/>
              </w:rPr>
              <w:t>and 1996, respectively. These</w:t>
            </w:r>
          </w:p>
        </w:tc>
      </w:tr>
    </w:tbl>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amounts include rents under long-term leases, short-term cancelable leases and rents charged as a percentage of revenue, but are exclusive of financing leases capitalized for accounting purposes.</w:t>
      </w:r>
    </w:p>
    <w:p>
      <w:pPr>
        <w:spacing w:after="0" w:line="175" w:lineRule="exact"/>
        <w:rPr>
          <w:sz w:val="20"/>
          <w:szCs w:val="20"/>
          <w:color w:val="auto"/>
        </w:rPr>
      </w:pPr>
    </w:p>
    <w:p>
      <w:pPr>
        <w:ind w:right="3799" w:firstLine="441"/>
        <w:spacing w:after="0" w:line="235" w:lineRule="auto"/>
        <w:rPr>
          <w:sz w:val="20"/>
          <w:szCs w:val="20"/>
          <w:color w:val="auto"/>
        </w:rPr>
      </w:pPr>
      <w:r>
        <w:rPr>
          <w:rFonts w:ascii="Courier New" w:cs="Courier New" w:eastAsia="Courier New" w:hAnsi="Courier New"/>
          <w:sz w:val="15"/>
          <w:szCs w:val="15"/>
          <w:color w:val="auto"/>
        </w:rPr>
        <w:t>The long-term rental obligations as of December 31, 1998, are due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First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142,397</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Second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133,069</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Third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127,206</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Fourth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155,341</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Fifth year...............................................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104,568</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Sixth through tenth years................................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431,114</w:t>
            </w:r>
          </w:p>
        </w:tc>
      </w:t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w w:val="99"/>
              </w:rPr>
              <w:t>Eleventh year and 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143,004</w:t>
            </w:r>
          </w:p>
        </w:tc>
      </w:tr>
      <w:tr>
        <w:trPr>
          <w:trHeight w:val="170"/>
        </w:trPr>
        <w:tc>
          <w:tcPr>
            <w:tcW w:w="5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$1,236,699</w:t>
            </w:r>
          </w:p>
        </w:tc>
      </w:tr>
      <w:tr>
        <w:trPr>
          <w:trHeight w:val="170"/>
        </w:trPr>
        <w:tc>
          <w:tcPr>
            <w:tcW w:w="5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Financial instruments -- Letters of credit, performance bonds and other guarantees have been provided by the Company supporting tax-exempt bonds, performance of final landfill closure and post-closure requirements, insurance contracts, and other contracts. Total letters of credit, performance bonds, insurance policies, and other guarantees outstanding at December 31, 1998, aggregated approximately $3,940,719,000. The insurance policies are issued by a wholly-owned insurance company subsidiary, the sole business of which is to issue such policies to customers of the Company and its subsidiaries. Because virtually no claims have been made against these financial instruments in the past, management does not expect these instruments will have a material effect on the Company's consolidated financial statements.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normal course of business, the Company is a party to financial instruments with off-balance sheet risk, such as bank letters of credit, performance bonds and other guarantees, which are not reflected in the consolidated balance sheets. Such financial instruments are to be valued based on the amount of exposure under the instrument and the likelihood of performance being required. In the Company's experience, virtually no claims have been made against those financial instruments. Management does not expect any material losses to result from these off-balance sheet instruments.</w:t>
      </w:r>
    </w:p>
    <w:p>
      <w:pPr>
        <w:sectPr>
          <w:pgSz w:w="11900" w:h="16838" w:orient="portrait"/>
          <w:cols w:equalWidth="0" w:num="1">
            <w:col w:w="10219"/>
          </w:cols>
          <w:pgMar w:left="240" w:top="283"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283"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As part of its ongoing operations, the Company provides for estimated final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88 sites listed on the NPL as of December 31, 1998. Where the Company concludes that it is probable that a liability has been incurred, provision is made in the financial statements.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8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Litigation -- 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In December 1998, the Company announced an agreement to settle the consolidated action against all defendants and the establishment of a settlement fund of $220,000,000 for the class of open market purchasers of WM Holdings equity securities between November 3, 1994, and February 24, 1998. The settlement agreement with the plaintiffs is subject to various conditions, including preliminary approval by the Court, notice to the class and final approval by the Court after a hearing. There can be no assurances that the Court will find the settlement to be fair to the class or that, because members of the class may opt out of the lawsuit, WM Holdings will not be a party to additional lawsuits or claims brought by individuals.</w:t>
      </w:r>
    </w:p>
    <w:p>
      <w:pPr>
        <w:spacing w:after="0" w:line="34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is aware of another action arising out of the same set of facts alleging a cause of action under Illinois state law. Additionally, there are several other actions and claims arising out of the same set of</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3"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97</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facts, including one purported class action brought by business owners who received WM Holdings shares in the sales of their businesses to WM Holdings that alleges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 It is not possible at this time to predict the impact this litigation may have on WM Holdings or the Company nor is it possible to predict whether any other suits or claims arising out of these matters may be brought in the future. However, it is reasonably possible that the outcome of any present or future litigation may have a material adverse impact on their respective financial condition or results of operations in one or more future periods. WM Holdings intends to defend itself vigorously in the litigation.</w:t>
      </w:r>
    </w:p>
    <w:p>
      <w:pPr>
        <w:spacing w:after="0" w:line="18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WM Holdings Merger will prevent members of the purported class from receiving their fair portion of 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 members of the class action will suffer irreparable damage unless the defendants are enjoined from breaching their fiduciary duties. The complaint seeks equitable relief that would rescind the WM Holdings Merger and monetary damages from the defendants for unlawfully gained profits and special benefits. The Company believes the suit to be without merit and intends to contest it vigorously.</w:t>
      </w:r>
    </w:p>
    <w:p>
      <w:pPr>
        <w:spacing w:after="0" w:line="18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 to alleged technical violations of licenses or permits pursuant to which the Company operates or is seeking to operate or laws or regulations to which its operations are subject or are the result of different interpretations of the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33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subsidiary's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3"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98</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been advised by the U.S. Department of Justice that Laurel Ridge Landfill, Inc., a wholly-owned subsidiary of the Company as a result of the Company's acquisition of United, is a target of a federal investigation relating to alleged violations of the Clean Water Act at the Laurel Ridge Landfill in Kentucky. The investigation relates to a period prior to the Company's acquisition of United in August 1997. The Company is attempting to negotiate a resolution with the government which may include a guilty plea to a criminal misdemeanor, a fine and in-kind services. The Company believes that the ultimate outcome of this matter will not have a material adverse effect on the Company's consolidated financial statements.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June 1996, an indictment was brought against All-Waste Systems, Inc. ("All-Waste"), an indirect subsidiary of the Company acquired in December 1998 in connection with the Eastern Merger, thirteen other corporations and seven individuals in the Southern District of New York. In September 1997 nineteen of the defendants entered guilty pleas and collectively agreed to pay $17,000,000 in restitution to the IRS and Westchester County, fines and civil forfeitures. All-Waste pled guilty to mail fraud, which arose out of an alleged bid-rigging scheme for the Town of New Windsor, paid an $85,000 fine and was sentenced to a five year probation period. The probation period was terminated upon the closing of the sale of All-Waste to Eastern in June 1998.</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1999, the Company was notified that All-Waste and two other indirect subsidiaries acquired in the Eastern Merger as well as a current employee of the Company were suspended from future contracting with any agency in the executive branch of the U.S. Government pending proceedings. The suspension and potential debarment are based on the September 1997 conviction of All-Waste and activities that occurred prior to ownership of the entities by Eastern. The Company is attempting to remove the three entities from the suspension and proposed debarment list. The Company believes that the ultimate outcome of this matter will not have a material adverse effect on the Company's consolidated financial statements.</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184" w:lineRule="exact"/>
        <w:rPr>
          <w:sz w:val="20"/>
          <w:szCs w:val="20"/>
          <w:color w:val="auto"/>
        </w:rPr>
      </w:pPr>
    </w:p>
    <w:p>
      <w:pPr>
        <w:ind w:right="3259" w:firstLine="441"/>
        <w:spacing w:after="0" w:line="256" w:lineRule="auto"/>
        <w:rPr>
          <w:sz w:val="20"/>
          <w:szCs w:val="20"/>
          <w:color w:val="auto"/>
        </w:rPr>
      </w:pPr>
      <w:r>
        <w:rPr>
          <w:rFonts w:ascii="Courier New" w:cs="Courier New" w:eastAsia="Courier New" w:hAnsi="Courier New"/>
          <w:sz w:val="14"/>
          <w:szCs w:val="14"/>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w:t>
      </w:r>
    </w:p>
    <w:p>
      <w:pPr>
        <w:ind w:left="3420"/>
        <w:spacing w:after="0" w:line="237" w:lineRule="auto"/>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3"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99</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nearly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consolidated financial statements for potential recoveries. See Note 6.</w:t>
      </w:r>
    </w:p>
    <w:p>
      <w:pPr>
        <w:spacing w:after="0" w:line="181"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and, on that basis, has agreed to a settlement providing for the dismissal of all of the lawsuits against all defendants. The settlement agreement with the plaintiffs is subject to various conditions, including notice to the putative class and approval by the Court after a hearing.</w:t>
      </w:r>
    </w:p>
    <w:p>
      <w:pPr>
        <w:spacing w:after="0" w:line="18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Tax Matters -- During the first quarter of 1995, WMI Sellbergs AB, a Swedish subsidiary, received an assessment from the Swedish Tax Authority of approximately 417,000,000 Krona (approximately $52,000,000) plus interest from the date of the assessment, relating to a transaction completed in 1990. On November 4, 1998, the County Court of the County of Stockholm ruled in favor of WMI Sellbergs AB. However, the Swedish Tax Authority has appealed that decision. The Company believes that all appropriate tax returns and disclosures were properly filed at the time of the transaction and intends to vigorously contest the appeal.</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policies provide for $2,000,000 per occurrence coverage for primary commercial general liability and $1,000,000 per accident coverage primary automobile liability (including coverage for pollution exposure arising out of trucking operations) supported by $400,000,000 in umbrella insurance protection. The property policy provides insurance coverage for all of the Company's real and personal property on a replacement cost basis, including California earthquake perils. The Company also carries $200,000,000 in aircraft liability protection.</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December 31, 1998, this policy provides $10,000,000 of coverage per loss with a $20,000,000 aggregate limit.</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3" w:right="1440" w:bottom="1440" w:gutter="0" w:footer="0" w:header="0"/>
        </w:sectPr>
      </w:pPr>
    </w:p>
    <w:bookmarkStart w:id="101" w:name="page102"/>
    <w:bookmarkEnd w:id="101"/>
    <w:p>
      <w:pPr>
        <w:ind w:left="270"/>
        <w:spacing w:after="0"/>
        <w:rPr>
          <w:sz w:val="20"/>
          <w:szCs w:val="20"/>
          <w:color w:val="auto"/>
        </w:rPr>
      </w:pPr>
      <w:r>
        <w:rPr>
          <w:rFonts w:ascii="Courier New" w:cs="Courier New" w:eastAsia="Courier New" w:hAnsi="Courier New"/>
          <w:sz w:val="15"/>
          <w:szCs w:val="15"/>
          <w:color w:val="auto"/>
        </w:rPr>
        <w:t>100</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Through the date of the WM Holdings Merger, certain of WM Holdings' auto, general liability, environmental impairment liability, and workers' compensation risks were self-insured up to $5,000,000 per accident. For such programs, a provision was made in each accounting period for estimated losses, including losses incurred but not reported, and the related reserves are adjusted as additional claim information becomes available. Claim reserves are discounted at 5.5% and 6% at December 31, 1998 and 1997, respectively. The self-insurance reserve included in the accompanying consolidated balance sheets is $277,400,000 and $226,700,000 at December 31, 1998 and 1997, respectively.</w:t>
      </w:r>
    </w:p>
    <w:p>
      <w:pPr>
        <w:spacing w:after="0" w:line="167"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67" w:lineRule="exact"/>
        <w:rPr>
          <w:sz w:val="20"/>
          <w:szCs w:val="20"/>
          <w:color w:val="auto"/>
        </w:rPr>
      </w:pPr>
    </w:p>
    <w:p>
      <w:pPr>
        <w:ind w:left="170" w:right="6799" w:hanging="170"/>
        <w:spacing w:after="0" w:line="471" w:lineRule="auto"/>
        <w:tabs>
          <w:tab w:leader="none" w:pos="34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OPERATIONS HELD FOR SALE Assets Held for Sale</w:t>
      </w:r>
    </w:p>
    <w:p>
      <w:pPr>
        <w:spacing w:after="0" w:line="11"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The Company is disposing of certain assets to comply with governmental orders related to the WM Holdings Merger and Eastern Merger and certain other assets as a result of implementing the business strategy related to the WM Holdings Merger. These businesses' results of operations are fully included in revenues and expenses in the accompanying statements of operations, and generated third party operating revenues of approximately $372,596,000 and earnings before interest and taxes of approximately $20,600,000 in 1998. In addition, as a result of the WM Holdings Merger, various real estate became duplicative and surplus, and will be sold. As discussed in Notes 3 and 14, the Company has recorded charges to write down these assets to fair value, less costs to sell. These charges are based on estimates and certain contingencies that could materially differ from actual results and resolution of any such contingencies.</w:t>
      </w:r>
    </w:p>
    <w:p>
      <w:pPr>
        <w:spacing w:after="0" w:line="177"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Operations Held for Sale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 the fourth quarter of 1995, the Company approved a plan to sell or</w:t>
      </w:r>
    </w:p>
    <w:p>
      <w:pPr>
        <w:ind w:left="10"/>
        <w:spacing w:after="0"/>
        <w:rPr>
          <w:sz w:val="20"/>
          <w:szCs w:val="20"/>
          <w:color w:val="auto"/>
        </w:rPr>
      </w:pPr>
      <w:r>
        <w:rPr>
          <w:rFonts w:ascii="Courier New" w:cs="Courier New" w:eastAsia="Courier New" w:hAnsi="Courier New"/>
          <w:sz w:val="15"/>
          <w:szCs w:val="15"/>
          <w:color w:val="auto"/>
        </w:rPr>
        <w:t>otherwise discontinue the process engineering, construction, specialty</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contracting and similar lines of business of Rust International, Inc. ("Rust"),</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 subsidiary owned 60% by WM Holdings and 40% by WTI. At December 31, 1996,</w:t>
      </w:r>
    </w:p>
    <w:p>
      <w:pPr>
        <w:ind w:left="10"/>
        <w:spacing w:after="0"/>
        <w:rPr>
          <w:sz w:val="20"/>
          <w:szCs w:val="20"/>
          <w:color w:val="auto"/>
        </w:rPr>
      </w:pPr>
      <w:r>
        <w:rPr>
          <w:rFonts w:ascii="Courier New" w:cs="Courier New" w:eastAsia="Courier New" w:hAnsi="Courier New"/>
          <w:sz w:val="15"/>
          <w:szCs w:val="15"/>
          <w:color w:val="auto"/>
        </w:rPr>
        <w:t>management also classified as discontinued and planned to sell Rust's domestic</w:t>
      </w:r>
    </w:p>
    <w:p>
      <w:pPr>
        <w:ind w:left="10"/>
        <w:spacing w:after="0"/>
        <w:rPr>
          <w:sz w:val="20"/>
          <w:szCs w:val="20"/>
          <w:color w:val="auto"/>
        </w:rPr>
      </w:pPr>
      <w:r>
        <w:rPr>
          <w:rFonts w:ascii="Courier New" w:cs="Courier New" w:eastAsia="Courier New" w:hAnsi="Courier New"/>
          <w:sz w:val="15"/>
          <w:szCs w:val="15"/>
          <w:color w:val="auto"/>
        </w:rPr>
        <w:t>environmental and infrastructure engineering and consulting business and</w:t>
      </w:r>
    </w:p>
    <w:p>
      <w:pPr>
        <w:ind w:left="10"/>
        <w:spacing w:after="0" w:line="238" w:lineRule="auto"/>
        <w:rPr>
          <w:sz w:val="20"/>
          <w:szCs w:val="20"/>
          <w:color w:val="auto"/>
        </w:rPr>
      </w:pPr>
      <w:r>
        <w:rPr>
          <w:rFonts w:ascii="Courier New" w:cs="Courier New" w:eastAsia="Courier New" w:hAnsi="Courier New"/>
          <w:sz w:val="15"/>
          <w:szCs w:val="15"/>
          <w:color w:val="auto"/>
        </w:rPr>
        <w:t>Chemical Waste Management, Inc.'s ("CWM") high organic waste fuel blending</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services business. Also, WTI classified certain of its water process systems and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equipment manufacturing businesses (sold in 1996) and its water and wastewater</w:t>
      </w:r>
    </w:p>
    <w:p>
      <w:pPr>
        <w:ind w:left="10"/>
        <w:spacing w:after="0"/>
        <w:rPr>
          <w:sz w:val="20"/>
          <w:szCs w:val="20"/>
          <w:color w:val="auto"/>
        </w:rPr>
      </w:pPr>
      <w:r>
        <w:rPr>
          <w:rFonts w:ascii="Courier New" w:cs="Courier New" w:eastAsia="Courier New" w:hAnsi="Courier New"/>
          <w:sz w:val="15"/>
          <w:szCs w:val="15"/>
          <w:color w:val="auto"/>
        </w:rPr>
        <w:t>facility operations and privatization business (sold in 1997) as discontinued</w:t>
      </w:r>
    </w:p>
    <w:p>
      <w:pPr>
        <w:ind w:left="10"/>
        <w:spacing w:after="0"/>
        <w:rPr>
          <w:sz w:val="20"/>
          <w:szCs w:val="20"/>
          <w:color w:val="auto"/>
        </w:rPr>
      </w:pPr>
      <w:r>
        <w:rPr>
          <w:rFonts w:ascii="Courier New" w:cs="Courier New" w:eastAsia="Courier New" w:hAnsi="Courier New"/>
          <w:sz w:val="15"/>
          <w:szCs w:val="15"/>
          <w:color w:val="auto"/>
        </w:rPr>
        <w:t>businesses in 1996. Operating revenues from the discontinued business were</w:t>
      </w:r>
    </w:p>
    <w:p>
      <w:pPr>
        <w:ind w:left="10"/>
        <w:spacing w:after="0" w:line="238" w:lineRule="auto"/>
        <w:rPr>
          <w:sz w:val="20"/>
          <w:szCs w:val="20"/>
          <w:color w:val="auto"/>
        </w:rPr>
      </w:pPr>
      <w:r>
        <w:rPr>
          <w:rFonts w:ascii="Courier New" w:cs="Courier New" w:eastAsia="Courier New" w:hAnsi="Courier New"/>
          <w:sz w:val="15"/>
          <w:szCs w:val="15"/>
          <w:color w:val="auto"/>
        </w:rPr>
        <w:t>$84,800,000 in 1997, and $734,500,000 in 1996. Results of their operations in</w:t>
      </w:r>
    </w:p>
    <w:p>
      <w:pPr>
        <w:ind w:left="10"/>
        <w:spacing w:after="0"/>
        <w:rPr>
          <w:sz w:val="20"/>
          <w:szCs w:val="20"/>
          <w:color w:val="auto"/>
        </w:rPr>
      </w:pPr>
      <w:r>
        <w:rPr>
          <w:rFonts w:ascii="Courier New" w:cs="Courier New" w:eastAsia="Courier New" w:hAnsi="Courier New"/>
          <w:sz w:val="15"/>
          <w:szCs w:val="15"/>
          <w:color w:val="auto"/>
        </w:rPr>
        <w:t>1997 were included in the reserve for loss on disposition provided previously,</w:t>
      </w:r>
    </w:p>
    <w:p>
      <w:pPr>
        <w:ind w:left="10"/>
        <w:spacing w:after="0"/>
        <w:rPr>
          <w:sz w:val="20"/>
          <w:szCs w:val="20"/>
          <w:color w:val="auto"/>
        </w:rPr>
      </w:pPr>
      <w:r>
        <w:rPr>
          <w:rFonts w:ascii="Courier New" w:cs="Courier New" w:eastAsia="Courier New" w:hAnsi="Courier New"/>
          <w:sz w:val="15"/>
          <w:szCs w:val="15"/>
          <w:color w:val="auto"/>
        </w:rPr>
        <w:t>and such results were not material.</w:t>
      </w:r>
    </w:p>
    <w:p>
      <w:pPr>
        <w:spacing w:after="0" w:line="174"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 1997, management reclassified the CWM business back into continuing operations, and classified certain of its sites as operations held for sale. The Rust dispositions were not completed within one year, and accordingly, this business was reclassified back into continuing operations held for sale, at December 31, 1997, though management continued its efforts to market these businesses. Because these business were reclassified to continuing operations, the remaining provision for loss on disposal ($95,000,000 after</w:t>
      </w:r>
    </w:p>
    <w:p>
      <w:pPr>
        <w:spacing w:after="0" w:line="7"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tax -- $87,000,000 related to Rust and $8,000,000 related to CWM) was reversed in discontinued operations and an impairment loss for Rust of $122,200,000 was recorded in continuing operations in the fourth quarter of 1997. Prior year financial statements were restated. The majority of these assets were sold during the second and third quarters of 1998, respectively, for amounts approximately equal to their recorded net book values. Information</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29"/>
          </w:cols>
          <w:pgMar w:left="23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regarding the businesses presented in the consolidated statement of operations as net assets of continuing operations held for sale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7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r>
      <w:tr>
        <w:trPr>
          <w:trHeight w:val="170"/>
        </w:trPr>
        <w:tc>
          <w:tcPr>
            <w:tcW w:w="404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0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0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$238,108</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$350,400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$361,500</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(loss) before tax after minority</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4040" w:type="dxa"/>
            <w:vAlign w:val="bottom"/>
          </w:tcPr>
          <w:p>
            <w:pPr>
              <w:ind w:left="160"/>
              <w:spacing w:after="0"/>
              <w:rPr>
                <w:sz w:val="20"/>
                <w:szCs w:val="20"/>
                <w:color w:val="auto"/>
              </w:rPr>
            </w:pPr>
            <w:r>
              <w:rPr>
                <w:rFonts w:ascii="Courier New" w:cs="Courier New" w:eastAsia="Courier New" w:hAnsi="Courier New"/>
                <w:sz w:val="15"/>
                <w:szCs w:val="15"/>
                <w:color w:val="auto"/>
                <w:w w:val="99"/>
              </w:rPr>
              <w:t>interest...................................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4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remaining assets and liabilities of these businesses were not material at December 31, 1998. At December 31, 1997, related amounts are included in net assets of continuing operations held for sale (long-term) in the accompanying consolidated balance sheets, and consists of the following (including 73,300,000 of surplus real estate)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Current assets..........................................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$ 118,600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Land, property and equipment and other noncurrent</w:t>
            </w:r>
          </w:p>
        </w:tc>
        <w:tc>
          <w:tcPr>
            <w:tcW w:w="1020" w:type="dxa"/>
            <w:vAlign w:val="bottom"/>
          </w:tcPr>
          <w:p>
            <w:pPr>
              <w:spacing w:after="0"/>
              <w:rPr>
                <w:sz w:val="14"/>
                <w:szCs w:val="1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238,000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Noncurrent liabilities..................................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(161,216)</w:t>
            </w:r>
          </w:p>
        </w:tc>
      </w:tr>
      <w:tr>
        <w:trPr>
          <w:trHeight w:val="170"/>
        </w:trPr>
        <w:tc>
          <w:tcPr>
            <w:tcW w:w="50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Net assets of continuing operations held for sale.......</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$ 154,384</w:t>
            </w:r>
          </w:p>
        </w:tc>
      </w:tr>
      <w:tr>
        <w:trPr>
          <w:trHeight w:val="170"/>
        </w:trPr>
        <w:tc>
          <w:tcPr>
            <w:tcW w:w="50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DATA, UNAUDITED</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table summarizes the unaudited consolidated quarterly results of operations for 1998 and 1997 (in thousands, except per share amounts):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FIRST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SECOND</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THIRD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FOURTH</w:t>
            </w:r>
          </w:p>
        </w:tc>
      </w:tr>
      <w:tr>
        <w:trPr>
          <w:trHeight w:val="170"/>
        </w:trPr>
        <w:tc>
          <w:tcPr>
            <w:tcW w:w="33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QUARTER</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QUARTER</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QUARTER</w:t>
            </w:r>
          </w:p>
        </w:tc>
      </w:tr>
      <w:tr>
        <w:trPr>
          <w:trHeight w:val="170"/>
        </w:trPr>
        <w:tc>
          <w:tcPr>
            <w:tcW w:w="334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jc w:val="right"/>
              <w:ind w:right="2927"/>
              <w:spacing w:after="0"/>
              <w:rPr>
                <w:sz w:val="20"/>
                <w:szCs w:val="20"/>
                <w:color w:val="auto"/>
              </w:rPr>
            </w:pPr>
            <w:r>
              <w:rPr>
                <w:rFonts w:ascii="Courier New" w:cs="Courier New" w:eastAsia="Courier New" w:hAnsi="Courier New"/>
                <w:sz w:val="15"/>
                <w:szCs w:val="15"/>
                <w:color w:val="auto"/>
                <w:w w:val="88"/>
              </w:rPr>
              <w:t>1998</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$2,969,433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$3,250,731</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$3,244,201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$3,239,104</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Operating income(loss).............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452,248</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569,247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(1,545,744)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363,860</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181,416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246,770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(1,258,473)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63,485</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181,416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242,870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(1,258,473)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63,485</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Earnings (loss) from continuing</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operations per common share: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0.10</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Earnings (loss) per common share: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0.11</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0.10</w:t>
            </w:r>
          </w:p>
        </w:tc>
      </w:tr>
      <w:tr>
        <w:trPr>
          <w:trHeight w:val="170"/>
        </w:trPr>
        <w:tc>
          <w:tcPr>
            <w:tcW w:w="3340" w:type="dxa"/>
            <w:vAlign w:val="bottom"/>
          </w:tcPr>
          <w:p>
            <w:pPr>
              <w:jc w:val="right"/>
              <w:ind w:right="2927"/>
              <w:spacing w:after="0"/>
              <w:rPr>
                <w:sz w:val="20"/>
                <w:szCs w:val="20"/>
                <w:color w:val="auto"/>
              </w:rPr>
            </w:pPr>
            <w:r>
              <w:rPr>
                <w:rFonts w:ascii="Courier New" w:cs="Courier New" w:eastAsia="Courier New" w:hAnsi="Courier New"/>
                <w:sz w:val="15"/>
                <w:szCs w:val="15"/>
                <w:color w:val="auto"/>
                <w:w w:val="88"/>
              </w:rPr>
              <w:t>1997</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revenues.................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$2,699,541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$3,031,015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$3,154,383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$3,087,559</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 income(loss).............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337,229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471,707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284,836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(1,327,681)</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170,419</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137,117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56,511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(1,389,885)</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171,066</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144,678</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50,422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(1,305,061)</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Earnings (loss) from continuing</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operations per common share: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0.24</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340" w:type="dxa"/>
            <w:vAlign w:val="bottom"/>
          </w:tcPr>
          <w:p>
            <w:pPr>
              <w:ind w:left="160"/>
              <w:spacing w:after="0"/>
              <w:rPr>
                <w:sz w:val="20"/>
                <w:szCs w:val="20"/>
                <w:color w:val="auto"/>
              </w:rPr>
            </w:pPr>
            <w:r>
              <w:rPr>
                <w:rFonts w:ascii="Courier New" w:cs="Courier New" w:eastAsia="Courier New" w:hAnsi="Courier New"/>
                <w:sz w:val="15"/>
                <w:szCs w:val="15"/>
                <w:color w:val="auto"/>
              </w:rPr>
              <w:t>Earnings (loss) per common share:</w:t>
            </w: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Basic...........................</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0.26</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0"/>
        </w:trPr>
        <w:tc>
          <w:tcPr>
            <w:tcW w:w="3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Diluted.........................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0.30</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0.25</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bl>
    <w:p>
      <w:pPr>
        <w:spacing w:after="0" w:line="200" w:lineRule="exact"/>
        <w:rPr>
          <w:sz w:val="20"/>
          <w:szCs w:val="20"/>
          <w:color w:val="auto"/>
        </w:rPr>
      </w:pPr>
    </w:p>
    <w:p>
      <w:pPr>
        <w:sectPr>
          <w:pgSz w:w="11900" w:h="16838" w:orient="portrait"/>
          <w:cols w:equalWidth="0" w:num="1">
            <w:col w:w="10219"/>
          </w:cols>
          <w:pgMar w:left="240" w:top="283" w:right="1440" w:bottom="1440" w:gutter="0" w:footer="0" w:header="0"/>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83" w:right="1440" w:bottom="1440" w:gutter="0" w:footer="0" w:header="0"/>
          <w:type w:val="continuous"/>
        </w:sectPr>
      </w:pPr>
    </w:p>
    <w:bookmarkStart w:id="103" w:name="page104"/>
    <w:bookmarkEnd w:id="103"/>
    <w:p>
      <w:pPr>
        <w:ind w:left="270"/>
        <w:spacing w:after="0"/>
        <w:rPr>
          <w:sz w:val="20"/>
          <w:szCs w:val="20"/>
          <w:color w:val="auto"/>
        </w:rPr>
      </w:pPr>
      <w:r>
        <w:rPr>
          <w:rFonts w:ascii="Courier New" w:cs="Courier New" w:eastAsia="Courier New" w:hAnsi="Courier New"/>
          <w:sz w:val="15"/>
          <w:szCs w:val="15"/>
          <w:color w:val="auto"/>
        </w:rPr>
        <w:t>102</w:t>
      </w: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Amounts presented above are restated for certain pooling of interests transactions as discussed in Note 3, and are different from amounts originally reported. The results of operations for 1998 and 1997 include certain charges for merger costs, asset impairments and unusual items, as disclosed in Notes 3 and 14. In 1998, such charges were $7,602,000, $7,361,000, $2,231,116,000, and $425,229,000 in the first, second, third, and fourth quarters, respectively. Such items charged to expense in the first, second, third and fourth quarters of 1997 were $27,660,000, $52,922,000, $158,113,000 and $1,645,198,000, respectively.</w:t>
      </w:r>
    </w:p>
    <w:p>
      <w:pPr>
        <w:spacing w:after="0" w:line="179" w:lineRule="exact"/>
        <w:rPr>
          <w:sz w:val="20"/>
          <w:szCs w:val="20"/>
          <w:color w:val="auto"/>
        </w:rPr>
      </w:pPr>
    </w:p>
    <w:p>
      <w:pPr>
        <w:ind w:left="170" w:right="8119" w:hanging="170"/>
        <w:spacing w:after="0" w:line="513" w:lineRule="auto"/>
        <w:tabs>
          <w:tab w:leader="none" w:pos="34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Financing Transactions</w:t>
      </w: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 March 1999 the Company called its 5% convertible subordinated debentures (due March 1, 2006). These debentures were subsequently converted into shares of the Company's stock by the debentures holders. If the subordinated debenture conversion occurred on January 1, 1998, diluted earnings per share would have been increased by $0.01 for 1998.</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29"/>
          </w:cols>
          <w:pgMar w:left="23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103</w:t>
      </w:r>
    </w:p>
    <w:p>
      <w:pPr>
        <w:spacing w:after="0" w:line="17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information required by this Item is set forth under the caption "Election of Directors" in the Company's definitive Proxy Statement for its 1999 Annual Meeting of Stockholders, to be filed pursuant to Regulation 14A under the Securities Exchange Act of 1934, as amended (the "1999 Proxy Statement"), and is incorporated herein by reference. Information concerning the executive officers of the Company is set forth above under "Executive Officers of the Registrant."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Executive Compensation" in the 1999 Proxy Statement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Beneficial Ownership of Waste Management Common Stock" in the 1999 Proxy Statement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Certain Relationships and Related Transactions" in the 1999 Proxy Statement and is incorporated herein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101</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FINANCIAL STATEMENT SCHEDULES, EXHIBITS, AND REPORTS ON FORM 8-K.</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(a)(1) Consolidated Financial Statements: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Balance Sheets as of December 31, 1998 and 1997</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Consolidated Statements of Operations for the years ended December 31, 1998, 1997, and 1996</w:t>
      </w:r>
    </w:p>
    <w:p>
      <w:pPr>
        <w:spacing w:after="0" w:line="176"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1998, 1997, and 1996</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December 31, 1998, 1997, and 1996</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Statements of Comprehensive Income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(a)(2) Consolidated Financial Statement Schedules: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All other schedules have been omitted because the required information is not significant or is included in the financial statements or notes thereto, or is 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(a)(3) Exhibits:</w:t>
      </w:r>
    </w:p>
    <w:p>
      <w:pPr>
        <w:spacing w:after="0" w:line="200" w:lineRule="exact"/>
        <w:rPr>
          <w:sz w:val="20"/>
          <w:szCs w:val="20"/>
          <w:color w:val="auto"/>
        </w:rPr>
      </w:pPr>
    </w:p>
    <w:p>
      <w:pPr>
        <w:spacing w:after="0" w:line="308"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154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w:t>
            </w:r>
          </w:p>
        </w:tc>
        <w:tc>
          <w:tcPr>
            <w:tcW w:w="15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and Plan of Merger, dated as of June 22, 1996,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by and among the Registrant, Quatro Acquisition Corp. and</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Sanifill,</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Inc. [Incorporated by reference to Annex A in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the Registrant's Registration Statement on Form S-4, File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 333-08161].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Amendment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No. 1, dated as of July 18, 1996, to Agreement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and Plan of Merger, by and among the Registrant, Quatro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Acquisition Corp. and Sanifill, Inc. [Incorporated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Annex A in the Registrant's Registration</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Statement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on Form S-4, File No. 333-08161].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and Plan of Merger, dated as of April 13, 1997,</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by and among the Registrant, Riviera Acquisition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Corporation and United Waste Systems, Inc. [Incorporated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by reference to Appendix A in the Registrant's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Registration Statement on Form S-4, File No. 333-31979].</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March 10, 1998,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and among</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Dome Merger Subsidiary, Inc.</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and Waste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Management, Inc.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Exhibit 99.1 of the Registrant's Current Report on Form</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8-K dated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March 10,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as of February 16,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1998, by and among the Registrant, C&amp;S Ohio Corp. and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American Waste Services, Inc. [Incorporated by reference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to Exhibit 10.70 to American Waste Services' Current</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Report 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Form 8-K, dated February 6,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as of August 16,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1998, by and among the Registrant, Ocho Acquisition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Corporation and Eastern Environmental Services, Inc.</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[Incorporated by reference to Annex A in the Registrant's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Registration Statement on Form S-4, File No 333-64239].</w:t>
            </w:r>
          </w:p>
        </w:tc>
      </w:tr>
      <w:tr>
        <w:trPr>
          <w:trHeight w:val="509"/>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80" w:type="dxa"/>
            <w:vAlign w:val="bottom"/>
          </w:tcPr>
          <w:p>
            <w:pPr>
              <w:ind w:left="120"/>
              <w:spacing w:after="0"/>
              <w:rPr>
                <w:sz w:val="20"/>
                <w:szCs w:val="20"/>
                <w:color w:val="auto"/>
              </w:rPr>
            </w:pPr>
            <w:r>
              <w:rPr>
                <w:rFonts w:ascii="Courier New" w:cs="Courier New" w:eastAsia="Courier New" w:hAnsi="Courier New"/>
                <w:sz w:val="15"/>
                <w:szCs w:val="15"/>
                <w:color w:val="auto"/>
              </w:rPr>
              <w:t>102</w:t>
            </w:r>
          </w:p>
        </w:tc>
      </w:tr>
    </w:tbl>
    <w:p>
      <w:pPr>
        <w:sectPr>
          <w:pgSz w:w="11900" w:h="16838" w:orient="portrait"/>
          <w:cols w:equalWidth="0" w:num="1">
            <w:col w:w="10219"/>
          </w:cols>
          <w:pgMar w:left="240" w:top="283"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105</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5720" w:type="dxa"/>
            <w:vAlign w:val="bottom"/>
          </w:tcPr>
          <w:p>
            <w:pPr>
              <w:spacing w:after="0"/>
              <w:rPr>
                <w:sz w:val="14"/>
                <w:szCs w:val="1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Scheme of Arrangement between Waste Management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International plc and the Holders of the Scheme Shares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dated September 7, 1998 [Incorporated by reference to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Registrant's Schedule 13E-3 Transaction Statement dated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September 7,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Agreement and Plan of Merger by and among the Registrant,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TransAmerican Acquisition Corp., and TransAmerican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Industries, Inc. dated January 1998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the Registrant's Registration Statement 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Form S-4, File No. 333-49253]</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Agreement and Plan of Merger by and among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Management, Inc., WMI Merger Sub, Inc. and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Technologies Inc. dated December 8, 1997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A of WTI's Proxy Statement 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Schedule 14A filed on March 3,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3.2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Bylaws [Incorporated by reference to Exhibit 3.2 to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Post-Effective Amendment No. 1 to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Specimen Stock Certificate.</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Indenture for Subordinated Debt Securities dated February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 1997, among the Registrant and Texas Commerce Bank</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4.1 of the Registrant's Current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8-K dated February 7, 1997].</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Supplemental Indenture, dated as of August 26, 1997,</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among the Registrant, United Waste Systems, Inc. and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Bankers Trust Company relating to United Waste Systems,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Inc.'s 4 1/2% Convertible Subordinated Notes due June 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2001 [Incorporated by reference to Exhibit 10.2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Registrant's Current Report on Form 8-K dated August 26,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Indenture for Senior Debt Securities dated September 10,</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4.1 of the Registrant's Current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8-K dated September 10, 1997].</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10.1 of the Registrant's Annual report on Form</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10-K for the year ended December 31, 1990].</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and restated.</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Conformed copy of 1996 Stock Option Plan for Non-Employee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Directors, as amended.</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by reference to Exhibit 4.1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Incentive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99.1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on Form S-8, File No. 333-02181].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10.6</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Western Waste Industries 1983 Non-Qualified Stock Option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Plan [Incorporated by reference to Exhibit 99.2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333-02181].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by reference to Exhibit 99.3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Registration Statement on Form S-8, File No. 333-02181].</w:t>
            </w:r>
          </w:p>
        </w:tc>
      </w:tr>
      <w:tr>
        <w:trPr>
          <w:trHeight w:val="509"/>
        </w:trPr>
        <w:tc>
          <w:tcPr>
            <w:tcW w:w="1060" w:type="dxa"/>
            <w:vAlign w:val="bottom"/>
          </w:tcPr>
          <w:p>
            <w:pPr>
              <w:spacing w:after="0"/>
              <w:rPr>
                <w:sz w:val="24"/>
                <w:szCs w:val="24"/>
                <w:color w:val="auto"/>
              </w:rPr>
            </w:pPr>
          </w:p>
        </w:tc>
        <w:tc>
          <w:tcPr>
            <w:tcW w:w="5720" w:type="dxa"/>
            <w:vAlign w:val="bottom"/>
          </w:tcPr>
          <w:p>
            <w:pPr>
              <w:ind w:left="1660"/>
              <w:spacing w:after="0"/>
              <w:rPr>
                <w:sz w:val="20"/>
                <w:szCs w:val="20"/>
                <w:color w:val="auto"/>
              </w:rPr>
            </w:pPr>
            <w:r>
              <w:rPr>
                <w:rFonts w:ascii="Courier New" w:cs="Courier New" w:eastAsia="Courier New" w:hAnsi="Courier New"/>
                <w:sz w:val="15"/>
                <w:szCs w:val="15"/>
                <w:color w:val="auto"/>
              </w:rPr>
              <w:t>103</w:t>
            </w:r>
          </w:p>
        </w:tc>
      </w:tr>
    </w:tbl>
    <w:p>
      <w:pPr>
        <w:sectPr>
          <w:pgSz w:w="11900" w:h="16838" w:orient="portrait"/>
          <w:cols w:equalWidth="0" w:num="1">
            <w:col w:w="9959"/>
          </w:cols>
          <w:pgMar w:left="500" w:top="28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720" w:type="dxa"/>
            <w:vAlign w:val="bottom"/>
          </w:tcPr>
          <w:p>
            <w:pPr>
              <w:spacing w:after="0"/>
              <w:rPr>
                <w:sz w:val="14"/>
                <w:szCs w:val="14"/>
                <w:color w:val="auto"/>
              </w:rPr>
            </w:pP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99.1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333-08161].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99.2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Registration Statement on Form S-8, File No. 333-08161].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A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Proxy Statement for its 1997 Annual</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Meeting of Shareholders].</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WMX Technologies, Inc. 1996 Replacement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Registration Statement on Form S-8,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File No. 333-01325].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Registration Statement on Form S-1,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File No. 33-44849].</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10-K].</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Waste Management, Inc. 1982 Stock Option Plan, as amended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10.3 to Waste Management Holdings' 1988 Annual Report 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Form 10-K].</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10.15</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10.16</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Annual Report on Form 10-K of Chemical Waste Management,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reference to Exhibit 19.04 WTI's Quarterly Report for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quarterly period ended June 30, 1991].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Amendments dated as of September 7, 1990 to the WTI 1988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19.02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10.20</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19.04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19.03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19.01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509"/>
        </w:trPr>
        <w:tc>
          <w:tcPr>
            <w:tcW w:w="1060" w:type="dxa"/>
            <w:vAlign w:val="bottom"/>
          </w:tcPr>
          <w:p>
            <w:pPr>
              <w:spacing w:after="0"/>
              <w:rPr>
                <w:sz w:val="24"/>
                <w:szCs w:val="24"/>
                <w:color w:val="auto"/>
              </w:rPr>
            </w:pPr>
          </w:p>
        </w:tc>
        <w:tc>
          <w:tcPr>
            <w:tcW w:w="5720" w:type="dxa"/>
            <w:vAlign w:val="bottom"/>
          </w:tcPr>
          <w:p>
            <w:pPr>
              <w:ind w:left="1660"/>
              <w:spacing w:after="0"/>
              <w:rPr>
                <w:sz w:val="20"/>
                <w:szCs w:val="20"/>
                <w:color w:val="auto"/>
              </w:rPr>
            </w:pPr>
            <w:r>
              <w:rPr>
                <w:rFonts w:ascii="Courier New" w:cs="Courier New" w:eastAsia="Courier New" w:hAnsi="Courier New"/>
                <w:sz w:val="15"/>
                <w:szCs w:val="15"/>
                <w:color w:val="auto"/>
              </w:rPr>
              <w:t>104</w:t>
            </w:r>
          </w:p>
        </w:tc>
      </w:tr>
    </w:tbl>
    <w:p>
      <w:pPr>
        <w:sectPr>
          <w:pgSz w:w="11900" w:h="16838" w:orient="portrait"/>
          <w:cols w:equalWidth="0" w:num="1">
            <w:col w:w="9959"/>
          </w:cols>
          <w:pgMar w:left="500" w:top="28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107</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10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1000" w:type="dxa"/>
            <w:vAlign w:val="bottom"/>
          </w:tcPr>
          <w:p>
            <w:pPr>
              <w:spacing w:after="0"/>
              <w:rPr>
                <w:sz w:val="14"/>
                <w:szCs w:val="14"/>
                <w:color w:val="auto"/>
              </w:rPr>
            </w:pPr>
          </w:p>
        </w:tc>
        <w:tc>
          <w:tcPr>
            <w:tcW w:w="4720" w:type="dxa"/>
            <w:vAlign w:val="bottom"/>
          </w:tcPr>
          <w:p>
            <w:pPr>
              <w:ind w:left="1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72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10.23</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19.02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10.24</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reference to Exhibit 10.10 of the Registrant's Annual</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10.25</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Exhibit 10.11 of the Registrant's Annual Report on Form</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10.26</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 TransAmerican Waste Industries, Inc. Amended and Restated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Exhibit 99.1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on Form S-8, File No. 333-51975].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10.27</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Director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Exhibit 99.2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on Form S-8, File No. 333-51975].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10.28</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333-70055].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10.29</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 Eastern Environmental Services, Inc. Amended and Restated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Exhibit 4.2 to the Registrant's Registration Statement 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Form S-8, File No. 333-70055].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10.30</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333-70055].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 and its Executive Officers.</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Second Amended and Restated Revolving Credit Agreement,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dated as of July 16, 1998 among the Registrant, Bank of</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America National Trust and Savings Association, Morgan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institutions [Incorporated by reference to Exhibit 10.3</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of the Registrant's Quarterly Report on Form 10-Q/A for</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quarterly period ended June 30, 1998].</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10.33</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Loan Agreement dated as of July 16, 1998, among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 Bank of America National Trust and Savings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Association, Chase Bank of Texas, N.A., Deutsche Bank AG,</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New York Branch, Morgan Guaranty Trust Company of New</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York and other financial institutions [Incorporated by</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reference to Exhibit 10.4 of the Registrant's Quarterly</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Report on Form 10-Q/A for the quarterly period ended June</w:t>
            </w:r>
          </w:p>
        </w:tc>
      </w:tr>
      <w:tr>
        <w:trPr>
          <w:trHeight w:val="170"/>
        </w:trPr>
        <w:tc>
          <w:tcPr>
            <w:tcW w:w="1060" w:type="dxa"/>
            <w:vAlign w:val="bottom"/>
          </w:tcPr>
          <w:p>
            <w:pPr>
              <w:spacing w:after="0"/>
              <w:rPr>
                <w:sz w:val="14"/>
                <w:szCs w:val="14"/>
                <w:color w:val="auto"/>
              </w:rPr>
            </w:pP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30,</w:t>
            </w:r>
          </w:p>
        </w:tc>
        <w:tc>
          <w:tcPr>
            <w:tcW w:w="4720" w:type="dxa"/>
            <w:vAlign w:val="bottom"/>
          </w:tcPr>
          <w:p>
            <w:pPr>
              <w:jc w:val="right"/>
              <w:ind w:right="40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12.1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Computation of Ratio of Earnings to Fixed Charges.</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21.1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Financial Data Schedule.</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27.1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27.2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27.3</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r>
        <w:trPr>
          <w:trHeight w:val="509"/>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20" w:type="dxa"/>
            <w:vAlign w:val="bottom"/>
          </w:tcPr>
          <w:p>
            <w:pPr>
              <w:jc w:val="right"/>
              <w:ind w:right="3707"/>
              <w:spacing w:after="0"/>
              <w:rPr>
                <w:sz w:val="20"/>
                <w:szCs w:val="20"/>
                <w:color w:val="auto"/>
              </w:rPr>
            </w:pPr>
            <w:r>
              <w:rPr>
                <w:rFonts w:ascii="Courier New" w:cs="Courier New" w:eastAsia="Courier New" w:hAnsi="Courier New"/>
                <w:sz w:val="15"/>
                <w:szCs w:val="15"/>
                <w:color w:val="auto"/>
              </w:rPr>
              <w:t>105</w:t>
            </w:r>
          </w:p>
        </w:tc>
      </w:tr>
    </w:tbl>
    <w:p>
      <w:pPr>
        <w:sectPr>
          <w:pgSz w:w="11900" w:h="16838" w:orient="portrait"/>
          <w:cols w:equalWidth="0" w:num="1">
            <w:col w:w="9959"/>
          </w:cols>
          <w:pgMar w:left="500" w:top="283" w:right="1440" w:bottom="1440" w:gutter="0" w:footer="0" w:header="0"/>
        </w:sectPr>
      </w:pPr>
    </w:p>
    <w:bookmarkStart w:id="109" w:name="page110"/>
    <w:bookmarkEnd w:id="109"/>
    <w:p>
      <w:pPr>
        <w:ind w:left="270"/>
        <w:spacing w:after="0"/>
        <w:rPr>
          <w:sz w:val="20"/>
          <w:szCs w:val="20"/>
          <w:color w:val="auto"/>
        </w:rPr>
      </w:pPr>
      <w:r>
        <w:rPr>
          <w:rFonts w:ascii="Courier New" w:cs="Courier New" w:eastAsia="Courier New" w:hAnsi="Courier New"/>
          <w:sz w:val="15"/>
          <w:szCs w:val="15"/>
          <w:color w:val="auto"/>
        </w:rPr>
        <w:t>108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70" w:right="3359" w:hanging="170"/>
        <w:spacing w:after="0" w:line="237" w:lineRule="auto"/>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Exchange Act of 1934, the Registrant's file number under that Act is 1-12154. Waste Management Holdings' file number under the Exchange Act is 1-7327, Chemical Waste Management, Inc.'s file number is 1-9253 and Wheelabrator Technologies Inc.'s file number is 0-14246.</w:t>
      </w:r>
    </w:p>
    <w:p>
      <w:pPr>
        <w:spacing w:after="0" w:line="173"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(b) Reports on Form 8-K:</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During the last quarter of the period covered by this report, the Company filed a Current Report on Form 8-K dated October 8, 1998 to report the Company's public announcement reaffirming its earnings outlook for the second half of 1998 and for 1999.</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29"/>
          </w:cols>
          <w:pgMar w:left="230" w:top="283" w:right="1440" w:bottom="1440" w:gutter="0" w:footer="0" w:header="0"/>
        </w:sectPr>
      </w:pPr>
    </w:p>
    <w:bookmarkStart w:id="110" w:name="page111"/>
    <w:bookmarkEnd w:id="110"/>
    <w:p>
      <w:pPr>
        <w:ind w:left="270"/>
        <w:spacing w:after="0"/>
        <w:rPr>
          <w:sz w:val="20"/>
          <w:szCs w:val="20"/>
          <w:color w:val="auto"/>
        </w:rPr>
      </w:pPr>
      <w:r>
        <w:rPr>
          <w:rFonts w:ascii="Courier New" w:cs="Courier New" w:eastAsia="Courier New" w:hAnsi="Courier New"/>
          <w:sz w:val="15"/>
          <w:szCs w:val="15"/>
          <w:color w:val="auto"/>
        </w:rPr>
        <w:t>109</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3870"/>
        <w:spacing w:after="0"/>
        <w:tabs>
          <w:tab w:leader="none" w:pos="46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JOHN E. DRURY</w:t>
      </w:r>
    </w:p>
    <w:p>
      <w:pPr>
        <w:ind w:left="4050"/>
        <w:spacing w:after="0"/>
        <w:rPr>
          <w:sz w:val="20"/>
          <w:szCs w:val="20"/>
          <w:color w:val="auto"/>
        </w:rPr>
      </w:pPr>
      <w:r>
        <w:rPr>
          <w:rFonts w:ascii="Courier New" w:cs="Courier New" w:eastAsia="Courier New" w:hAnsi="Courier New"/>
          <w:sz w:val="15"/>
          <w:szCs w:val="15"/>
          <w:color w:val="auto"/>
        </w:rPr>
        <w:t>----------------------------------</w:t>
      </w:r>
    </w:p>
    <w:p>
      <w:pPr>
        <w:ind w:left="4930"/>
        <w:spacing w:after="0"/>
        <w:rPr>
          <w:sz w:val="20"/>
          <w:szCs w:val="20"/>
          <w:color w:val="auto"/>
        </w:rPr>
      </w:pPr>
      <w:r>
        <w:rPr>
          <w:rFonts w:ascii="Courier New" w:cs="Courier New" w:eastAsia="Courier New" w:hAnsi="Courier New"/>
          <w:sz w:val="15"/>
          <w:szCs w:val="15"/>
          <w:color w:val="auto"/>
        </w:rPr>
        <w:t>John E. Drury,</w:t>
      </w:r>
    </w:p>
    <w:p>
      <w:pPr>
        <w:ind w:left="449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March 30, 1999</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SIGNATURE</w:t>
            </w:r>
          </w:p>
        </w:tc>
        <w:tc>
          <w:tcPr>
            <w:tcW w:w="3180" w:type="dxa"/>
            <w:vAlign w:val="bottom"/>
          </w:tcPr>
          <w:p>
            <w:pPr>
              <w:ind w:left="1240"/>
              <w:spacing w:after="0"/>
              <w:rPr>
                <w:sz w:val="20"/>
                <w:szCs w:val="20"/>
                <w:color w:val="auto"/>
              </w:rPr>
            </w:pPr>
            <w:r>
              <w:rPr>
                <w:rFonts w:ascii="Courier New" w:cs="Courier New" w:eastAsia="Courier New" w:hAnsi="Courier New"/>
                <w:sz w:val="15"/>
                <w:szCs w:val="15"/>
                <w:color w:val="auto"/>
              </w:rPr>
              <w:t>TITLE</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JOHN E. DRURY</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Chief Executive Officer and</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Director (Principal Executive</w:t>
            </w:r>
          </w:p>
        </w:tc>
        <w:tc>
          <w:tcPr>
            <w:tcW w:w="1400" w:type="dxa"/>
            <w:vAlign w:val="bottom"/>
          </w:tcPr>
          <w:p>
            <w:pPr>
              <w:spacing w:after="0"/>
              <w:rPr>
                <w:sz w:val="14"/>
                <w:szCs w:val="14"/>
                <w:color w:val="auto"/>
              </w:rPr>
            </w:pPr>
          </w:p>
        </w:tc>
      </w:tr>
      <w:tr>
        <w:trPr>
          <w:trHeight w:val="170"/>
        </w:trPr>
        <w:tc>
          <w:tcPr>
            <w:tcW w:w="4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John E. Drury</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400" w:type="dxa"/>
            <w:vAlign w:val="bottom"/>
          </w:tcPr>
          <w:p>
            <w:pPr>
              <w:spacing w:after="0"/>
              <w:rPr>
                <w:sz w:val="14"/>
                <w:szCs w:val="14"/>
                <w:color w:val="auto"/>
              </w:rPr>
            </w:pPr>
          </w:p>
        </w:tc>
      </w:tr>
      <w:tr>
        <w:trPr>
          <w:trHeight w:val="339"/>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 RODNEY R. PROTO</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President, Chief Operating Officer</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and Director</w:t>
            </w:r>
          </w:p>
        </w:tc>
        <w:tc>
          <w:tcPr>
            <w:tcW w:w="1400" w:type="dxa"/>
            <w:vAlign w:val="bottom"/>
          </w:tcPr>
          <w:p>
            <w:pPr>
              <w:spacing w:after="0"/>
              <w:rPr>
                <w:sz w:val="14"/>
                <w:szCs w:val="14"/>
                <w:color w:val="auto"/>
              </w:rPr>
            </w:pPr>
          </w:p>
        </w:tc>
      </w:t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Rodney R. Proto</w:t>
            </w:r>
          </w:p>
        </w:tc>
        <w:tc>
          <w:tcPr>
            <w:tcW w:w="3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EARL E. DEFRATES</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Executive Vice President and Chief</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Financial Officer (Principal</w:t>
            </w:r>
          </w:p>
        </w:tc>
        <w:tc>
          <w:tcPr>
            <w:tcW w:w="140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Earl E. DeFrates</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1400" w:type="dxa"/>
            <w:vAlign w:val="bottom"/>
          </w:tcPr>
          <w:p>
            <w:pPr>
              <w:spacing w:after="0"/>
              <w:rPr>
                <w:sz w:val="14"/>
                <w:szCs w:val="14"/>
                <w:color w:val="auto"/>
              </w:rPr>
            </w:pPr>
          </w:p>
        </w:tc>
      </w:tr>
      <w:tr>
        <w:trPr>
          <w:trHeight w:val="339"/>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 BRUCE E. SNYDER</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Vice President and Chief</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3180" w:type="dxa"/>
            <w:vAlign w:val="bottom"/>
          </w:tcPr>
          <w:p>
            <w:pPr>
              <w:ind w:left="360"/>
              <w:spacing w:after="0"/>
              <w:rPr>
                <w:sz w:val="20"/>
                <w:szCs w:val="20"/>
                <w:color w:val="auto"/>
              </w:rPr>
            </w:pPr>
            <w:r>
              <w:rPr>
                <w:rFonts w:ascii="Courier New" w:cs="Courier New" w:eastAsia="Courier New" w:hAnsi="Courier New"/>
                <w:sz w:val="15"/>
                <w:szCs w:val="15"/>
                <w:color w:val="auto"/>
              </w:rPr>
              <w:t>Accounting Officer (Principal</w:t>
            </w:r>
          </w:p>
        </w:tc>
        <w:tc>
          <w:tcPr>
            <w:tcW w:w="1400" w:type="dxa"/>
            <w:vAlign w:val="bottom"/>
          </w:tcPr>
          <w:p>
            <w:pPr>
              <w:spacing w:after="0"/>
              <w:rPr>
                <w:sz w:val="14"/>
                <w:szCs w:val="14"/>
                <w:color w:val="auto"/>
              </w:rPr>
            </w:pPr>
          </w:p>
        </w:tc>
      </w:t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Bruce E. Snyder</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140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H. JESSE ARNELLE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March 30, 1999</w:t>
            </w:r>
          </w:p>
        </w:tc>
      </w:tr>
    </w:tbl>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 Jesse Arnelle</w:t>
      </w:r>
    </w:p>
    <w:p>
      <w:pPr>
        <w:spacing w:after="0" w:line="169" w:lineRule="exact"/>
        <w:rPr>
          <w:sz w:val="20"/>
          <w:szCs w:val="20"/>
          <w:color w:val="auto"/>
        </w:rPr>
      </w:pPr>
    </w:p>
    <w:p>
      <w:pPr>
        <w:jc w:val="right"/>
        <w:ind w:right="799"/>
        <w:spacing w:after="0"/>
        <w:tabs>
          <w:tab w:leader="none" w:pos="4560" w:val="left"/>
          <w:tab w:leader="none" w:pos="1220" w:val="left"/>
        </w:tabs>
        <w:rPr>
          <w:sz w:val="20"/>
          <w:szCs w:val="20"/>
          <w:color w:val="auto"/>
        </w:rPr>
      </w:pPr>
      <w:r>
        <w:rPr>
          <w:rFonts w:ascii="Courier New" w:cs="Courier New" w:eastAsia="Courier New" w:hAnsi="Courier New"/>
          <w:sz w:val="15"/>
          <w:szCs w:val="15"/>
          <w:color w:val="auto"/>
        </w:rPr>
        <w:t>/s/ PASTORA SAN JUAN CAFFERTY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30, 1999</w:t>
      </w: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Pastora San Juan Cafferty</w:t>
      </w:r>
    </w:p>
    <w:p>
      <w:pPr>
        <w:spacing w:after="0" w:line="169" w:lineRule="exact"/>
        <w:rPr>
          <w:sz w:val="20"/>
          <w:szCs w:val="20"/>
          <w:color w:val="auto"/>
        </w:rPr>
      </w:pPr>
    </w:p>
    <w:p>
      <w:pPr>
        <w:jc w:val="right"/>
        <w:ind w:right="799"/>
        <w:spacing w:after="0"/>
        <w:tabs>
          <w:tab w:leader="none" w:pos="4560" w:val="left"/>
          <w:tab w:leader="none" w:pos="1220" w:val="left"/>
        </w:tabs>
        <w:rPr>
          <w:sz w:val="20"/>
          <w:szCs w:val="20"/>
          <w:color w:val="auto"/>
        </w:rPr>
      </w:pPr>
      <w:r>
        <w:rPr>
          <w:rFonts w:ascii="Courier New" w:cs="Courier New" w:eastAsia="Courier New" w:hAnsi="Courier New"/>
          <w:sz w:val="15"/>
          <w:szCs w:val="15"/>
          <w:color w:val="auto"/>
        </w:rPr>
        <w:t>/s/ RALPH F. COX</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30, 1999</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Ralph F. Cox</w:t>
      </w:r>
    </w:p>
    <w:p>
      <w:pPr>
        <w:spacing w:after="0" w:line="169" w:lineRule="exact"/>
        <w:rPr>
          <w:sz w:val="20"/>
          <w:szCs w:val="20"/>
          <w:color w:val="auto"/>
        </w:rPr>
      </w:pPr>
    </w:p>
    <w:p>
      <w:pPr>
        <w:jc w:val="right"/>
        <w:ind w:right="799"/>
        <w:spacing w:after="0"/>
        <w:tabs>
          <w:tab w:leader="none" w:pos="4560" w:val="left"/>
          <w:tab w:leader="none" w:pos="1220"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30, 1999</w:t>
      </w:r>
    </w:p>
    <w:p>
      <w:pPr>
        <w:ind w:left="170" w:hanging="170"/>
        <w:spacing w:after="0"/>
        <w:tabs>
          <w:tab w:leader="none" w:pos="1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J. Heckmann</w:t>
      </w:r>
    </w:p>
    <w:p>
      <w:pPr>
        <w:spacing w:after="0" w:line="169" w:lineRule="exact"/>
        <w:rPr>
          <w:sz w:val="20"/>
          <w:szCs w:val="20"/>
          <w:color w:val="auto"/>
        </w:rPr>
      </w:pPr>
    </w:p>
    <w:p>
      <w:pPr>
        <w:jc w:val="right"/>
        <w:ind w:right="799"/>
        <w:spacing w:after="0"/>
        <w:tabs>
          <w:tab w:leader="none" w:pos="4560" w:val="left"/>
          <w:tab w:leader="none" w:pos="1220" w:val="left"/>
        </w:tabs>
        <w:rPr>
          <w:sz w:val="20"/>
          <w:szCs w:val="20"/>
          <w:color w:val="auto"/>
        </w:rPr>
      </w:pPr>
      <w:r>
        <w:rPr>
          <w:rFonts w:ascii="Courier New" w:cs="Courier New" w:eastAsia="Courier New" w:hAnsi="Courier New"/>
          <w:sz w:val="15"/>
          <w:szCs w:val="15"/>
          <w:color w:val="auto"/>
        </w:rPr>
        <w:t>/s/ RODERICK M. HILLS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30, 1999</w:t>
      </w:r>
    </w:p>
    <w:p>
      <w:pPr>
        <w:ind w:left="170" w:hanging="170"/>
        <w:spacing w:after="0"/>
        <w:tabs>
          <w:tab w:leader="none" w:pos="17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Roderick M. Hills</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29"/>
          </w:cols>
          <w:pgMar w:left="230" w:top="283"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4840" w:type="dxa"/>
            <w:vAlign w:val="bottom"/>
          </w:tcPr>
          <w:p>
            <w:pPr>
              <w:jc w:val="right"/>
              <w:ind w:right="4247"/>
              <w:spacing w:after="0"/>
              <w:rPr>
                <w:sz w:val="20"/>
                <w:szCs w:val="20"/>
                <w:color w:val="auto"/>
              </w:rPr>
            </w:pPr>
            <w:r>
              <w:rPr>
                <w:rFonts w:ascii="Courier New" w:cs="Courier New" w:eastAsia="Courier New" w:hAnsi="Courier New"/>
                <w:sz w:val="15"/>
                <w:szCs w:val="15"/>
                <w:color w:val="auto"/>
              </w:rPr>
              <w:t>110</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678"/>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SIGNATURE</w:t>
            </w:r>
          </w:p>
        </w:tc>
        <w:tc>
          <w:tcPr>
            <w:tcW w:w="2960" w:type="dxa"/>
            <w:vAlign w:val="bottom"/>
          </w:tcPr>
          <w:p>
            <w:pPr>
              <w:ind w:left="1240"/>
              <w:spacing w:after="0"/>
              <w:rPr>
                <w:sz w:val="20"/>
                <w:szCs w:val="20"/>
                <w:color w:val="auto"/>
              </w:rPr>
            </w:pPr>
            <w:r>
              <w:rPr>
                <w:rFonts w:ascii="Courier New" w:cs="Courier New" w:eastAsia="Courier New" w:hAnsi="Courier New"/>
                <w:sz w:val="15"/>
                <w:szCs w:val="15"/>
                <w:color w:val="auto"/>
              </w:rPr>
              <w:t>TITLE</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9"/>
              </w:rPr>
              <w:t>DATE</w:t>
            </w:r>
          </w:p>
        </w:tc>
      </w:t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w:t>
            </w:r>
          </w:p>
        </w:tc>
        <w:tc>
          <w:tcPr>
            <w:tcW w:w="29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 RICHARD D. KINDER</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Richard D. Kinder</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ROBERT S. MILLER</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Non-Executive Chairman of the</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ind w:left="360"/>
              <w:spacing w:after="0"/>
              <w:rPr>
                <w:sz w:val="20"/>
                <w:szCs w:val="20"/>
                <w:color w:val="auto"/>
              </w:rPr>
            </w:pPr>
            <w:r>
              <w:rPr>
                <w:rFonts w:ascii="Courier New" w:cs="Courier New" w:eastAsia="Courier New" w:hAnsi="Courier New"/>
                <w:sz w:val="15"/>
                <w:szCs w:val="15"/>
                <w:color w:val="auto"/>
              </w:rPr>
              <w:t>Board and Director</w:t>
            </w: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Robert S. Miller</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PAUL M. MONTRONE</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Paul M. Montrone</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JOHN C. POPE</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John C. Pope</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/s/ STEVEN G. ROTHMEIER</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Steven G. Rothmeier</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RALPH V. WHITWORTH</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Ralph V. Whitworth</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/s/ JEROME B. YORK</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8"/>
              </w:rPr>
              <w:t>March 30, 1999</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Jerome B. York</w:t>
            </w:r>
          </w:p>
        </w:tc>
        <w:tc>
          <w:tcPr>
            <w:tcW w:w="2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09"/>
        </w:trPr>
        <w:tc>
          <w:tcPr>
            <w:tcW w:w="48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108</w:t>
            </w:r>
          </w:p>
        </w:tc>
        <w:tc>
          <w:tcPr>
            <w:tcW w:w="29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112" w:name="page113"/>
    <w:bookmarkEnd w:id="112"/>
    <w:p>
      <w:pPr>
        <w:ind w:left="270"/>
        <w:spacing w:after="0"/>
        <w:rPr>
          <w:sz w:val="20"/>
          <w:szCs w:val="20"/>
          <w:color w:val="auto"/>
        </w:rPr>
      </w:pPr>
      <w:r>
        <w:rPr>
          <w:rFonts w:ascii="Courier New" w:cs="Courier New" w:eastAsia="Courier New" w:hAnsi="Courier New"/>
          <w:sz w:val="15"/>
          <w:szCs w:val="15"/>
          <w:color w:val="auto"/>
        </w:rPr>
        <w:t>111</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5"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financial statements of Waste Management, Inc. and Subsidiaries included in this Annual Report on Form 10-K and have issued our report thereon dated February 25, 1999, in which we expressed an unqualified opinion based upon our audits and the report of other auditors. Our audit was made for the purpose of forming an opinion on the basic financial statements taken as a whole. Schedule</w:t>
      </w:r>
    </w:p>
    <w:p>
      <w:pPr>
        <w:spacing w:after="0" w:line="2" w:lineRule="exact"/>
        <w:rPr>
          <w:sz w:val="20"/>
          <w:szCs w:val="20"/>
          <w:color w:val="auto"/>
        </w:rPr>
      </w:pPr>
    </w:p>
    <w:p>
      <w:pPr>
        <w:ind w:left="10" w:right="3179" w:hanging="10"/>
        <w:spacing w:after="0" w:line="238" w:lineRule="auto"/>
        <w:tabs>
          <w:tab w:leader="none" w:pos="27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responsibility of the Company's management and is presented for purposes of complying with the Securities and Exchange Commission's rules and is not part of the basic financial statements. Schedule II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Houston, Texas</w:t>
      </w:r>
    </w:p>
    <w:p>
      <w:pPr>
        <w:ind w:left="10"/>
        <w:spacing w:after="0"/>
        <w:rPr>
          <w:sz w:val="20"/>
          <w:szCs w:val="20"/>
          <w:color w:val="auto"/>
        </w:rPr>
      </w:pPr>
      <w:r>
        <w:rPr>
          <w:rFonts w:ascii="Courier New" w:cs="Courier New" w:eastAsia="Courier New" w:hAnsi="Courier New"/>
          <w:sz w:val="15"/>
          <w:szCs w:val="15"/>
          <w:color w:val="auto"/>
        </w:rPr>
        <w:t>February 25, 1999</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9"/>
          </w:cols>
          <w:pgMar w:left="230" w:top="283"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170"/>
        </w:trPr>
        <w:tc>
          <w:tcPr>
            <w:tcW w:w="2420" w:type="dxa"/>
            <w:vAlign w:val="bottom"/>
            <w:gridSpan w:val="2"/>
          </w:tcPr>
          <w:p>
            <w:pPr>
              <w:jc w:val="right"/>
              <w:ind w:right="1827"/>
              <w:spacing w:after="0"/>
              <w:rPr>
                <w:sz w:val="20"/>
                <w:szCs w:val="20"/>
                <w:color w:val="auto"/>
              </w:rPr>
            </w:pPr>
            <w:r>
              <w:rPr>
                <w:rFonts w:ascii="Courier New" w:cs="Courier New" w:eastAsia="Courier New" w:hAnsi="Courier New"/>
                <w:sz w:val="15"/>
                <w:szCs w:val="15"/>
                <w:color w:val="auto"/>
              </w:rPr>
              <w:t>112</w:t>
            </w:r>
          </w:p>
        </w:tc>
        <w:tc>
          <w:tcPr>
            <w:tcW w:w="2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9"/>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WASTE MANAGEMENT, INC.</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380" w:type="dxa"/>
            <w:vAlign w:val="bottom"/>
          </w:tcPr>
          <w:p>
            <w:pPr>
              <w:spacing w:after="0"/>
              <w:rPr>
                <w:sz w:val="24"/>
                <w:szCs w:val="24"/>
                <w:color w:val="auto"/>
              </w:rPr>
            </w:pPr>
          </w:p>
        </w:tc>
        <w:tc>
          <w:tcPr>
            <w:tcW w:w="52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CONSOLIDATED FINANCIAL STATEMENT SCHEDULE</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(IN THOUSANDS)</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9"/>
        </w:trPr>
        <w:tc>
          <w:tcPr>
            <w:tcW w:w="380" w:type="dxa"/>
            <w:vAlign w:val="bottom"/>
          </w:tcPr>
          <w:p>
            <w:pPr>
              <w:spacing w:after="0"/>
              <w:rPr>
                <w:sz w:val="24"/>
                <w:szCs w:val="24"/>
                <w:color w:val="auto"/>
              </w:rPr>
            </w:pPr>
          </w:p>
        </w:tc>
        <w:tc>
          <w:tcPr>
            <w:tcW w:w="2040" w:type="dxa"/>
            <w:vAlign w:val="bottom"/>
          </w:tcPr>
          <w:p>
            <w:pPr>
              <w:ind w:left="1020"/>
              <w:spacing w:after="0"/>
              <w:rPr>
                <w:sz w:val="20"/>
                <w:szCs w:val="20"/>
                <w:color w:val="auto"/>
              </w:rPr>
            </w:pPr>
            <w:r>
              <w:rPr>
                <w:rFonts w:ascii="Courier New" w:cs="Courier New" w:eastAsia="Courier New" w:hAnsi="Courier New"/>
                <w:sz w:val="15"/>
                <w:szCs w:val="15"/>
                <w:color w:val="auto"/>
              </w:rPr>
              <w:t>SCHEDULE II</w:t>
            </w: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VALUATION AND QUALIFYING ACCOUNTS</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78"/>
        </w:trPr>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7"/>
              </w:rPr>
              <w:t>ACCOUNTS</w:t>
            </w:r>
          </w:p>
        </w:tc>
        <w:tc>
          <w:tcPr>
            <w:tcW w:w="9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EFFECT OF</w:t>
            </w:r>
          </w:p>
        </w:tc>
        <w:tc>
          <w:tcPr>
            <w:tcW w:w="8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BALANCE</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CHARGED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WRITTEN OFF/</w:t>
            </w:r>
          </w:p>
        </w:tc>
        <w:tc>
          <w:tcPr>
            <w:tcW w:w="9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FOREIGN</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BALANCE</w:t>
            </w:r>
          </w:p>
        </w:tc>
      </w:tr>
      <w:tr>
        <w:trPr>
          <w:trHeight w:val="170"/>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BEGINNING</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USE OF</w:t>
            </w:r>
          </w:p>
        </w:tc>
        <w:tc>
          <w:tcPr>
            <w:tcW w:w="96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CURRENCY</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 OF</w:t>
            </w:r>
          </w:p>
        </w:tc>
      </w:tr>
      <w:tr>
        <w:trPr>
          <w:trHeight w:val="170"/>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OF YEAR</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RESERVE</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OTHER(A)</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TRANSLATION</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1996</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Reserve for doubtful accounts(B)(C).......</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$ 84,615</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$ 60,505</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(74,507)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$6,294</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$ 76,662</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Reserve for doubtful accounts(B)(C).......</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76,662</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69,592</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(56,586)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7,336</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94,399</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Reserve for doubtful accounts(B)(C).......</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94,399</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70,727</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(51,657)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4,164</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118,917</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1996</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Merger and restructuring accruals(D)......</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28,936</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106,600</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(65,693)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69,843</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1997</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Merger and restructuring accruals(D)......</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69,843</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160,528</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(109,039)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121,332</w:t>
            </w:r>
          </w:p>
        </w:tc>
      </w:tr>
      <w:tr>
        <w:trPr>
          <w:trHeight w:val="170"/>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1998</w:t>
            </w:r>
          </w:p>
        </w:tc>
        <w:tc>
          <w:tcPr>
            <w:tcW w:w="4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Merger and restructuring accruals(D)......</w:t>
            </w:r>
          </w:p>
        </w:tc>
        <w:tc>
          <w:tcPr>
            <w:tcW w:w="11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121,332</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675,200</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(536,401)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261,237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4060" w:hanging="450"/>
        <w:spacing w:after="0" w:line="235"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doubtful accounts of business combinations accounted for as purchases.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reserves for doubtful long-term notes receivable.</w:t>
      </w:r>
    </w:p>
    <w:p>
      <w:pPr>
        <w:spacing w:after="0" w:line="16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discontinued operations.</w:t>
      </w:r>
    </w:p>
    <w:p>
      <w:pPr>
        <w:spacing w:after="0" w:line="174" w:lineRule="exact"/>
        <w:rPr>
          <w:rFonts w:ascii="Courier New" w:cs="Courier New" w:eastAsia="Courier New" w:hAnsi="Courier New"/>
          <w:sz w:val="15"/>
          <w:szCs w:val="15"/>
          <w:color w:val="auto"/>
        </w:rPr>
      </w:pPr>
    </w:p>
    <w:p>
      <w:pPr>
        <w:ind w:left="450" w:right="3980" w:hanging="450"/>
        <w:spacing w:after="0" w:line="237"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 are included in accrued liabilities and other liabilities. These accruals represent transaction or deal costs, employee severance, separation and transitional costs and restructuring charges.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850"/>
          </w:cols>
          <w:pgMar w:left="230" w:top="283" w:right="819"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113</w:t>
      </w:r>
    </w:p>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72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INDEX TO EXHIBITS</w:t>
            </w:r>
          </w:p>
        </w:tc>
      </w:tr>
      <w:tr>
        <w:trPr>
          <w:trHeight w:val="678"/>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15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w:t>
            </w:r>
          </w:p>
        </w:tc>
        <w:tc>
          <w:tcPr>
            <w:tcW w:w="15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1540" w:type="dxa"/>
            <w:vAlign w:val="bottom"/>
          </w:tcPr>
          <w:p>
            <w:pPr>
              <w:spacing w:after="0"/>
              <w:rPr>
                <w:sz w:val="14"/>
                <w:szCs w:val="1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and Plan of Merger, dated as of June 22, 1996,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by and among the Registrant, Quatro Acquisition Corp. and</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Sanifill,</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Inc. [Incorporated by reference to Annex A in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the Registrant's Registration Statement on Form S-4, File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No. 333-08161].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Amendment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No. 1, dated as of July 18, 1996, to Agreement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and Plan of Merger, by and among the Registrant, Quatro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Acquisition Corp. and Sanifill, Inc. [Incorporated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Annex A in the Registrant's Registration</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Statement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on Form S-4, File No. 333-08161].</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and Plan of Merger, dated as of April 13, 1997,</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by and among the Registrant, Riviera Acquisition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Corporation and United Waste Systems, Inc. [Incorporated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by reference to Appendix A in the Registrant's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Registration Statement on Form S-4, File No. 333-31979].</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2.4</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March 10, 1998,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and among</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Dome Merger Subsidiary, Inc.</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and Waste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Management, Inc. [Incorporated by reference to</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Exhibit 99.1 of the Registrant's Current Report on Form</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8-K dated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March 10,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as of February 16,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1998, by and among the Registrant, C&amp;S Ohio Corp. and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American Waste Services, Inc. [Incorporated by reference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to Exhibit 10.70 to American Waste Services' Current</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Report 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Form 8-K, dated February 6,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dated as of August 16,</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1998, by and among the Registrant, Ocho Acquisition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Corporation and Eastern Environmental Services, Inc.</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[Incorporated by reference to Annex A in the Registrant's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Registration Statement on Form S-4, File No 333-64239].</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Scheme 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Arrangement between Waste Management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International plc and the Holders of the Scheme Shares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dated September 7, 1998 [Incorporated by reference to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Registrant's Schedule 13E-3 Transaction Statement dated</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September</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7,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and Plan of Merger by and among the Registrant,</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TransAmerican Acquisition Corp., and TransAmerican Waste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Industries, Inc. dated January 1998 [Incorporated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the Registrant's Registration Statement on</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Form S-4,</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File No. 333-49253]</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2.9</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Agreement</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Plan of Merger by and among Waste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Management, Inc., WMI Merger Sub, Inc. and Wheelabrator</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Technologies Inc. dated December 8, 1997 [Incorporated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Exhibit A of WTI's Proxy Statement on</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Schedule 14A filed on March 3, 1998]</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Certificate of Incorporation, as amended</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[Incorporated by reference to Exhibit 3.2 of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Registrant's current Report on Form 8-K dated July 16,</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1998].</w:t>
            </w:r>
          </w:p>
        </w:tc>
        <w:tc>
          <w:tcPr>
            <w:tcW w:w="4180" w:type="dxa"/>
            <w:vAlign w:val="bottom"/>
          </w:tcPr>
          <w:p>
            <w:pPr>
              <w:spacing w:after="0"/>
              <w:rPr>
                <w:sz w:val="14"/>
                <w:szCs w:val="1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Bylaws [Incorporated by reference to Exhibit 3.2 to the</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Post-Effective Amendment No. 1 to the Registrant's</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Registration Statement on Form S-4, File No. 33-60103].</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Specimen Stock Certificate.</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w:t>
            </w:r>
          </w:p>
        </w:tc>
        <w:tc>
          <w:tcPr>
            <w:tcW w:w="1540" w:type="dxa"/>
            <w:vAlign w:val="bottom"/>
          </w:tcPr>
          <w:p>
            <w:pPr>
              <w:ind w:left="440"/>
              <w:spacing w:after="0"/>
              <w:rPr>
                <w:sz w:val="20"/>
                <w:szCs w:val="20"/>
                <w:color w:val="auto"/>
              </w:rPr>
            </w:pPr>
            <w:r>
              <w:rPr>
                <w:rFonts w:ascii="Courier New" w:cs="Courier New" w:eastAsia="Courier New" w:hAnsi="Courier New"/>
                <w:sz w:val="15"/>
                <w:szCs w:val="15"/>
                <w:color w:val="auto"/>
                <w:w w:val="99"/>
              </w:rPr>
              <w:t>-- Indenture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7"/>
              </w:rPr>
              <w:t>for Subordinated Debt Securities dated February</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1, 1997, among the Registrant and Texas Commerce Bank</w:t>
            </w:r>
          </w:p>
        </w:tc>
      </w:tr>
      <w:tr>
        <w:trPr>
          <w:trHeight w:val="170"/>
        </w:trPr>
        <w:tc>
          <w:tcPr>
            <w:tcW w:w="106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reference</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to Exhibit 4.1 of the Registrant's Current</w:t>
            </w:r>
          </w:p>
        </w:tc>
      </w:tr>
      <w:tr>
        <w:trPr>
          <w:trHeight w:val="170"/>
        </w:trPr>
        <w:tc>
          <w:tcPr>
            <w:tcW w:w="1060" w:type="dxa"/>
            <w:vAlign w:val="bottom"/>
          </w:tcPr>
          <w:p>
            <w:pPr>
              <w:spacing w:after="0"/>
              <w:rPr>
                <w:sz w:val="14"/>
                <w:szCs w:val="14"/>
                <w:color w:val="auto"/>
              </w:rPr>
            </w:pPr>
          </w:p>
        </w:tc>
        <w:tc>
          <w:tcPr>
            <w:tcW w:w="1540" w:type="dxa"/>
            <w:vAlign w:val="bottom"/>
          </w:tcPr>
          <w:p>
            <w:pPr>
              <w:ind w:left="700"/>
              <w:spacing w:after="0"/>
              <w:rPr>
                <w:sz w:val="20"/>
                <w:szCs w:val="20"/>
                <w:color w:val="auto"/>
              </w:rPr>
            </w:pPr>
            <w:r>
              <w:rPr>
                <w:rFonts w:ascii="Courier New" w:cs="Courier New" w:eastAsia="Courier New" w:hAnsi="Courier New"/>
                <w:sz w:val="15"/>
                <w:szCs w:val="15"/>
                <w:color w:val="auto"/>
              </w:rPr>
              <w:t>Report on</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Form 8-K dated February 7, 1997].</w:t>
            </w:r>
          </w:p>
        </w:tc>
      </w:tr>
    </w:tbl>
    <w:p>
      <w:pPr>
        <w:sectPr>
          <w:pgSz w:w="11900" w:h="16838" w:orient="portrait"/>
          <w:cols w:equalWidth="0" w:num="1">
            <w:col w:w="9959"/>
          </w:cols>
          <w:pgMar w:left="500" w:top="283"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114</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720" w:type="dxa"/>
            <w:vAlign w:val="bottom"/>
          </w:tcPr>
          <w:p>
            <w:pPr>
              <w:spacing w:after="0"/>
              <w:rPr>
                <w:sz w:val="14"/>
                <w:szCs w:val="1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Supplemental Indenture, dated as of August 26, 1997,</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among the Registrant, United Waste Systems, Inc. and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Bankers Trust Company relating to United Waste Systems,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Inc.'s 4 1/2% Convertible Subordinated Notes due June 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2001 [Incorporated by reference to Exhibit 10.2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Registrant's Current Report on Form 8-K dated August 26,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Indenture for Senior Debt Securities dated September 10,</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1997, among the Registrant and Texas Commerce Bank</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National Association, as trustee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4.1 of the Registrant's Current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8-K dated September 10, 1997].</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-- 1990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10.1 of the Registrant's Annual report on Form</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10-K for the year ended December 31, 1990].</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Conformed copy of 1993 Stock Incentive Plan, as amended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and restated.</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Conformed copy of 1996 Stock Option Plan for Non-Employee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Directors, as amended.</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Envirofil, Inc. 1993 Stock Incentive Plan [Incorporated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by reference to Exhibit 4.1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Registration Statement on form S-8, File No. 33-84990.</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10.5</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Western Waste Industries Amended and Restated 1983</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Incentive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99.1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on Form S-8, File No. 333-02181].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Western Waste Industries 1983 Non-Qualified Stock Option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Plan [Incorporated by reference to Exhibit 99.2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333-02181].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Western Waste Industries 1992 Option Plan [Incorporated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by reference to Exhibit 99.3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Registration Statement on Form S-8, File No. 333-02181].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Sanifill, Inc. 1994 Long-Term Incentive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99.1 of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333-08161].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Sanifill, Inc. 1989 Stock Option Plan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99.2 of the Registrant's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Registration Statement on Form S-8, File No. 333-08161].</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Waste Management, Inc. 1997 Equity Incentive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A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Proxy Statement for its 1997 Annual</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Meeting of Shareholders].</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WMX Technologies, Inc. 1996 Replacement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4.13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Registration Statement on Form S-8,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File No. 333-01325].</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WMX Technologies,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10.31 to Waste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Management Holdings' Registration Statement on Form S-1,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File No. 33-44849].</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WMX Technologies, Inc. 1992 Stock Option Plan for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Non-Employee Directors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10.23 to Waste Management Holdings' 1996 Annual</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10-K].</w:t>
            </w:r>
          </w:p>
        </w:tc>
      </w:tr>
      <w:tr>
        <w:trPr>
          <w:trHeight w:val="170"/>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Waste Management, Inc. 1982 Stock Option Plan, as amended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to March 11, 1988 [Incorporated by reference to Exhibit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10.3 to Waste Management Holdings' 1988 Annual Report 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Form 10-K].</w:t>
            </w:r>
          </w:p>
        </w:tc>
      </w:tr>
    </w:tbl>
    <w:p>
      <w:pPr>
        <w:sectPr>
          <w:pgSz w:w="11900" w:h="16838" w:orient="portrait"/>
          <w:cols w:equalWidth="0" w:num="1">
            <w:col w:w="9959"/>
          </w:cols>
          <w:pgMar w:left="500" w:top="283"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115</w:t>
      </w:r>
    </w:p>
    <w:p>
      <w:pPr>
        <w:spacing w:after="0" w:line="200" w:lineRule="exact"/>
        <w:rPr>
          <w:sz w:val="20"/>
          <w:szCs w:val="20"/>
          <w:color w:val="auto"/>
        </w:rPr>
      </w:pPr>
    </w:p>
    <w:p>
      <w:pPr>
        <w:spacing w:after="0" w:line="30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5720" w:type="dxa"/>
            <w:vAlign w:val="bottom"/>
          </w:tcPr>
          <w:p>
            <w:pPr>
              <w:spacing w:after="0"/>
              <w:rPr>
                <w:sz w:val="14"/>
                <w:szCs w:val="14"/>
                <w:color w:val="auto"/>
              </w:rPr>
            </w:pPr>
          </w:p>
        </w:tc>
      </w:tr>
      <w:tr>
        <w:trPr>
          <w:trHeight w:val="170"/>
        </w:trPr>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NO.*</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w:t>
            </w:r>
          </w:p>
        </w:tc>
        <w:tc>
          <w:tcPr>
            <w:tcW w:w="57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10.15</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Wheelabrator Technologies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10.45 to the 1991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Annual Report on Form 10-K of Wheelabrator Technologies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10.16</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Wheelabrator Technologies Inc. 1988 Stock Plan for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Executive Employees of WTI and its Subsidiaries</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28.1 to Amendment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No. 1 to the Registration Statement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 on Form S-8, File No. 33-31523].</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Chemical Waste Management, Inc. 1992 Stock Option Plan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[Incorporated by reference to Exhibit 10.19 to the 1991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Annual Report on Form 10-K of Chemical Waste Management,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-- 1991 Stock Option Plan for Non-Employee Directors of</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Wheelabrator Technologies, Inc.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reference to Exhibit 19.04 WTI's Quarterly Report for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quarterly period ended June 30, 1991].</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9"/>
              </w:rPr>
              <w:t>-- Amendments dated as of September 7, 1990 to the WTI 1988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19.02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10.20</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November 1, 1990 to the WTI 1988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19.04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10.21</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November 1, 1990 to the WTI 1986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19.03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1990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10.22</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December 6, 1991 to the WTI 1986</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19.01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10.23</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Amendment dated as of December 6, 1991 to the WTI 1988</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Stock Plan [Incorporated by reference to Exhibit 19.02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the 1991 Annual Report on Form 10-K of Wheelabrator</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Technologies Inc.].</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10.24</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-- 1997 Employee Stock Purchase Plan [Incorporated by</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reference to Exhibit 10.10 of the Registrant's Annual</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Report on Form 10-K for the year ended December 31,</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10.25</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-- 401(k) Restoration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10.11 of the Registrant's Annual Report on Form</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10-K for the year ended December 31, 1997].</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10.26</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TransAmerican Waste Industries, Inc. Amended and Restated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1990 Stock Incentive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99.1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on Form S-8, File No. 333-51975].</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10.27</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TransAmerican Waste Industries, Inc. 1997 Non-Employee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9"/>
              </w:rPr>
              <w:t>Director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Exhibit 99.2 of the Registrant's Registration Statement</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on Form S-8, File No. 333-51975].</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10.28</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rPr>
              <w:t>-- Eastern Environmental Services, Inc. 1997 Stock Option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Plan [Incorporated by reference to Exhibit 4.1 to the</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333-70055].</w:t>
            </w:r>
          </w:p>
        </w:tc>
      </w:t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10.29</w:t>
            </w:r>
          </w:p>
        </w:tc>
        <w:tc>
          <w:tcPr>
            <w:tcW w:w="5720" w:type="dxa"/>
            <w:vAlign w:val="bottom"/>
          </w:tcPr>
          <w:p>
            <w:pPr>
              <w:ind w:left="440"/>
              <w:spacing w:after="0"/>
              <w:rPr>
                <w:sz w:val="20"/>
                <w:szCs w:val="20"/>
                <w:color w:val="auto"/>
              </w:rPr>
            </w:pPr>
            <w:r>
              <w:rPr>
                <w:rFonts w:ascii="Courier New" w:cs="Courier New" w:eastAsia="Courier New" w:hAnsi="Courier New"/>
                <w:sz w:val="15"/>
                <w:szCs w:val="15"/>
                <w:color w:val="auto"/>
                <w:w w:val="97"/>
              </w:rPr>
              <w:t>-- Eastern Environmental Services, Inc. Amended and Restated</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1996 Stock Option Plan [Incorporated by reference to</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w w:val="97"/>
              </w:rPr>
              <w:t>Exhibit 4.2 to the Registrant's Registration Statement on</w:t>
            </w:r>
          </w:p>
        </w:tc>
      </w:tr>
      <w:tr>
        <w:trPr>
          <w:trHeight w:val="170"/>
        </w:trPr>
        <w:tc>
          <w:tcPr>
            <w:tcW w:w="1060" w:type="dxa"/>
            <w:vAlign w:val="bottom"/>
          </w:tcPr>
          <w:p>
            <w:pPr>
              <w:spacing w:after="0"/>
              <w:rPr>
                <w:sz w:val="14"/>
                <w:szCs w:val="14"/>
                <w:color w:val="auto"/>
              </w:rPr>
            </w:pPr>
          </w:p>
        </w:tc>
        <w:tc>
          <w:tcPr>
            <w:tcW w:w="5720" w:type="dxa"/>
            <w:vAlign w:val="bottom"/>
          </w:tcPr>
          <w:p>
            <w:pPr>
              <w:ind w:left="700"/>
              <w:spacing w:after="0"/>
              <w:rPr>
                <w:sz w:val="20"/>
                <w:szCs w:val="20"/>
                <w:color w:val="auto"/>
              </w:rPr>
            </w:pPr>
            <w:r>
              <w:rPr>
                <w:rFonts w:ascii="Courier New" w:cs="Courier New" w:eastAsia="Courier New" w:hAnsi="Courier New"/>
                <w:sz w:val="15"/>
                <w:szCs w:val="15"/>
                <w:color w:val="auto"/>
              </w:rPr>
              <w:t>Form S-8, File No. 333-70055].</w:t>
            </w:r>
          </w:p>
        </w:tc>
      </w:tr>
    </w:tbl>
    <w:p>
      <w:pPr>
        <w:sectPr>
          <w:pgSz w:w="11900" w:h="16838" w:orient="portrait"/>
          <w:cols w:equalWidth="0" w:num="1">
            <w:col w:w="9959"/>
          </w:cols>
          <w:pgMar w:left="500" w:top="283" w:right="1440" w:bottom="1440" w:gutter="0" w:footer="0" w:header="0"/>
        </w:sectPr>
      </w:pPr>
    </w:p>
    <w:bookmarkStart w:id="117" w:name="page118"/>
    <w:bookmarkEnd w:id="117"/>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1000" w:type="dxa"/>
            <w:vAlign w:val="bottom"/>
          </w:tcPr>
          <w:p>
            <w:pPr>
              <w:spacing w:after="0"/>
              <w:rPr>
                <w:sz w:val="14"/>
                <w:szCs w:val="14"/>
                <w:color w:val="auto"/>
              </w:rPr>
            </w:pPr>
          </w:p>
        </w:tc>
        <w:tc>
          <w:tcPr>
            <w:tcW w:w="4720" w:type="dxa"/>
            <w:vAlign w:val="bottom"/>
          </w:tcPr>
          <w:p>
            <w:pPr>
              <w:spacing w:after="0"/>
              <w:rPr>
                <w:sz w:val="14"/>
                <w:szCs w:val="14"/>
                <w:color w:val="auto"/>
              </w:rPr>
            </w:pPr>
          </w:p>
        </w:tc>
      </w:tr>
      <w:tr>
        <w:trPr>
          <w:trHeight w:val="678"/>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EXHIBIT</w:t>
            </w:r>
          </w:p>
        </w:tc>
        <w:tc>
          <w:tcPr>
            <w:tcW w:w="10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NO.*</w:t>
            </w:r>
          </w:p>
        </w:tc>
        <w:tc>
          <w:tcPr>
            <w:tcW w:w="1000" w:type="dxa"/>
            <w:vAlign w:val="bottom"/>
          </w:tcPr>
          <w:p>
            <w:pPr>
              <w:spacing w:after="0"/>
              <w:rPr>
                <w:sz w:val="14"/>
                <w:szCs w:val="14"/>
                <w:color w:val="auto"/>
              </w:rPr>
            </w:pPr>
          </w:p>
        </w:tc>
        <w:tc>
          <w:tcPr>
            <w:tcW w:w="4720" w:type="dxa"/>
            <w:vAlign w:val="bottom"/>
          </w:tcPr>
          <w:p>
            <w:pPr>
              <w:ind w:left="154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720" w:type="dxa"/>
            <w:vAlign w:val="bottom"/>
          </w:tcPr>
          <w:p>
            <w:pPr>
              <w:ind w:left="1540"/>
              <w:spacing w:after="0"/>
              <w:rPr>
                <w:sz w:val="20"/>
                <w:szCs w:val="20"/>
                <w:color w:val="auto"/>
              </w:rPr>
            </w:pPr>
            <w:r>
              <w:rPr>
                <w:rFonts w:ascii="Courier New" w:cs="Courier New" w:eastAsia="Courier New" w:hAnsi="Courier New"/>
                <w:sz w:val="15"/>
                <w:szCs w:val="15"/>
                <w:color w:val="auto"/>
              </w:rPr>
              <w:t>-----------</w:t>
            </w:r>
          </w:p>
        </w:tc>
      </w:tr>
      <w:tr>
        <w:trPr>
          <w:trHeight w:val="339"/>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10.30</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Eastern Environmental Services, Inc. 1991 Stock Option</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Plan [Incorporated by reference to Exhibit 4.3 to the</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Registrant's Registration Statement on Form S-8, File No.</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333-70055].</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10.31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Form of Employment Agreement by and between the</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 and its Executive Officers.</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10.32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Second Amended and Restated Revolving Credit Agreement,</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dated as of July 16, 1998 among the Registrant, Bank of</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America National Trust and Savings Association, Morgan</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Guaranty Trust Company of New York and other financial</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institutions [Incorporated by reference to Exhibit 10.3</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of the Registrant's Quarterly Report on Form 10-Q/A for</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the quarterly period ended June 30, 1998].</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10.33</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Loan Agreement dated as of July 16, 1998, among the</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Registrant, Bank of America National Trust and Savings</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Association, Chase Bank of Texas, N.A., Deutsche Bank AG,</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New York Branch, Morgan Guaranty Trust Company of New</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York and other financial institutions [Incorporated by</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reference to Exhibit 10.4 of the Registrant's Quarterly</w:t>
            </w:r>
          </w:p>
        </w:tc>
      </w:tr>
      <w:tr>
        <w:trPr>
          <w:trHeight w:val="170"/>
        </w:trPr>
        <w:tc>
          <w:tcPr>
            <w:tcW w:w="1500" w:type="dxa"/>
            <w:vAlign w:val="bottom"/>
          </w:tcPr>
          <w:p>
            <w:pPr>
              <w:spacing w:after="0"/>
              <w:rPr>
                <w:sz w:val="14"/>
                <w:szCs w:val="14"/>
                <w:color w:val="auto"/>
              </w:rPr>
            </w:pPr>
          </w:p>
        </w:tc>
        <w:tc>
          <w:tcPr>
            <w:tcW w:w="572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7"/>
              </w:rPr>
              <w:t>Report on Form 10-Q/A for the quarterly period ended June</w:t>
            </w:r>
          </w:p>
        </w:tc>
      </w:tr>
      <w:tr>
        <w:trPr>
          <w:trHeight w:val="170"/>
        </w:trPr>
        <w:tc>
          <w:tcPr>
            <w:tcW w:w="1500" w:type="dxa"/>
            <w:vAlign w:val="bottom"/>
          </w:tcPr>
          <w:p>
            <w:pPr>
              <w:spacing w:after="0"/>
              <w:rPr>
                <w:sz w:val="14"/>
                <w:szCs w:val="14"/>
                <w:color w:val="auto"/>
              </w:rPr>
            </w:pPr>
          </w:p>
        </w:tc>
        <w:tc>
          <w:tcPr>
            <w:tcW w:w="1000" w:type="dxa"/>
            <w:vAlign w:val="bottom"/>
          </w:tcPr>
          <w:p>
            <w:pPr>
              <w:ind w:left="700"/>
              <w:spacing w:after="0"/>
              <w:rPr>
                <w:sz w:val="20"/>
                <w:szCs w:val="20"/>
                <w:color w:val="auto"/>
              </w:rPr>
            </w:pPr>
            <w:r>
              <w:rPr>
                <w:rFonts w:ascii="Courier New" w:cs="Courier New" w:eastAsia="Courier New" w:hAnsi="Courier New"/>
                <w:sz w:val="15"/>
                <w:szCs w:val="15"/>
                <w:color w:val="auto"/>
              </w:rPr>
              <w:t>30,</w:t>
            </w:r>
          </w:p>
        </w:tc>
        <w:tc>
          <w:tcPr>
            <w:tcW w:w="4720" w:type="dxa"/>
            <w:vAlign w:val="bottom"/>
          </w:tcPr>
          <w:p>
            <w:pPr>
              <w:jc w:val="right"/>
              <w:ind w:right="40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12.1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Computation of Ratio of Earnings to Fixed Charges.</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21.1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Consent of PricewaterhouseCoopers LLP.</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Financial Data Schedule.</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27.1</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27.2</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r>
        <w:trPr>
          <w:trHeight w:val="170"/>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27.3</w:t>
            </w:r>
          </w:p>
        </w:tc>
        <w:tc>
          <w:tcPr>
            <w:tcW w:w="5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Restated Financial Data Schedule.</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170" w:right="3359" w:hanging="170"/>
        <w:spacing w:after="0" w:line="237" w:lineRule="auto"/>
        <w:tabs>
          <w:tab w:leader="none" w:pos="17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incorporation by reference to documents filed under the Securities Exchange Act of 1934, the Registrant's file number under that Act is 1-12154. Waste Management Holdings' file number under the Exchange Act is 1-7327, Chemical Waste Management, Inc.'s file number is 1-9253 and Wheelabrator Technologies Inc.'s file number is 0-14246.</w:t>
      </w:r>
    </w:p>
    <w:p>
      <w:pPr>
        <w:sectPr>
          <w:pgSz w:w="11900" w:h="16838" w:orient="portrait"/>
          <w:cols w:equalWidth="0" w:num="1">
            <w:col w:w="10229"/>
          </w:cols>
          <w:pgMar w:left="230" w:top="283"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70"/>
        </w:trPr>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71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678"/>
        </w:trPr>
        <w:tc>
          <w:tcPr>
            <w:tcW w:w="560" w:type="dxa"/>
            <w:vAlign w:val="bottom"/>
          </w:tcPr>
          <w:p>
            <w:pPr>
              <w:spacing w:after="0"/>
              <w:rPr>
                <w:sz w:val="24"/>
                <w:szCs w:val="24"/>
                <w:color w:val="auto"/>
              </w:rPr>
            </w:pPr>
          </w:p>
        </w:tc>
        <w:tc>
          <w:tcPr>
            <w:tcW w:w="71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EXHIBIT 4.1</w:t>
            </w:r>
          </w:p>
        </w:tc>
        <w:tc>
          <w:tcPr>
            <w:tcW w:w="3860" w:type="dxa"/>
            <w:vAlign w:val="bottom"/>
          </w:tcPr>
          <w:p>
            <w:pPr>
              <w:spacing w:after="0"/>
              <w:rPr>
                <w:sz w:val="24"/>
                <w:szCs w:val="24"/>
                <w:color w:val="auto"/>
              </w:rPr>
            </w:pPr>
          </w:p>
        </w:tc>
      </w:tr>
      <w:tr>
        <w:trPr>
          <w:trHeight w:val="678"/>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057591</w:t>
            </w:r>
          </w:p>
        </w:tc>
        <w:tc>
          <w:tcPr>
            <w:tcW w:w="710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170"/>
        </w:trPr>
        <w:tc>
          <w:tcPr>
            <w:tcW w:w="560" w:type="dxa"/>
            <w:vAlign w:val="bottom"/>
          </w:tcPr>
          <w:p>
            <w:pPr>
              <w:spacing w:after="0"/>
              <w:rPr>
                <w:sz w:val="14"/>
                <w:szCs w:val="14"/>
                <w:color w:val="auto"/>
              </w:rPr>
            </w:pPr>
          </w:p>
        </w:tc>
        <w:tc>
          <w:tcPr>
            <w:tcW w:w="7100" w:type="dxa"/>
            <w:vAlign w:val="bottom"/>
          </w:tcPr>
          <w:p>
            <w:pPr>
              <w:jc w:val="right"/>
              <w:ind w:right="3187"/>
              <w:spacing w:after="0"/>
              <w:rPr>
                <w:sz w:val="20"/>
                <w:szCs w:val="20"/>
                <w:color w:val="auto"/>
              </w:rPr>
            </w:pPr>
            <w:r>
              <w:rPr>
                <w:rFonts w:ascii="Courier New" w:cs="Courier New" w:eastAsia="Courier New" w:hAnsi="Courier New"/>
                <w:sz w:val="15"/>
                <w:szCs w:val="15"/>
                <w:color w:val="auto"/>
              </w:rPr>
              <w:t>INCORPORATED UNDER THE LAWS</w:t>
            </w:r>
          </w:p>
        </w:tc>
        <w:tc>
          <w:tcPr>
            <w:tcW w:w="3860" w:type="dxa"/>
            <w:vAlign w:val="bottom"/>
          </w:tcPr>
          <w:p>
            <w:pPr>
              <w:ind w:left="1940"/>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560" w:type="dxa"/>
            <w:vAlign w:val="bottom"/>
          </w:tcPr>
          <w:p>
            <w:pPr>
              <w:spacing w:after="0"/>
              <w:rPr>
                <w:sz w:val="14"/>
                <w:szCs w:val="14"/>
                <w:color w:val="auto"/>
              </w:rPr>
            </w:pPr>
          </w:p>
        </w:tc>
        <w:tc>
          <w:tcPr>
            <w:tcW w:w="710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OF THE STATE OF DELAWARE</w:t>
            </w:r>
          </w:p>
        </w:tc>
        <w:tc>
          <w:tcPr>
            <w:tcW w:w="3860" w:type="dxa"/>
            <w:vAlign w:val="bottom"/>
          </w:tcPr>
          <w:p>
            <w:pPr>
              <w:ind w:left="1500"/>
              <w:spacing w:after="0"/>
              <w:rPr>
                <w:sz w:val="20"/>
                <w:szCs w:val="20"/>
                <w:color w:val="auto"/>
              </w:rPr>
            </w:pPr>
            <w:r>
              <w:rPr>
                <w:rFonts w:ascii="Courier New" w:cs="Courier New" w:eastAsia="Courier New" w:hAnsi="Courier New"/>
                <w:sz w:val="15"/>
                <w:szCs w:val="15"/>
                <w:color w:val="auto"/>
              </w:rPr>
              <w:t>PAR VALUE $.01 PER SHARE</w:t>
            </w:r>
          </w:p>
        </w:tc>
      </w:tr>
      <w:tr>
        <w:trPr>
          <w:trHeight w:val="509"/>
        </w:trPr>
        <w:tc>
          <w:tcPr>
            <w:tcW w:w="560" w:type="dxa"/>
            <w:vAlign w:val="bottom"/>
          </w:tcPr>
          <w:p>
            <w:pPr>
              <w:spacing w:after="0"/>
              <w:rPr>
                <w:sz w:val="24"/>
                <w:szCs w:val="24"/>
                <w:color w:val="auto"/>
              </w:rPr>
            </w:pPr>
          </w:p>
        </w:tc>
        <w:tc>
          <w:tcPr>
            <w:tcW w:w="7100" w:type="dxa"/>
            <w:vAlign w:val="bottom"/>
          </w:tcPr>
          <w:p>
            <w:pPr>
              <w:jc w:val="right"/>
              <w:ind w:right="6447"/>
              <w:spacing w:after="0"/>
              <w:rPr>
                <w:sz w:val="20"/>
                <w:szCs w:val="20"/>
                <w:color w:val="auto"/>
              </w:rPr>
            </w:pPr>
            <w:r>
              <w:rPr>
                <w:rFonts w:ascii="Courier New" w:cs="Courier New" w:eastAsia="Courier New" w:hAnsi="Courier New"/>
                <w:sz w:val="15"/>
                <w:szCs w:val="15"/>
                <w:color w:val="auto"/>
              </w:rPr>
              <w:t>NUMBER</w:t>
            </w:r>
          </w:p>
        </w:tc>
        <w:tc>
          <w:tcPr>
            <w:tcW w:w="3860" w:type="dxa"/>
            <w:vAlign w:val="bottom"/>
          </w:tcPr>
          <w:p>
            <w:pPr>
              <w:spacing w:after="0"/>
              <w:rPr>
                <w:sz w:val="24"/>
                <w:szCs w:val="24"/>
                <w:color w:val="auto"/>
              </w:rPr>
            </w:pPr>
          </w:p>
        </w:tc>
      </w:tr>
      <w:tr>
        <w:trPr>
          <w:trHeight w:val="170"/>
        </w:trPr>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WM</w:t>
            </w:r>
          </w:p>
        </w:tc>
        <w:tc>
          <w:tcPr>
            <w:tcW w:w="71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[GRAPHIC]</w:t>
            </w:r>
          </w:p>
        </w:tc>
        <w:tc>
          <w:tcPr>
            <w:tcW w:w="3860" w:type="dxa"/>
            <w:vAlign w:val="bottom"/>
          </w:tcPr>
          <w:p>
            <w:pPr>
              <w:ind w:left="2740"/>
              <w:spacing w:after="0"/>
              <w:rPr>
                <w:sz w:val="20"/>
                <w:szCs w:val="20"/>
                <w:color w:val="auto"/>
              </w:rPr>
            </w:pPr>
            <w:r>
              <w:rPr>
                <w:rFonts w:ascii="Courier New" w:cs="Courier New" w:eastAsia="Courier New" w:hAnsi="Courier New"/>
                <w:sz w:val="15"/>
                <w:szCs w:val="15"/>
                <w:color w:val="auto"/>
              </w:rPr>
              <w:t>SHARES</w:t>
            </w:r>
          </w:p>
        </w:tc>
      </w:tr>
      <w:tr>
        <w:trPr>
          <w:trHeight w:val="509"/>
        </w:trPr>
        <w:tc>
          <w:tcPr>
            <w:tcW w:w="5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CUSIP 94106L 10 9</w:t>
            </w:r>
          </w:p>
        </w:tc>
      </w:tr>
      <w:tr>
        <w:trPr>
          <w:trHeight w:val="170"/>
        </w:trPr>
        <w:tc>
          <w:tcPr>
            <w:tcW w:w="560" w:type="dxa"/>
            <w:vAlign w:val="bottom"/>
          </w:tcPr>
          <w:p>
            <w:pPr>
              <w:spacing w:after="0"/>
              <w:rPr>
                <w:sz w:val="14"/>
                <w:szCs w:val="14"/>
                <w:color w:val="auto"/>
              </w:rPr>
            </w:pPr>
          </w:p>
        </w:tc>
        <w:tc>
          <w:tcPr>
            <w:tcW w:w="710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THIS CERTIFICATE IS TRANSFERABLE IN</w:t>
            </w:r>
          </w:p>
        </w:tc>
        <w:tc>
          <w:tcPr>
            <w:tcW w:w="3860" w:type="dxa"/>
            <w:vAlign w:val="bottom"/>
          </w:tcPr>
          <w:p>
            <w:pPr>
              <w:spacing w:after="0"/>
              <w:rPr>
                <w:sz w:val="14"/>
                <w:szCs w:val="14"/>
                <w:color w:val="auto"/>
              </w:rPr>
            </w:pPr>
          </w:p>
        </w:tc>
      </w:tr>
      <w:tr>
        <w:trPr>
          <w:trHeight w:val="170"/>
        </w:trPr>
        <w:tc>
          <w:tcPr>
            <w:tcW w:w="560" w:type="dxa"/>
            <w:vAlign w:val="bottom"/>
          </w:tcPr>
          <w:p>
            <w:pPr>
              <w:spacing w:after="0"/>
              <w:rPr>
                <w:sz w:val="14"/>
                <w:szCs w:val="14"/>
                <w:color w:val="auto"/>
              </w:rPr>
            </w:pPr>
          </w:p>
        </w:tc>
        <w:tc>
          <w:tcPr>
            <w:tcW w:w="7100" w:type="dxa"/>
            <w:vAlign w:val="bottom"/>
          </w:tcPr>
          <w:p>
            <w:pPr>
              <w:jc w:val="right"/>
              <w:ind w:right="3727"/>
              <w:spacing w:after="0"/>
              <w:rPr>
                <w:sz w:val="20"/>
                <w:szCs w:val="20"/>
                <w:color w:val="auto"/>
              </w:rPr>
            </w:pPr>
            <w:r>
              <w:rPr>
                <w:rFonts w:ascii="Courier New" w:cs="Courier New" w:eastAsia="Courier New" w:hAnsi="Courier New"/>
                <w:sz w:val="15"/>
                <w:szCs w:val="15"/>
                <w:color w:val="auto"/>
              </w:rPr>
              <w:t>CHICAGO, IL OR NEW YORK, NY</w:t>
            </w:r>
          </w:p>
        </w:tc>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w w:val="96"/>
              </w:rPr>
              <w:t>SEE REVERSE FOR CERTAIN DEFINITIONS</w:t>
            </w:r>
          </w:p>
        </w:tc>
      </w:tr>
    </w:tbl>
    <w:p>
      <w:pPr>
        <w:spacing w:after="0" w:line="16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WASTE MANAGEMENT, INC.</w:t>
      </w:r>
    </w:p>
    <w:p>
      <w:pPr>
        <w:spacing w:after="0" w:line="200" w:lineRule="exact"/>
        <w:rPr>
          <w:sz w:val="20"/>
          <w:szCs w:val="20"/>
          <w:color w:val="auto"/>
        </w:rPr>
      </w:pPr>
    </w:p>
    <w:p>
      <w:pPr>
        <w:spacing w:after="0" w:line="30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THIS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IS THE OWNER OF</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FULLY PAID AND NONASSESSABLE SHARES OF THE COMMON STOCK OF</w:t>
      </w:r>
    </w:p>
    <w:p>
      <w:pPr>
        <w:spacing w:after="0" w:line="16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CERTIFICATE OF STOCK</w:t>
      </w:r>
    </w:p>
    <w:p>
      <w:pPr>
        <w:spacing w:after="0" w:line="175" w:lineRule="exact"/>
        <w:rPr>
          <w:sz w:val="20"/>
          <w:szCs w:val="20"/>
          <w:color w:val="auto"/>
        </w:rPr>
      </w:pPr>
    </w:p>
    <w:p>
      <w:pPr>
        <w:ind w:right="80"/>
        <w:spacing w:after="0" w:line="237" w:lineRule="auto"/>
        <w:rPr>
          <w:sz w:val="20"/>
          <w:szCs w:val="20"/>
          <w:color w:val="auto"/>
        </w:rPr>
      </w:pPr>
      <w:r>
        <w:rPr>
          <w:rFonts w:ascii="Courier New" w:cs="Courier New" w:eastAsia="Courier New" w:hAnsi="Courier New"/>
          <w:sz w:val="15"/>
          <w:szCs w:val="15"/>
          <w:color w:val="auto"/>
        </w:rPr>
        <w:t>Waste Management, Inc. ("Corporation") transferable on the books of the Corporation by the holder hereof in person or by duly authorized attorney, upon surrender of this Certificate properly endorsed. This Certificate and the shares represented hereby are issued and shall be subject to all of the provisions of the Certificate of Incorporation of the Corporation and of the amendments therein, to all of which the holder, by acceptance hereof, assents. This Certificate is not valid unless countersigned by the Transfer Agent and registered by the Registrar.</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Witness the facsimile seal of the Corporation and the facsimile signatures of its duly authorized officers.</w:t>
      </w:r>
    </w:p>
    <w:p>
      <w:pPr>
        <w:spacing w:after="0" w:line="169" w:lineRule="exact"/>
        <w:rPr>
          <w:sz w:val="20"/>
          <w:szCs w:val="20"/>
          <w:color w:val="auto"/>
        </w:rPr>
      </w:pPr>
    </w:p>
    <w:p>
      <w:pPr>
        <w:ind w:left="10120"/>
        <w:spacing w:after="0"/>
        <w:rPr>
          <w:sz w:val="20"/>
          <w:szCs w:val="20"/>
          <w:color w:val="auto"/>
        </w:rPr>
      </w:pPr>
      <w:r>
        <w:rPr>
          <w:rFonts w:ascii="Courier New" w:cs="Courier New" w:eastAsia="Courier New" w:hAnsi="Courier New"/>
          <w:sz w:val="15"/>
          <w:szCs w:val="15"/>
          <w:color w:val="auto"/>
        </w:rPr>
        <w:t>[SEAL]</w:t>
      </w:r>
    </w:p>
    <w:p>
      <w:pPr>
        <w:ind w:left="7400"/>
        <w:spacing w:after="0"/>
        <w:rPr>
          <w:sz w:val="20"/>
          <w:szCs w:val="20"/>
          <w:color w:val="auto"/>
        </w:rPr>
      </w:pPr>
      <w:r>
        <w:rPr>
          <w:rFonts w:ascii="Courier New" w:cs="Courier New" w:eastAsia="Courier New" w:hAnsi="Courier New"/>
          <w:sz w:val="15"/>
          <w:szCs w:val="15"/>
          <w:color w:val="auto"/>
        </w:rPr>
        <w:t>Dated:</w:t>
      </w:r>
    </w:p>
    <w:p>
      <w:pPr>
        <w:sectPr>
          <w:pgSz w:w="11900" w:h="16838" w:orient="portrait"/>
          <w:cols w:equalWidth="0" w:num="1">
            <w:col w:w="11520"/>
          </w:cols>
          <w:pgMar w:left="240" w:top="136" w:right="139" w:bottom="1440" w:gutter="0" w:footer="0" w:header="0"/>
        </w:sectPr>
      </w:pPr>
    </w:p>
    <w:p>
      <w:pPr>
        <w:spacing w:after="0" w:line="338"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 [ILLEGIBLE]</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/s/ [ILLEGIBLE]</w:t>
      </w:r>
    </w:p>
    <w:p>
      <w:pPr>
        <w:ind w:left="1040"/>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ind w:left="520"/>
        <w:spacing w:after="0"/>
        <w:rPr>
          <w:sz w:val="20"/>
          <w:szCs w:val="20"/>
          <w:color w:val="auto"/>
        </w:rPr>
      </w:pPr>
      <w:r>
        <w:rPr>
          <w:rFonts w:ascii="Courier New" w:cs="Courier New" w:eastAsia="Courier New" w:hAnsi="Courier New"/>
          <w:sz w:val="15"/>
          <w:szCs w:val="15"/>
          <w:color w:val="auto"/>
        </w:rPr>
        <w:t>HARRIS TRUST AND SAVINGS BANK</w:t>
      </w:r>
    </w:p>
    <w:p>
      <w:pPr>
        <w:spacing w:after="0" w:line="5"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TRANSFER AGENT</w:t>
      </w:r>
    </w:p>
    <w:p>
      <w:pPr>
        <w:spacing w:after="0" w:line="11"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AND REGISTRAR</w:t>
      </w:r>
    </w:p>
    <w:p>
      <w:pPr>
        <w:spacing w:after="0" w:line="175" w:lineRule="exact"/>
        <w:rPr>
          <w:sz w:val="20"/>
          <w:szCs w:val="20"/>
          <w:color w:val="auto"/>
        </w:rPr>
      </w:pPr>
    </w:p>
    <w:p>
      <w:pPr>
        <w:sectPr>
          <w:pgSz w:w="11900" w:h="16838" w:orient="portrait"/>
          <w:cols w:equalWidth="0" w:num="2">
            <w:col w:w="6680" w:space="720"/>
            <w:col w:w="4120"/>
          </w:cols>
          <w:pgMar w:left="240" w:top="136" w:right="139" w:bottom="1440" w:gutter="0" w:footer="0" w:header="0"/>
          <w:type w:val="continuous"/>
        </w:sectPr>
      </w:pPr>
    </w:p>
    <w:p>
      <w:pPr>
        <w:spacing w:after="0" w:line="17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[WASTE MANAGEMENT 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 [ILLEGIBLE]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ectPr>
          <w:pgSz w:w="11900" w:h="16838" w:orient="portrait"/>
          <w:cols w:equalWidth="0" w:num="3">
            <w:col w:w="6680" w:space="720"/>
            <w:col w:w="180" w:space="260"/>
            <w:col w:w="3680"/>
          </w:cols>
          <w:pgMar w:left="240" w:top="136" w:right="139" w:bottom="1440" w:gutter="0" w:footer="0" w:header="0"/>
          <w:type w:val="continuous"/>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2</w:t>
      </w:r>
    </w:p>
    <w:p>
      <w:pPr>
        <w:ind w:left="2100"/>
        <w:spacing w:after="0"/>
        <w:rPr>
          <w:sz w:val="20"/>
          <w:szCs w:val="20"/>
          <w:color w:val="auto"/>
        </w:rPr>
      </w:pPr>
      <w:r>
        <w:rPr>
          <w:rFonts w:ascii="Courier New" w:cs="Courier New" w:eastAsia="Courier New" w:hAnsi="Courier New"/>
          <w:sz w:val="15"/>
          <w:szCs w:val="15"/>
          <w:color w:val="auto"/>
        </w:rPr>
        <w:t>[WASTE MANAGEMENT, INC. LOGO]</w:t>
      </w:r>
    </w:p>
    <w:p>
      <w:pPr>
        <w:spacing w:after="0" w:line="174" w:lineRule="exact"/>
        <w:rPr>
          <w:sz w:val="20"/>
          <w:szCs w:val="20"/>
          <w:color w:val="auto"/>
        </w:rPr>
      </w:pPr>
    </w:p>
    <w:p>
      <w:pPr>
        <w:ind w:right="3259" w:firstLine="705"/>
        <w:spacing w:after="0" w:line="238" w:lineRule="auto"/>
        <w:rPr>
          <w:sz w:val="20"/>
          <w:szCs w:val="20"/>
          <w:color w:val="auto"/>
        </w:rPr>
      </w:pPr>
      <w:r>
        <w:rPr>
          <w:rFonts w:ascii="Courier New" w:cs="Courier New" w:eastAsia="Courier New" w:hAnsi="Courier New"/>
          <w:sz w:val="15"/>
          <w:szCs w:val="15"/>
          <w:color w:val="auto"/>
        </w:rPr>
        <w:t>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Such requests may be made to the Corporation's Secretary at the principal office of the Corporation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gridSpan w:val="2"/>
          </w:tcPr>
          <w:p>
            <w:pPr>
              <w:ind w:left="700"/>
              <w:spacing w:after="0"/>
              <w:rPr>
                <w:sz w:val="20"/>
                <w:szCs w:val="20"/>
                <w:color w:val="auto"/>
              </w:rPr>
            </w:pPr>
            <w:r>
              <w:rPr>
                <w:rFonts w:ascii="Courier New" w:cs="Courier New" w:eastAsia="Courier New" w:hAnsi="Courier New"/>
                <w:sz w:val="15"/>
                <w:szCs w:val="15"/>
                <w:color w:val="auto"/>
                <w:w w:val="99"/>
              </w:rPr>
              <w:t>The following</w:t>
            </w:r>
          </w:p>
        </w:tc>
        <w:tc>
          <w:tcPr>
            <w:tcW w:w="7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abbreviations, when used in the inscription on the face</w:t>
            </w:r>
          </w:p>
        </w:tc>
        <w:tc>
          <w:tcPr>
            <w:tcW w:w="920" w:type="dxa"/>
            <w:vAlign w:val="bottom"/>
          </w:tcPr>
          <w:p>
            <w:pPr>
              <w:spacing w:after="0"/>
              <w:rPr>
                <w:sz w:val="14"/>
                <w:szCs w:val="14"/>
                <w:color w:val="auto"/>
              </w:rPr>
            </w:pPr>
          </w:p>
        </w:tc>
      </w:tr>
      <w:tr>
        <w:trPr>
          <w:trHeight w:val="170"/>
        </w:trPr>
        <w:tc>
          <w:tcPr>
            <w:tcW w:w="8940" w:type="dxa"/>
            <w:vAlign w:val="bottom"/>
            <w:gridSpan w:val="4"/>
          </w:tcPr>
          <w:p>
            <w:pPr>
              <w:spacing w:after="0"/>
              <w:rPr>
                <w:sz w:val="20"/>
                <w:szCs w:val="20"/>
                <w:color w:val="auto"/>
              </w:rPr>
            </w:pPr>
            <w:r>
              <w:rPr>
                <w:rFonts w:ascii="Courier New" w:cs="Courier New" w:eastAsia="Courier New" w:hAnsi="Courier New"/>
                <w:sz w:val="15"/>
                <w:szCs w:val="15"/>
                <w:color w:val="auto"/>
              </w:rPr>
              <w:t>of this certificate, shall be construed as though they were written out in full</w:t>
            </w:r>
          </w:p>
        </w:tc>
        <w:tc>
          <w:tcPr>
            <w:tcW w:w="920" w:type="dxa"/>
            <w:vAlign w:val="bottom"/>
          </w:tcPr>
          <w:p>
            <w:pPr>
              <w:spacing w:after="0"/>
              <w:rPr>
                <w:sz w:val="14"/>
                <w:szCs w:val="14"/>
                <w:color w:val="auto"/>
              </w:rPr>
            </w:pPr>
          </w:p>
        </w:tc>
      </w:tr>
      <w:tr>
        <w:trPr>
          <w:trHeight w:val="170"/>
        </w:trPr>
        <w:tc>
          <w:tcPr>
            <w:tcW w:w="4660" w:type="dxa"/>
            <w:vAlign w:val="bottom"/>
            <w:gridSpan w:val="3"/>
          </w:tcPr>
          <w:p>
            <w:pPr>
              <w:spacing w:after="0"/>
              <w:rPr>
                <w:sz w:val="20"/>
                <w:szCs w:val="20"/>
                <w:color w:val="auto"/>
              </w:rPr>
            </w:pPr>
            <w:r>
              <w:rPr>
                <w:rFonts w:ascii="Courier New" w:cs="Courier New" w:eastAsia="Courier New" w:hAnsi="Courier New"/>
                <w:sz w:val="15"/>
                <w:szCs w:val="15"/>
                <w:color w:val="auto"/>
              </w:rPr>
              <w:t>according to applicable laws or regulations:</w:t>
            </w:r>
          </w:p>
        </w:tc>
        <w:tc>
          <w:tcPr>
            <w:tcW w:w="4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8"/>
        </w:trPr>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w w:val="99"/>
              </w:rPr>
              <w:t>TEN COM --</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tenants in common</w:t>
            </w:r>
          </w:p>
        </w:tc>
        <w:tc>
          <w:tcPr>
            <w:tcW w:w="52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UNIF GIFT MIN ACT -- _____________ Custodian ___________</w:t>
            </w:r>
          </w:p>
        </w:tc>
      </w:tr>
      <w:tr>
        <w:trPr>
          <w:trHeight w:val="170"/>
        </w:trPr>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w w:val="99"/>
              </w:rPr>
              <w:t>TEN ENT --</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tenants by the entireties</w:t>
            </w:r>
          </w:p>
        </w:tc>
        <w:tc>
          <w:tcPr>
            <w:tcW w:w="4280" w:type="dxa"/>
            <w:vAlign w:val="bottom"/>
          </w:tcPr>
          <w:p>
            <w:pPr>
              <w:ind w:left="2380"/>
              <w:spacing w:after="0"/>
              <w:rPr>
                <w:sz w:val="20"/>
                <w:szCs w:val="20"/>
                <w:color w:val="auto"/>
              </w:rPr>
            </w:pPr>
            <w:r>
              <w:rPr>
                <w:rFonts w:ascii="Courier New" w:cs="Courier New" w:eastAsia="Courier New" w:hAnsi="Courier New"/>
                <w:sz w:val="15"/>
                <w:szCs w:val="15"/>
                <w:color w:val="auto"/>
              </w:rPr>
              <w:t>(Cust)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(Minor)</w:t>
            </w:r>
          </w:p>
        </w:tc>
      </w:tr>
      <w:tr>
        <w:trPr>
          <w:trHeight w:val="170"/>
        </w:trPr>
        <w:tc>
          <w:tcPr>
            <w:tcW w:w="1620" w:type="dxa"/>
            <w:vAlign w:val="bottom"/>
          </w:tcPr>
          <w:p>
            <w:pPr>
              <w:ind w:left="700"/>
              <w:spacing w:after="0"/>
              <w:rPr>
                <w:sz w:val="20"/>
                <w:szCs w:val="20"/>
                <w:color w:val="auto"/>
              </w:rPr>
            </w:pPr>
            <w:r>
              <w:rPr>
                <w:rFonts w:ascii="Courier New" w:cs="Courier New" w:eastAsia="Courier New" w:hAnsi="Courier New"/>
                <w:sz w:val="15"/>
                <w:szCs w:val="15"/>
                <w:color w:val="auto"/>
                <w:w w:val="99"/>
              </w:rPr>
              <w:t>JT TEN  --</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joint tenants with right of</w:t>
            </w:r>
          </w:p>
        </w:tc>
        <w:tc>
          <w:tcPr>
            <w:tcW w:w="520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under Uniform Gifts to Minors</w:t>
            </w:r>
          </w:p>
        </w:tc>
      </w:tr>
      <w:tr>
        <w:trPr>
          <w:trHeight w:val="170"/>
        </w:trPr>
        <w:tc>
          <w:tcPr>
            <w:tcW w:w="1620" w:type="dxa"/>
            <w:vAlign w:val="bottom"/>
          </w:tcPr>
          <w:p>
            <w:pPr>
              <w:spacing w:after="0"/>
              <w:rPr>
                <w:sz w:val="14"/>
                <w:szCs w:val="14"/>
                <w:color w:val="auto"/>
              </w:rPr>
            </w:pP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survivorship and not as tenants</w:t>
            </w:r>
          </w:p>
        </w:tc>
        <w:tc>
          <w:tcPr>
            <w:tcW w:w="4280" w:type="dxa"/>
            <w:vAlign w:val="bottom"/>
          </w:tcPr>
          <w:p>
            <w:pPr>
              <w:ind w:left="2120"/>
              <w:spacing w:after="0"/>
              <w:rPr>
                <w:sz w:val="20"/>
                <w:szCs w:val="20"/>
                <w:color w:val="auto"/>
              </w:rPr>
            </w:pPr>
            <w:r>
              <w:rPr>
                <w:rFonts w:ascii="Courier New" w:cs="Courier New" w:eastAsia="Courier New" w:hAnsi="Courier New"/>
                <w:sz w:val="15"/>
                <w:szCs w:val="15"/>
                <w:color w:val="auto"/>
              </w:rPr>
              <w:t>Act __________________</w:t>
            </w:r>
          </w:p>
        </w:tc>
        <w:tc>
          <w:tcPr>
            <w:tcW w:w="92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4280" w:type="dxa"/>
            <w:vAlign w:val="bottom"/>
          </w:tcPr>
          <w:p>
            <w:pPr>
              <w:ind w:left="3000"/>
              <w:spacing w:after="0"/>
              <w:rPr>
                <w:sz w:val="20"/>
                <w:szCs w:val="20"/>
                <w:color w:val="auto"/>
              </w:rPr>
            </w:pPr>
            <w:r>
              <w:rPr>
                <w:rFonts w:ascii="Courier New" w:cs="Courier New" w:eastAsia="Courier New" w:hAnsi="Courier New"/>
                <w:sz w:val="15"/>
                <w:szCs w:val="15"/>
                <w:color w:val="auto"/>
              </w:rPr>
              <w:t>(State)</w:t>
            </w:r>
          </w:p>
        </w:tc>
        <w:tc>
          <w:tcPr>
            <w:tcW w:w="920" w:type="dxa"/>
            <w:vAlign w:val="bottom"/>
          </w:tcPr>
          <w:p>
            <w:pPr>
              <w:spacing w:after="0"/>
              <w:rPr>
                <w:sz w:val="14"/>
                <w:szCs w:val="14"/>
                <w:color w:val="auto"/>
              </w:rPr>
            </w:pPr>
          </w:p>
        </w:tc>
      </w:tr>
    </w:tbl>
    <w:p>
      <w:pPr>
        <w:spacing w:after="0" w:line="33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value received, __________________ hereby sell, assign and transfer unto: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 OR OTHER</w:t>
      </w:r>
    </w:p>
    <w:p>
      <w:pPr>
        <w:ind w:left="260"/>
        <w:spacing w:after="0"/>
        <w:rPr>
          <w:sz w:val="20"/>
          <w:szCs w:val="20"/>
          <w:color w:val="auto"/>
        </w:rPr>
      </w:pPr>
      <w:r>
        <w:rPr>
          <w:rFonts w:ascii="Courier New" w:cs="Courier New" w:eastAsia="Courier New" w:hAnsi="Courier New"/>
          <w:sz w:val="15"/>
          <w:szCs w:val="15"/>
          <w:color w:val="auto"/>
        </w:rPr>
        <w:t>IDENTIFYING NUMBER OF ASSIGNEE</w:t>
      </w:r>
    </w:p>
    <w:p>
      <w:pPr>
        <w:spacing w:after="0"/>
        <w:tabs>
          <w:tab w:leader="none" w:pos="3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ind w:left="880"/>
        <w:spacing w:after="0"/>
        <w:rPr>
          <w:sz w:val="20"/>
          <w:szCs w:val="20"/>
          <w:color w:val="auto"/>
        </w:rPr>
      </w:pPr>
      <w:r>
        <w:rPr>
          <w:rFonts w:ascii="Courier New" w:cs="Courier New" w:eastAsia="Courier New" w:hAnsi="Courier New"/>
          <w:sz w:val="15"/>
          <w:szCs w:val="15"/>
          <w:color w:val="auto"/>
        </w:rPr>
        <w:t>(PLEASE PRINT OR TYPEWRITE NAME AND ADDRESS OF ASSIGNEE)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 Shares</w:t>
      </w:r>
    </w:p>
    <w:p>
      <w:pPr>
        <w:spacing w:after="0" w:line="5"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of the Stock represented by the within Certificate and do hereby irrevocably constitute and appoint ___________________________________________, Attorney,</w:t>
      </w:r>
    </w:p>
    <w:p>
      <w:pPr>
        <w:spacing w:after="0" w:line="1"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to transfer the said stock on the books of the within-named Corporation with full power of substitution in the premises.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hanging="185"/>
        <w:spacing w:after="0"/>
        <w:tabs>
          <w:tab w:leader="none" w:pos="32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w:t>
      </w:r>
    </w:p>
    <w:p>
      <w:pPr>
        <w:ind w:left="4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NOTICE: THE SIGNATURE(S) TO THIS ASSIGNMENT</w:t>
      </w:r>
    </w:p>
    <w:p>
      <w:pPr>
        <w:ind w:left="3260"/>
        <w:spacing w:after="0"/>
        <w:rPr>
          <w:sz w:val="20"/>
          <w:szCs w:val="20"/>
          <w:color w:val="auto"/>
        </w:rPr>
      </w:pPr>
      <w:r>
        <w:rPr>
          <w:rFonts w:ascii="Courier New" w:cs="Courier New" w:eastAsia="Courier New" w:hAnsi="Courier New"/>
          <w:sz w:val="15"/>
          <w:szCs w:val="15"/>
          <w:color w:val="auto"/>
        </w:rPr>
        <w:t>MUST CORRESPOND WITH THE NAME(S) AS WRITTEN</w:t>
      </w:r>
    </w:p>
    <w:p>
      <w:pPr>
        <w:ind w:left="3260"/>
        <w:spacing w:after="0"/>
        <w:rPr>
          <w:sz w:val="20"/>
          <w:szCs w:val="20"/>
          <w:color w:val="auto"/>
        </w:rPr>
      </w:pPr>
      <w:r>
        <w:rPr>
          <w:rFonts w:ascii="Courier New" w:cs="Courier New" w:eastAsia="Courier New" w:hAnsi="Courier New"/>
          <w:sz w:val="15"/>
          <w:szCs w:val="15"/>
          <w:color w:val="auto"/>
        </w:rPr>
        <w:t>UPON THE FACE OF THE CERTIFICATE IN</w:t>
      </w:r>
    </w:p>
    <w:p>
      <w:pPr>
        <w:ind w:left="3260"/>
        <w:spacing w:after="0" w:line="238" w:lineRule="auto"/>
        <w:rPr>
          <w:sz w:val="20"/>
          <w:szCs w:val="20"/>
          <w:color w:val="auto"/>
        </w:rPr>
      </w:pPr>
      <w:r>
        <w:rPr>
          <w:rFonts w:ascii="Courier New" w:cs="Courier New" w:eastAsia="Courier New" w:hAnsi="Courier New"/>
          <w:sz w:val="15"/>
          <w:szCs w:val="15"/>
          <w:color w:val="auto"/>
        </w:rPr>
        <w:t>EVERY PARTICULAR WITHOUT ALTERATION OR</w:t>
      </w:r>
    </w:p>
    <w:p>
      <w:pPr>
        <w:ind w:left="3260"/>
        <w:spacing w:after="0"/>
        <w:rPr>
          <w:sz w:val="20"/>
          <w:szCs w:val="20"/>
          <w:color w:val="auto"/>
        </w:rPr>
      </w:pPr>
      <w:r>
        <w:rPr>
          <w:rFonts w:ascii="Courier New" w:cs="Courier New" w:eastAsia="Courier New" w:hAnsi="Courier New"/>
          <w:sz w:val="15"/>
          <w:szCs w:val="15"/>
          <w:color w:val="auto"/>
        </w:rPr>
        <w:t>ENLARGEMENT OR ANY CHANGE WHATEVER.</w:t>
      </w:r>
    </w:p>
    <w:p>
      <w:pPr>
        <w:spacing w:after="0" w:line="200" w:lineRule="exact"/>
        <w:rPr>
          <w:sz w:val="20"/>
          <w:szCs w:val="20"/>
          <w:color w:val="auto"/>
        </w:rPr>
      </w:pPr>
    </w:p>
    <w:p>
      <w:pPr>
        <w:spacing w:after="0" w:line="308" w:lineRule="exact"/>
        <w:rPr>
          <w:sz w:val="20"/>
          <w:szCs w:val="20"/>
          <w:color w:val="auto"/>
        </w:rPr>
      </w:pPr>
    </w:p>
    <w:p>
      <w:pPr>
        <w:ind w:left="3260" w:hanging="185"/>
        <w:spacing w:after="0"/>
        <w:tabs>
          <w:tab w:leader="none" w:pos="32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w:t>
      </w:r>
    </w:p>
    <w:p>
      <w:pPr>
        <w:ind w:left="4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___________________________________________</w:t>
      </w:r>
    </w:p>
    <w:p>
      <w:pPr>
        <w:ind w:left="3260"/>
        <w:spacing w:after="0"/>
        <w:rPr>
          <w:sz w:val="20"/>
          <w:szCs w:val="20"/>
          <w:color w:val="auto"/>
        </w:rPr>
      </w:pPr>
      <w:r>
        <w:rPr>
          <w:rFonts w:ascii="Courier New" w:cs="Courier New" w:eastAsia="Courier New" w:hAnsi="Courier New"/>
          <w:sz w:val="15"/>
          <w:szCs w:val="15"/>
          <w:color w:val="auto"/>
        </w:rPr>
        <w:t>THE SIGNATURE(S) SHOULD BE GUARANTEED BY</w:t>
      </w:r>
    </w:p>
    <w:p>
      <w:pPr>
        <w:ind w:left="3260"/>
        <w:spacing w:after="0"/>
        <w:rPr>
          <w:sz w:val="20"/>
          <w:szCs w:val="20"/>
          <w:color w:val="auto"/>
        </w:rPr>
      </w:pPr>
      <w:r>
        <w:rPr>
          <w:rFonts w:ascii="Courier New" w:cs="Courier New" w:eastAsia="Courier New" w:hAnsi="Courier New"/>
          <w:sz w:val="15"/>
          <w:szCs w:val="15"/>
          <w:color w:val="auto"/>
        </w:rPr>
        <w:t>AN ELIGIBLE GUARANTOR INSTITUTION</w:t>
      </w:r>
    </w:p>
    <w:p>
      <w:pPr>
        <w:ind w:left="3260"/>
        <w:spacing w:after="0" w:line="238" w:lineRule="auto"/>
        <w:rPr>
          <w:sz w:val="20"/>
          <w:szCs w:val="20"/>
          <w:color w:val="auto"/>
        </w:rPr>
      </w:pPr>
      <w:r>
        <w:rPr>
          <w:rFonts w:ascii="Courier New" w:cs="Courier New" w:eastAsia="Courier New" w:hAnsi="Courier New"/>
          <w:sz w:val="15"/>
          <w:szCs w:val="15"/>
          <w:color w:val="auto"/>
        </w:rPr>
        <w:t>(BANKS, STOCKBROKERS, SAVINGS AND LOAN</w:t>
      </w:r>
    </w:p>
    <w:p>
      <w:pPr>
        <w:ind w:left="3260"/>
        <w:spacing w:after="0"/>
        <w:rPr>
          <w:sz w:val="20"/>
          <w:szCs w:val="20"/>
          <w:color w:val="auto"/>
        </w:rPr>
      </w:pPr>
      <w:r>
        <w:rPr>
          <w:rFonts w:ascii="Courier New" w:cs="Courier New" w:eastAsia="Courier New" w:hAnsi="Courier New"/>
          <w:sz w:val="15"/>
          <w:szCs w:val="15"/>
          <w:color w:val="auto"/>
        </w:rPr>
        <w:t>ASSOCIATIONS AND CREDIT UNIONS WITH</w:t>
      </w:r>
    </w:p>
    <w:p>
      <w:pPr>
        <w:ind w:left="3260"/>
        <w:spacing w:after="0"/>
        <w:rPr>
          <w:sz w:val="20"/>
          <w:szCs w:val="20"/>
          <w:color w:val="auto"/>
        </w:rPr>
      </w:pPr>
      <w:r>
        <w:rPr>
          <w:rFonts w:ascii="Courier New" w:cs="Courier New" w:eastAsia="Courier New" w:hAnsi="Courier New"/>
          <w:sz w:val="15"/>
          <w:szCs w:val="15"/>
          <w:color w:val="auto"/>
        </w:rPr>
        <w:t>MEMBERSHIP IN AN APPROVED SIGNATURE</w:t>
      </w:r>
    </w:p>
    <w:p>
      <w:pPr>
        <w:ind w:left="3260"/>
        <w:spacing w:after="0" w:line="238" w:lineRule="auto"/>
        <w:rPr>
          <w:sz w:val="20"/>
          <w:szCs w:val="20"/>
          <w:color w:val="auto"/>
        </w:rPr>
      </w:pPr>
      <w:r>
        <w:rPr>
          <w:rFonts w:ascii="Courier New" w:cs="Courier New" w:eastAsia="Courier New" w:hAnsi="Courier New"/>
          <w:sz w:val="15"/>
          <w:szCs w:val="15"/>
          <w:color w:val="auto"/>
        </w:rPr>
        <w:t>GUARANTEE MEDALLION PROGRAM), PURSUANT</w:t>
      </w:r>
    </w:p>
    <w:p>
      <w:pPr>
        <w:ind w:left="3260"/>
        <w:spacing w:after="0"/>
        <w:rPr>
          <w:sz w:val="20"/>
          <w:szCs w:val="20"/>
          <w:color w:val="auto"/>
        </w:rPr>
      </w:pPr>
      <w:r>
        <w:rPr>
          <w:rFonts w:ascii="Courier New" w:cs="Courier New" w:eastAsia="Courier New" w:hAnsi="Courier New"/>
          <w:sz w:val="15"/>
          <w:szCs w:val="15"/>
          <w:color w:val="auto"/>
        </w:rPr>
        <w:t>TO S.E.C. RULE 17Ad-15.</w:t>
      </w:r>
    </w:p>
    <w:p>
      <w:pPr>
        <w:ind w:left="3260"/>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SIGNATURE(S) GUARANTEED BY:</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___________________________________________</w:t>
      </w:r>
    </w:p>
    <w:p>
      <w:pPr>
        <w:sectPr>
          <w:pgSz w:w="11900" w:h="16838" w:orient="portrait"/>
          <w:cols w:equalWidth="0" w:num="1">
            <w:col w:w="10219"/>
          </w:cols>
          <w:pgMar w:left="240" w:top="283"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1993 STOCK INCENTIVE PLAN</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(AS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JULY 6, 1998</w:t>
      </w:r>
    </w:p>
    <w:p>
      <w:pPr>
        <w:sectPr>
          <w:pgSz w:w="11900" w:h="16838" w:orient="portrait"/>
          <w:cols w:equalWidth="0" w:num="1">
            <w:col w:w="9959"/>
          </w:cols>
          <w:pgMar w:left="500" w:top="136"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70"/>
        </w:trPr>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78"/>
        </w:trPr>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20" w:type="dxa"/>
            <w:vAlign w:val="bottom"/>
          </w:tcPr>
          <w:p>
            <w:pPr>
              <w:jc w:val="right"/>
              <w:ind w:right="3547"/>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24"/>
                <w:szCs w:val="24"/>
                <w:color w:val="auto"/>
              </w:rPr>
            </w:pPr>
          </w:p>
        </w:tc>
      </w:tr>
      <w:tr>
        <w:trPr>
          <w:trHeight w:val="848"/>
        </w:trPr>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6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GENERAL.........................................................................</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Purpose.............................................................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Administration......................................................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1.3.</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Eligibility for Participation.......................................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1.4.</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Types of Awards Under Plan..........................................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1.5.</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Aggregate Limitation on Awards......................................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1.6.</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Effective Date and Term of Plan.....................................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6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STOCK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Award of Stock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Stock Option Agreements.............................................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2.3.</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Stock Option Price..................................................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2.4.</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Term and Exercise...................................................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2.5.</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Manner of Payment...................................................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2.6.</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Delivery of Shares..................................................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2.7.</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Death, Retirement and Termination of Employment of Optionee.........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2.8.</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Tax Election........................................................</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2.9.</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Effect of Exercise..................................................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w w:val="94"/>
              </w:rPr>
              <w:t>ARTICLE III.</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INCENTIVE</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STOCK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Award of Incentive Stock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Incentive Stock Option Agreements...................................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3.3.</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Incentive Stock Option Price........................................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3.4.</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Term and Exercise...................................................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3.5.</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Maximum Amount of Incentive Stock Option Grant......................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3.6.</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Death of Optionee...................................................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3.7.</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Retirement or Disability............................................</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3.8.</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Termination for Other Reasons.......................................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3.9.</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Applicability of Stock Options Sections.............................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6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RELOAD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Authorization of Reload Options.....................................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Reload Option Amendment.............................................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4.3.</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Reload Option Price.................................................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4.4.</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Term and Exercise...................................................</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4.5.</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Termination of Employment...........................................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4.6.</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Applicability of Stock Options Sections.............................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339"/>
        </w:trPr>
        <w:tc>
          <w:tcPr>
            <w:tcW w:w="104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6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ALTERNATE APPRECIATION RIGHTS...................................................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5.1.</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Award of Alternate Appreciation Rights..............................</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70"/>
        </w:trPr>
        <w:tc>
          <w:tcPr>
            <w:tcW w:w="21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Section 5.2.</w:t>
            </w:r>
          </w:p>
        </w:tc>
        <w:tc>
          <w:tcPr>
            <w:tcW w:w="5820" w:type="dxa"/>
            <w:vAlign w:val="bottom"/>
          </w:tcPr>
          <w:p>
            <w:pPr>
              <w:jc w:val="right"/>
              <w:spacing w:after="0"/>
              <w:rPr>
                <w:sz w:val="20"/>
                <w:szCs w:val="20"/>
                <w:color w:val="auto"/>
              </w:rPr>
            </w:pPr>
            <w:r>
              <w:rPr>
                <w:rFonts w:ascii="Courier New" w:cs="Courier New" w:eastAsia="Courier New" w:hAnsi="Courier New"/>
                <w:sz w:val="15"/>
                <w:szCs w:val="15"/>
                <w:color w:val="auto"/>
                <w:w w:val="94"/>
              </w:rPr>
              <w:t>Alternate Appreciation Rights Agreement.............................</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5.3.</w:t>
        <w:tab/>
        <w:t>Exercise</w:t>
      </w:r>
      <w:r>
        <w:rPr>
          <w:sz w:val="20"/>
          <w:szCs w:val="20"/>
          <w:color w:val="auto"/>
        </w:rPr>
        <w:tab/>
      </w:r>
      <w:r>
        <w:rPr>
          <w:rFonts w:ascii="Courier New" w:cs="Courier New" w:eastAsia="Courier New" w:hAnsi="Courier New"/>
          <w:sz w:val="13"/>
          <w:szCs w:val="13"/>
          <w:color w:val="auto"/>
        </w:rPr>
        <w:t>9</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5.4.</w:t>
        <w:tab/>
        <w:t>Amount of Payment</w:t>
      </w:r>
      <w:r>
        <w:rPr>
          <w:sz w:val="20"/>
          <w:szCs w:val="20"/>
          <w:color w:val="auto"/>
        </w:rPr>
        <w:tab/>
      </w:r>
      <w:r>
        <w:rPr>
          <w:rFonts w:ascii="Courier New" w:cs="Courier New" w:eastAsia="Courier New" w:hAnsi="Courier New"/>
          <w:sz w:val="13"/>
          <w:szCs w:val="13"/>
          <w:color w:val="auto"/>
        </w:rPr>
        <w:t>9</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5.5.</w:t>
        <w:tab/>
        <w:t>Form of Payment</w:t>
      </w:r>
      <w:r>
        <w:rPr>
          <w:sz w:val="20"/>
          <w:szCs w:val="20"/>
          <w:color w:val="auto"/>
        </w:rPr>
        <w:tab/>
      </w:r>
      <w:r>
        <w:rPr>
          <w:rFonts w:ascii="Courier New" w:cs="Courier New" w:eastAsia="Courier New" w:hAnsi="Courier New"/>
          <w:sz w:val="13"/>
          <w:szCs w:val="13"/>
          <w:color w:val="auto"/>
        </w:rPr>
        <w:t>9</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5.6.</w:t>
        <w:tab/>
        <w:t>Effect of Exercise</w:t>
      </w:r>
      <w:r>
        <w:rPr>
          <w:sz w:val="20"/>
          <w:szCs w:val="20"/>
          <w:color w:val="auto"/>
        </w:rPr>
        <w:tab/>
      </w:r>
      <w:r>
        <w:rPr>
          <w:rFonts w:ascii="Courier New" w:cs="Courier New" w:eastAsia="Courier New" w:hAnsi="Courier New"/>
          <w:sz w:val="15"/>
          <w:szCs w:val="15"/>
          <w:color w:val="auto"/>
        </w:rPr>
        <w:t>10</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5.7.</w:t>
        <w:tab/>
        <w:t>Termination of Employment, Retirement, Death or Disability</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tabs>
          <w:tab w:leader="none" w:pos="1120" w:val="left"/>
          <w:tab w:leader="dot" w:pos="8080" w:val="left"/>
        </w:tabs>
        <w:rPr>
          <w:sz w:val="20"/>
          <w:szCs w:val="20"/>
          <w:color w:val="auto"/>
        </w:rPr>
      </w:pPr>
      <w:r>
        <w:rPr>
          <w:rFonts w:ascii="Courier New" w:cs="Courier New" w:eastAsia="Courier New" w:hAnsi="Courier New"/>
          <w:sz w:val="15"/>
          <w:szCs w:val="15"/>
          <w:color w:val="auto"/>
        </w:rPr>
        <w:t>ARTICLE VI.</w:t>
        <w:tab/>
        <w:t>LIMITED RIGHTS</w:t>
      </w:r>
      <w:r>
        <w:rPr>
          <w:sz w:val="20"/>
          <w:szCs w:val="20"/>
          <w:color w:val="auto"/>
        </w:rPr>
        <w:tab/>
      </w:r>
      <w:r>
        <w:rPr>
          <w:rFonts w:ascii="Courier New" w:cs="Courier New" w:eastAsia="Courier New" w:hAnsi="Courier New"/>
          <w:sz w:val="15"/>
          <w:szCs w:val="15"/>
          <w:color w:val="auto"/>
        </w:rPr>
        <w:t>10</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6.1.</w:t>
        <w:tab/>
        <w:t>Award of Limited Rights</w:t>
      </w:r>
      <w:r>
        <w:rPr>
          <w:sz w:val="20"/>
          <w:szCs w:val="20"/>
          <w:color w:val="auto"/>
        </w:rPr>
        <w:tab/>
      </w:r>
      <w:r>
        <w:rPr>
          <w:rFonts w:ascii="Courier New" w:cs="Courier New" w:eastAsia="Courier New" w:hAnsi="Courier New"/>
          <w:sz w:val="15"/>
          <w:szCs w:val="15"/>
          <w:color w:val="auto"/>
        </w:rPr>
        <w:t>10</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6.2.</w:t>
        <w:tab/>
        <w:t>Limited Rights Agreement</w:t>
      </w:r>
      <w:r>
        <w:rPr>
          <w:sz w:val="20"/>
          <w:szCs w:val="20"/>
          <w:color w:val="auto"/>
        </w:rPr>
        <w:tab/>
      </w:r>
      <w:r>
        <w:rPr>
          <w:rFonts w:ascii="Courier New" w:cs="Courier New" w:eastAsia="Courier New" w:hAnsi="Courier New"/>
          <w:sz w:val="15"/>
          <w:szCs w:val="15"/>
          <w:color w:val="auto"/>
        </w:rPr>
        <w:t>10</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6.3.</w:t>
        <w:tab/>
        <w:t>Exercise Period</w:t>
      </w:r>
      <w:r>
        <w:rPr>
          <w:sz w:val="20"/>
          <w:szCs w:val="20"/>
          <w:color w:val="auto"/>
        </w:rPr>
        <w:tab/>
      </w:r>
      <w:r>
        <w:rPr>
          <w:rFonts w:ascii="Courier New" w:cs="Courier New" w:eastAsia="Courier New" w:hAnsi="Courier New"/>
          <w:sz w:val="15"/>
          <w:szCs w:val="15"/>
          <w:color w:val="auto"/>
        </w:rPr>
        <w:t>10</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6.4.</w:t>
        <w:tab/>
        <w:t>Amount of Payment</w:t>
      </w:r>
      <w:r>
        <w:rPr>
          <w:sz w:val="20"/>
          <w:szCs w:val="20"/>
          <w:color w:val="auto"/>
        </w:rPr>
        <w:tab/>
      </w:r>
      <w:r>
        <w:rPr>
          <w:rFonts w:ascii="Courier New" w:cs="Courier New" w:eastAsia="Courier New" w:hAnsi="Courier New"/>
          <w:sz w:val="15"/>
          <w:szCs w:val="15"/>
          <w:color w:val="auto"/>
        </w:rPr>
        <w:t>10</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6.5.</w:t>
        <w:tab/>
        <w:t>Form of Payment</w:t>
      </w:r>
      <w:r>
        <w:rPr>
          <w:sz w:val="20"/>
          <w:szCs w:val="20"/>
          <w:color w:val="auto"/>
        </w:rPr>
        <w:tab/>
      </w:r>
      <w:r>
        <w:rPr>
          <w:rFonts w:ascii="Courier New" w:cs="Courier New" w:eastAsia="Courier New" w:hAnsi="Courier New"/>
          <w:sz w:val="15"/>
          <w:szCs w:val="15"/>
          <w:color w:val="auto"/>
        </w:rPr>
        <w:t>11</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6.6.</w:t>
        <w:tab/>
        <w:t>Effect of Exercise</w:t>
      </w:r>
      <w:r>
        <w:rPr>
          <w:sz w:val="20"/>
          <w:szCs w:val="20"/>
          <w:color w:val="auto"/>
        </w:rPr>
        <w:tab/>
      </w:r>
      <w:r>
        <w:rPr>
          <w:rFonts w:ascii="Courier New" w:cs="Courier New" w:eastAsia="Courier New" w:hAnsi="Courier New"/>
          <w:sz w:val="15"/>
          <w:szCs w:val="15"/>
          <w:color w:val="auto"/>
        </w:rPr>
        <w:t>11</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6.7.</w:t>
        <w:tab/>
        <w:t>Retirement or Disability</w:t>
      </w:r>
      <w:r>
        <w:rPr>
          <w:sz w:val="20"/>
          <w:szCs w:val="20"/>
          <w:color w:val="auto"/>
        </w:rPr>
        <w:tab/>
      </w:r>
      <w:r>
        <w:rPr>
          <w:rFonts w:ascii="Courier New" w:cs="Courier New" w:eastAsia="Courier New" w:hAnsi="Courier New"/>
          <w:sz w:val="15"/>
          <w:szCs w:val="15"/>
          <w:color w:val="auto"/>
        </w:rPr>
        <w:t>11</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6.8.</w:t>
        <w:tab/>
        <w:t>Death of Optionee or Termination for Other Reasons</w:t>
      </w:r>
      <w:r>
        <w:rPr>
          <w:sz w:val="20"/>
          <w:szCs w:val="20"/>
          <w:color w:val="auto"/>
        </w:rPr>
        <w:tab/>
      </w:r>
      <w:r>
        <w:rPr>
          <w:rFonts w:ascii="Courier New" w:cs="Courier New" w:eastAsia="Courier New" w:hAnsi="Courier New"/>
          <w:sz w:val="15"/>
          <w:szCs w:val="15"/>
          <w:color w:val="auto"/>
        </w:rPr>
        <w:t>11</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6.9.</w:t>
        <w:tab/>
        <w:t>Termination Related to a Change in Control</w:t>
      </w:r>
      <w:r>
        <w:rPr>
          <w:sz w:val="20"/>
          <w:szCs w:val="20"/>
          <w:color w:val="auto"/>
        </w:rPr>
        <w:tab/>
      </w:r>
      <w:r>
        <w:rPr>
          <w:rFonts w:ascii="Courier New" w:cs="Courier New" w:eastAsia="Courier New" w:hAnsi="Courier New"/>
          <w:sz w:val="15"/>
          <w:szCs w:val="15"/>
          <w:color w:val="auto"/>
        </w:rPr>
        <w:t>11</w:t>
      </w:r>
    </w:p>
    <w:p>
      <w:pPr>
        <w:spacing w:after="0" w:line="168" w:lineRule="exact"/>
        <w:rPr>
          <w:sz w:val="20"/>
          <w:szCs w:val="20"/>
          <w:color w:val="auto"/>
        </w:rPr>
      </w:pPr>
    </w:p>
    <w:p>
      <w:pPr>
        <w:spacing w:after="0"/>
        <w:tabs>
          <w:tab w:leader="none" w:pos="1200" w:val="left"/>
          <w:tab w:leader="dot" w:pos="8080" w:val="left"/>
        </w:tabs>
        <w:rPr>
          <w:sz w:val="20"/>
          <w:szCs w:val="20"/>
          <w:color w:val="auto"/>
        </w:rPr>
      </w:pPr>
      <w:r>
        <w:rPr>
          <w:rFonts w:ascii="Courier New" w:cs="Courier New" w:eastAsia="Courier New" w:hAnsi="Courier New"/>
          <w:sz w:val="15"/>
          <w:szCs w:val="15"/>
          <w:color w:val="auto"/>
        </w:rPr>
        <w:t>ARTICLE VII.</w:t>
        <w:tab/>
        <w:t>SUBSTITUTION AWARDS</w:t>
      </w:r>
      <w:r>
        <w:rPr>
          <w:sz w:val="20"/>
          <w:szCs w:val="20"/>
          <w:color w:val="auto"/>
        </w:rPr>
        <w:tab/>
      </w: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tabs>
          <w:tab w:leader="none" w:pos="1300" w:val="left"/>
          <w:tab w:leader="dot" w:pos="8080" w:val="left"/>
        </w:tabs>
        <w:rPr>
          <w:sz w:val="20"/>
          <w:szCs w:val="20"/>
          <w:color w:val="auto"/>
        </w:rPr>
      </w:pPr>
      <w:r>
        <w:rPr>
          <w:rFonts w:ascii="Courier New" w:cs="Courier New" w:eastAsia="Courier New" w:hAnsi="Courier New"/>
          <w:sz w:val="15"/>
          <w:szCs w:val="15"/>
          <w:color w:val="auto"/>
        </w:rPr>
        <w:t>ARTICLE VIII.</w:t>
        <w:tab/>
        <w:t>BONUS STOCK AWARDS</w:t>
      </w:r>
      <w:r>
        <w:rPr>
          <w:sz w:val="20"/>
          <w:szCs w:val="20"/>
          <w:color w:val="auto"/>
        </w:rPr>
        <w:tab/>
      </w:r>
      <w:r>
        <w:rPr>
          <w:rFonts w:ascii="Courier New" w:cs="Courier New" w:eastAsia="Courier New" w:hAnsi="Courier New"/>
          <w:sz w:val="15"/>
          <w:szCs w:val="15"/>
          <w:color w:val="auto"/>
        </w:rPr>
        <w:t>12</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8.1.</w:t>
        <w:tab/>
        <w:t>Award of Bonus Stock</w:t>
      </w:r>
      <w:r>
        <w:rPr>
          <w:sz w:val="20"/>
          <w:szCs w:val="20"/>
          <w:color w:val="auto"/>
        </w:rPr>
        <w:tab/>
      </w:r>
      <w:r>
        <w:rPr>
          <w:rFonts w:ascii="Courier New" w:cs="Courier New" w:eastAsia="Courier New" w:hAnsi="Courier New"/>
          <w:sz w:val="15"/>
          <w:szCs w:val="15"/>
          <w:color w:val="auto"/>
        </w:rPr>
        <w:t>12</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8.2.</w:t>
        <w:tab/>
        <w:t>Stock Bonus Agreements</w:t>
      </w:r>
      <w:r>
        <w:rPr>
          <w:sz w:val="20"/>
          <w:szCs w:val="20"/>
          <w:color w:val="auto"/>
        </w:rPr>
        <w:tab/>
      </w:r>
      <w:r>
        <w:rPr>
          <w:rFonts w:ascii="Courier New" w:cs="Courier New" w:eastAsia="Courier New" w:hAnsi="Courier New"/>
          <w:sz w:val="15"/>
          <w:szCs w:val="15"/>
          <w:color w:val="auto"/>
        </w:rPr>
        <w:t>12</w:t>
      </w:r>
    </w:p>
    <w:p>
      <w:pPr>
        <w:spacing w:after="0" w:line="168" w:lineRule="exact"/>
        <w:rPr>
          <w:sz w:val="20"/>
          <w:szCs w:val="20"/>
          <w:color w:val="auto"/>
        </w:rPr>
      </w:pPr>
    </w:p>
    <w:p>
      <w:pPr>
        <w:spacing w:after="0"/>
        <w:tabs>
          <w:tab w:leader="none" w:pos="1120" w:val="left"/>
          <w:tab w:leader="dot" w:pos="8080" w:val="left"/>
        </w:tabs>
        <w:rPr>
          <w:sz w:val="20"/>
          <w:szCs w:val="20"/>
          <w:color w:val="auto"/>
        </w:rPr>
      </w:pPr>
      <w:r>
        <w:rPr>
          <w:rFonts w:ascii="Courier New" w:cs="Courier New" w:eastAsia="Courier New" w:hAnsi="Courier New"/>
          <w:sz w:val="15"/>
          <w:szCs w:val="15"/>
          <w:color w:val="auto"/>
        </w:rPr>
        <w:t>ARTICLE IX.</w:t>
        <w:tab/>
        <w:t>MISCELLANEOUS</w:t>
      </w:r>
      <w:r>
        <w:rPr>
          <w:sz w:val="20"/>
          <w:szCs w:val="20"/>
          <w:color w:val="auto"/>
        </w:rPr>
        <w:tab/>
      </w:r>
      <w:r>
        <w:rPr>
          <w:rFonts w:ascii="Courier New" w:cs="Courier New" w:eastAsia="Courier New" w:hAnsi="Courier New"/>
          <w:sz w:val="15"/>
          <w:szCs w:val="15"/>
          <w:color w:val="auto"/>
        </w:rPr>
        <w:t>12</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w:t>
        <w:tab/>
        <w:t>General Restriction</w:t>
      </w:r>
      <w:r>
        <w:rPr>
          <w:sz w:val="20"/>
          <w:szCs w:val="20"/>
          <w:color w:val="auto"/>
        </w:rPr>
        <w:tab/>
      </w:r>
      <w:r>
        <w:rPr>
          <w:rFonts w:ascii="Courier New" w:cs="Courier New" w:eastAsia="Courier New" w:hAnsi="Courier New"/>
          <w:sz w:val="15"/>
          <w:szCs w:val="15"/>
          <w:color w:val="auto"/>
        </w:rPr>
        <w:t>12</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9.2.</w:t>
        <w:tab/>
        <w:t>Non-Assignability</w:t>
      </w:r>
      <w:r>
        <w:rPr>
          <w:sz w:val="20"/>
          <w:szCs w:val="20"/>
          <w:color w:val="auto"/>
        </w:rPr>
        <w:tab/>
      </w:r>
      <w:r>
        <w:rPr>
          <w:rFonts w:ascii="Courier New" w:cs="Courier New" w:eastAsia="Courier New" w:hAnsi="Courier New"/>
          <w:sz w:val="15"/>
          <w:szCs w:val="15"/>
          <w:color w:val="auto"/>
        </w:rPr>
        <w:t>13</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9.3.</w:t>
        <w:tab/>
        <w:t>Withholding Taxes</w:t>
      </w:r>
      <w:r>
        <w:rPr>
          <w:sz w:val="20"/>
          <w:szCs w:val="20"/>
          <w:color w:val="auto"/>
        </w:rPr>
        <w:tab/>
      </w:r>
      <w:r>
        <w:rPr>
          <w:rFonts w:ascii="Courier New" w:cs="Courier New" w:eastAsia="Courier New" w:hAnsi="Courier New"/>
          <w:sz w:val="15"/>
          <w:szCs w:val="15"/>
          <w:color w:val="auto"/>
        </w:rPr>
        <w:t>13</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9.4.</w:t>
        <w:tab/>
        <w:t>Right to Terminate Employment</w:t>
      </w:r>
      <w:r>
        <w:rPr>
          <w:sz w:val="20"/>
          <w:szCs w:val="20"/>
          <w:color w:val="auto"/>
        </w:rPr>
        <w:tab/>
      </w:r>
      <w:r>
        <w:rPr>
          <w:rFonts w:ascii="Courier New" w:cs="Courier New" w:eastAsia="Courier New" w:hAnsi="Courier New"/>
          <w:sz w:val="15"/>
          <w:szCs w:val="15"/>
          <w:color w:val="auto"/>
        </w:rPr>
        <w:t>13</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9.5.</w:t>
        <w:tab/>
        <w:t>Non-Uniform Determination</w:t>
      </w:r>
      <w:r>
        <w:rPr>
          <w:sz w:val="20"/>
          <w:szCs w:val="20"/>
          <w:color w:val="auto"/>
        </w:rPr>
        <w:tab/>
      </w:r>
      <w:r>
        <w:rPr>
          <w:rFonts w:ascii="Courier New" w:cs="Courier New" w:eastAsia="Courier New" w:hAnsi="Courier New"/>
          <w:sz w:val="15"/>
          <w:szCs w:val="15"/>
          <w:color w:val="auto"/>
        </w:rPr>
        <w:t>13</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9.6.</w:t>
        <w:tab/>
        <w:t>Rights as a Shareholder</w:t>
      </w:r>
      <w:r>
        <w:rPr>
          <w:sz w:val="20"/>
          <w:szCs w:val="20"/>
          <w:color w:val="auto"/>
        </w:rPr>
        <w:tab/>
      </w:r>
      <w:r>
        <w:rPr>
          <w:rFonts w:ascii="Courier New" w:cs="Courier New" w:eastAsia="Courier New" w:hAnsi="Courier New"/>
          <w:sz w:val="15"/>
          <w:szCs w:val="15"/>
          <w:color w:val="auto"/>
        </w:rPr>
        <w:t>13</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9.7.</w:t>
        <w:tab/>
        <w:t>Definitions</w:t>
      </w:r>
      <w:r>
        <w:rPr>
          <w:sz w:val="20"/>
          <w:szCs w:val="20"/>
          <w:color w:val="auto"/>
        </w:rPr>
        <w:tab/>
      </w:r>
      <w:r>
        <w:rPr>
          <w:rFonts w:ascii="Courier New" w:cs="Courier New" w:eastAsia="Courier New" w:hAnsi="Courier New"/>
          <w:sz w:val="15"/>
          <w:szCs w:val="15"/>
          <w:color w:val="auto"/>
        </w:rPr>
        <w:t>14</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9.8.</w:t>
        <w:tab/>
        <w:t>Leaves of Absence</w:t>
      </w:r>
      <w:r>
        <w:rPr>
          <w:sz w:val="20"/>
          <w:szCs w:val="20"/>
          <w:color w:val="auto"/>
        </w:rPr>
        <w:tab/>
      </w:r>
      <w:r>
        <w:rPr>
          <w:rFonts w:ascii="Courier New" w:cs="Courier New" w:eastAsia="Courier New" w:hAnsi="Courier New"/>
          <w:sz w:val="15"/>
          <w:szCs w:val="15"/>
          <w:color w:val="auto"/>
        </w:rPr>
        <w:t>15</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9.9.</w:t>
        <w:tab/>
        <w:t>Newly Eligible Employees</w:t>
      </w:r>
      <w:r>
        <w:rPr>
          <w:sz w:val="20"/>
          <w:szCs w:val="20"/>
          <w:color w:val="auto"/>
        </w:rPr>
        <w:tab/>
      </w:r>
      <w:r>
        <w:rPr>
          <w:rFonts w:ascii="Courier New" w:cs="Courier New" w:eastAsia="Courier New" w:hAnsi="Courier New"/>
          <w:sz w:val="15"/>
          <w:szCs w:val="15"/>
          <w:color w:val="auto"/>
        </w:rPr>
        <w:t>15</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9.10.</w:t>
        <w:tab/>
        <w:t>Adjustments</w:t>
      </w:r>
      <w:r>
        <w:rPr>
          <w:sz w:val="20"/>
          <w:szCs w:val="20"/>
          <w:color w:val="auto"/>
        </w:rPr>
        <w:tab/>
      </w:r>
      <w:r>
        <w:rPr>
          <w:rFonts w:ascii="Courier New" w:cs="Courier New" w:eastAsia="Courier New" w:hAnsi="Courier New"/>
          <w:sz w:val="15"/>
          <w:szCs w:val="15"/>
          <w:color w:val="auto"/>
        </w:rPr>
        <w:t>15</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9.11.</w:t>
        <w:tab/>
        <w:t>Changes in the Company's Capital Structure</w:t>
      </w:r>
      <w:r>
        <w:rPr>
          <w:sz w:val="20"/>
          <w:szCs w:val="20"/>
          <w:color w:val="auto"/>
        </w:rPr>
        <w:tab/>
      </w:r>
      <w:r>
        <w:rPr>
          <w:rFonts w:ascii="Courier New" w:cs="Courier New" w:eastAsia="Courier New" w:hAnsi="Courier New"/>
          <w:sz w:val="15"/>
          <w:szCs w:val="15"/>
          <w:color w:val="auto"/>
        </w:rPr>
        <w:t>16</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9.12.</w:t>
        <w:tab/>
        <w:t>Change in Control</w:t>
      </w:r>
      <w:r>
        <w:rPr>
          <w:sz w:val="20"/>
          <w:szCs w:val="20"/>
          <w:color w:val="auto"/>
        </w:rPr>
        <w:tab/>
      </w:r>
      <w:r>
        <w:rPr>
          <w:rFonts w:ascii="Courier New" w:cs="Courier New" w:eastAsia="Courier New" w:hAnsi="Courier New"/>
          <w:sz w:val="15"/>
          <w:szCs w:val="15"/>
          <w:color w:val="auto"/>
        </w:rPr>
        <w:t>17</w:t>
      </w:r>
    </w:p>
    <w:p>
      <w:pPr>
        <w:ind w:left="780"/>
        <w:spacing w:after="0" w:line="238" w:lineRule="auto"/>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9.13.</w:t>
        <w:tab/>
        <w:t>Amendment of the Plan</w:t>
      </w:r>
      <w:r>
        <w:rPr>
          <w:sz w:val="20"/>
          <w:szCs w:val="20"/>
          <w:color w:val="auto"/>
        </w:rPr>
        <w:tab/>
      </w:r>
      <w:r>
        <w:rPr>
          <w:rFonts w:ascii="Courier New" w:cs="Courier New" w:eastAsia="Courier New" w:hAnsi="Courier New"/>
          <w:sz w:val="15"/>
          <w:szCs w:val="15"/>
          <w:color w:val="auto"/>
        </w:rPr>
        <w:t>18</w:t>
      </w:r>
    </w:p>
    <w:p>
      <w:pPr>
        <w:ind w:left="780"/>
        <w:spacing w:after="0"/>
        <w:tabs>
          <w:tab w:leader="none" w:pos="2080" w:val="left"/>
          <w:tab w:leader="dot" w:pos="8080" w:val="left"/>
        </w:tabs>
        <w:rPr>
          <w:sz w:val="20"/>
          <w:szCs w:val="20"/>
          <w:color w:val="auto"/>
        </w:rPr>
      </w:pPr>
      <w:r>
        <w:rPr>
          <w:rFonts w:ascii="Courier New" w:cs="Courier New" w:eastAsia="Courier New" w:hAnsi="Courier New"/>
          <w:sz w:val="15"/>
          <w:szCs w:val="15"/>
          <w:color w:val="auto"/>
        </w:rPr>
        <w:t>Section 9.14.</w:t>
        <w:tab/>
        <w:t>Effective Date</w:t>
      </w:r>
      <w:r>
        <w:rPr>
          <w:sz w:val="20"/>
          <w:szCs w:val="20"/>
          <w:color w:val="auto"/>
        </w:rPr>
        <w:tab/>
      </w:r>
      <w:r>
        <w:rPr>
          <w:rFonts w:ascii="Courier New" w:cs="Courier New" w:eastAsia="Courier New" w:hAnsi="Courier New"/>
          <w:sz w:val="15"/>
          <w:szCs w:val="15"/>
          <w:color w:val="auto"/>
        </w:rPr>
        <w:t>18</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1993 STOCK INCENTIVE PLAN</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 GENERAL</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1.1. Purpose. The purposes of this Stock Incentive Plan (the "Plan") are to: (1) closely associate the interests of the employees and consultants of Waste Management, Inc. and its Subsidiaries and Affiliates (collectively referred to as the "Company") with the shareholders to generate an increased incentive to contribute to the Company's future success and prosperity, thus enhancing the value of the Company for the benefit of its stockholders; (2) provide employees and consultants with a proprietary ownership interest in the Company commensurate with Company performance, as reflected in increased shareholder value; (3) maintain competitive compensation levels thereby attracting and retaining highly competent and talented employees and consultants; and (4) provide an incentive to employees and consultants for continuous employment with or services to the Company.</w:t>
      </w:r>
    </w:p>
    <w:p>
      <w:pPr>
        <w:spacing w:after="0" w:line="176"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Administration.</w:t>
      </w:r>
    </w:p>
    <w:p>
      <w:pPr>
        <w:spacing w:after="0" w:line="175" w:lineRule="exact"/>
        <w:rPr>
          <w:sz w:val="20"/>
          <w:szCs w:val="20"/>
          <w:color w:val="auto"/>
        </w:rPr>
      </w:pPr>
    </w:p>
    <w:p>
      <w:pPr>
        <w:jc w:val="both"/>
        <w:ind w:right="3259" w:firstLine="784"/>
        <w:spacing w:after="0" w:line="237" w:lineRule="auto"/>
        <w:tabs>
          <w:tab w:leader="none" w:pos="15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a committee of non-employee directors appointed by the Board of Directors of the Company (the "Committee"), as constituted from time to time.</w:t>
      </w:r>
    </w:p>
    <w:p>
      <w:pPr>
        <w:spacing w:after="0" w:line="174" w:lineRule="exact"/>
        <w:rPr>
          <w:rFonts w:ascii="Courier New" w:cs="Courier New" w:eastAsia="Courier New" w:hAnsi="Courier New"/>
          <w:sz w:val="15"/>
          <w:szCs w:val="15"/>
          <w:color w:val="auto"/>
        </w:rPr>
      </w:pPr>
    </w:p>
    <w:p>
      <w:pPr>
        <w:ind w:right="3179" w:firstLine="784"/>
        <w:spacing w:after="0" w:line="235" w:lineRule="auto"/>
        <w:tabs>
          <w:tab w:leader="none" w:pos="158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authority, in its sole discretion and from time to time to:</w:t>
      </w:r>
    </w:p>
    <w:p>
      <w:pPr>
        <w:spacing w:after="0" w:line="175" w:lineRule="exact"/>
        <w:rPr>
          <w:rFonts w:ascii="Courier New" w:cs="Courier New" w:eastAsia="Courier New" w:hAnsi="Courier New"/>
          <w:sz w:val="15"/>
          <w:szCs w:val="15"/>
          <w:color w:val="auto"/>
        </w:rPr>
      </w:pPr>
    </w:p>
    <w:p>
      <w:pPr>
        <w:ind w:left="780" w:right="3359" w:firstLine="797"/>
        <w:spacing w:after="0" w:line="237" w:lineRule="auto"/>
        <w:tabs>
          <w:tab w:leader="none" w:pos="210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 the employees and consultants or classes of employees of and consultants to the Company eligible to participate in the Plan;</w:t>
      </w:r>
    </w:p>
    <w:p>
      <w:pPr>
        <w:spacing w:after="0" w:line="174" w:lineRule="exact"/>
        <w:rPr>
          <w:rFonts w:ascii="Courier New" w:cs="Courier New" w:eastAsia="Courier New" w:hAnsi="Courier New"/>
          <w:sz w:val="15"/>
          <w:szCs w:val="15"/>
          <w:color w:val="auto"/>
        </w:rPr>
      </w:pPr>
    </w:p>
    <w:p>
      <w:pPr>
        <w:ind w:left="780" w:right="3539" w:firstLine="797"/>
        <w:spacing w:after="0" w:line="235" w:lineRule="auto"/>
        <w:tabs>
          <w:tab w:leader="none" w:pos="210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awards ("Awards") provided in the Plan in such form and amount as the Committee shall determine;</w:t>
      </w:r>
    </w:p>
    <w:p>
      <w:pPr>
        <w:spacing w:after="0" w:line="175" w:lineRule="exact"/>
        <w:rPr>
          <w:rFonts w:ascii="Courier New" w:cs="Courier New" w:eastAsia="Courier New" w:hAnsi="Courier New"/>
          <w:sz w:val="15"/>
          <w:szCs w:val="15"/>
          <w:color w:val="auto"/>
        </w:rPr>
      </w:pPr>
    </w:p>
    <w:p>
      <w:pPr>
        <w:jc w:val="both"/>
        <w:ind w:left="780" w:right="3359" w:firstLine="797"/>
        <w:spacing w:after="0" w:line="237" w:lineRule="auto"/>
        <w:tabs>
          <w:tab w:leader="none" w:pos="210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impose such limitations, restrictions, and conditions, not inconsistent with this Plan, upon any such Award as the Committee shall deem appropriate; and</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210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 and any agreement, instrument, or other document executed in connection with the Plan; adopt, amend, and rescind rules and regulations relating to the Plan; and make all other determinations and take all other action necessary or advisable for the implementation and administration of the Plan.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right="3359" w:firstLine="784"/>
        <w:spacing w:after="0" w:line="238" w:lineRule="auto"/>
        <w:tabs>
          <w:tab w:leader="none" w:pos="158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Decisions and determinations of the Committee on all matters relating to the Plan shall be in its sole discretion and shall be final, conclusive, and binding upon all persons, including the Company, any participant, any stockholder of the Company, and any employee or consultant. A majority of the members of the Committee may determine its actions and fix the time and place of its meetings. No member of the Committee shall be liable for any action taken or decision made in good faith relating to the Plan or any Award thereunder.</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1.3. Eligibility for Participation. Participants in the Plan ("Participants") shall be selected by the Committee from the employees of and consultants to the Company who are responsible for or contribute to the management, growth, success and, profitability of the Company. In making this selection and in determining the form and amount of Awards, the Committee shall consider any factors deemed relevant, including the individual's functions, responsibilities, value of services to the Company, and past and potential contributions to the Company's profitability and growth.</w:t>
      </w:r>
    </w:p>
    <w:p>
      <w:pPr>
        <w:spacing w:after="0" w:line="178"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Section 1.4 Types of Awards Under Plan. Awards under the Plan may be in the form of any one or more of the following:</w:t>
      </w:r>
    </w:p>
    <w:p>
      <w:pPr>
        <w:spacing w:after="0" w:line="170" w:lineRule="exact"/>
        <w:rPr>
          <w:sz w:val="20"/>
          <w:szCs w:val="20"/>
          <w:color w:val="auto"/>
        </w:rPr>
      </w:pPr>
    </w:p>
    <w:p>
      <w:pPr>
        <w:ind w:left="2100" w:hanging="523"/>
        <w:spacing w:after="0"/>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as described in Article II;</w:t>
      </w:r>
    </w:p>
    <w:p>
      <w:pPr>
        <w:spacing w:after="0" w:line="169" w:lineRule="exact"/>
        <w:rPr>
          <w:rFonts w:ascii="Courier New" w:cs="Courier New" w:eastAsia="Courier New" w:hAnsi="Courier New"/>
          <w:sz w:val="15"/>
          <w:szCs w:val="15"/>
          <w:color w:val="auto"/>
        </w:rPr>
      </w:pPr>
    </w:p>
    <w:p>
      <w:pPr>
        <w:ind w:left="2100" w:hanging="523"/>
        <w:spacing w:after="0"/>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as described in Article III;</w:t>
      </w:r>
    </w:p>
    <w:p>
      <w:pPr>
        <w:spacing w:after="0" w:line="169" w:lineRule="exact"/>
        <w:rPr>
          <w:rFonts w:ascii="Courier New" w:cs="Courier New" w:eastAsia="Courier New" w:hAnsi="Courier New"/>
          <w:sz w:val="15"/>
          <w:szCs w:val="15"/>
          <w:color w:val="auto"/>
        </w:rPr>
      </w:pPr>
    </w:p>
    <w:p>
      <w:pPr>
        <w:ind w:left="2100" w:hanging="523"/>
        <w:spacing w:after="0"/>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Reload Options, as described in Article IV;</w:t>
      </w:r>
    </w:p>
    <w:p>
      <w:pPr>
        <w:spacing w:after="0" w:line="169" w:lineRule="exact"/>
        <w:rPr>
          <w:rFonts w:ascii="Courier New" w:cs="Courier New" w:eastAsia="Courier New" w:hAnsi="Courier New"/>
          <w:sz w:val="15"/>
          <w:szCs w:val="15"/>
          <w:color w:val="auto"/>
        </w:rPr>
      </w:pPr>
    </w:p>
    <w:p>
      <w:pPr>
        <w:ind w:left="2100" w:hanging="523"/>
        <w:spacing w:after="0"/>
        <w:tabs>
          <w:tab w:leader="none" w:pos="21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Appreciation Rights, as described in</w:t>
      </w:r>
    </w:p>
    <w:p>
      <w:pPr>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100" w:hanging="523"/>
        <w:spacing w:after="0"/>
        <w:tabs>
          <w:tab w:leader="none" w:pos="21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Rights, as described in Article VI;</w:t>
      </w:r>
    </w:p>
    <w:p>
      <w:pPr>
        <w:spacing w:after="0" w:line="169" w:lineRule="exact"/>
        <w:rPr>
          <w:rFonts w:ascii="Courier New" w:cs="Courier New" w:eastAsia="Courier New" w:hAnsi="Courier New"/>
          <w:sz w:val="15"/>
          <w:szCs w:val="15"/>
          <w:color w:val="auto"/>
        </w:rPr>
      </w:pPr>
    </w:p>
    <w:p>
      <w:pPr>
        <w:ind w:left="2100" w:hanging="523"/>
        <w:spacing w:after="0"/>
        <w:tabs>
          <w:tab w:leader="none" w:pos="21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Alternate Stock Awards, as described in Article VII;</w:t>
      </w:r>
    </w:p>
    <w:p>
      <w:pPr>
        <w:spacing w:after="0"/>
        <w:rPr>
          <w:sz w:val="20"/>
          <w:szCs w:val="20"/>
          <w:color w:val="auto"/>
        </w:rPr>
      </w:pPr>
      <w:r>
        <w:rPr>
          <w:rFonts w:ascii="Courier New" w:cs="Courier New" w:eastAsia="Courier New" w:hAnsi="Courier New"/>
          <w:sz w:val="15"/>
          <w:szCs w:val="15"/>
          <w:color w:val="auto"/>
        </w:rPr>
        <w:t>and/or</w:t>
      </w:r>
    </w:p>
    <w:p>
      <w:pPr>
        <w:spacing w:after="0" w:line="174" w:lineRule="exact"/>
        <w:rPr>
          <w:sz w:val="20"/>
          <w:szCs w:val="20"/>
          <w:color w:val="auto"/>
        </w:rPr>
      </w:pPr>
    </w:p>
    <w:p>
      <w:pPr>
        <w:ind w:right="3439" w:firstLine="1577"/>
        <w:spacing w:after="0" w:line="237" w:lineRule="auto"/>
        <w:tabs>
          <w:tab w:leader="none" w:pos="211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Bonus Awards, as described in Article VIII. Awards under the Plan shall be evidenced by an Award Agreement between the Company and the recipient of the Award, in form and substance satisfactory to the Committee, and not inconsistent with this Plan.</w:t>
      </w:r>
    </w:p>
    <w:p>
      <w:pPr>
        <w:spacing w:after="0" w:line="171"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Aggregate Limitation on Awards.</w:t>
      </w:r>
    </w:p>
    <w:p>
      <w:pPr>
        <w:spacing w:after="0" w:line="175" w:lineRule="exact"/>
        <w:rPr>
          <w:sz w:val="20"/>
          <w:szCs w:val="20"/>
          <w:color w:val="auto"/>
        </w:rPr>
      </w:pPr>
    </w:p>
    <w:p>
      <w:pPr>
        <w:jc w:val="both"/>
        <w:ind w:right="3259" w:firstLine="784"/>
        <w:spacing w:after="0" w:line="237" w:lineRule="auto"/>
        <w:tabs>
          <w:tab w:leader="none" w:pos="158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which may be issued under the Plan shall be authorized and unissued or treasury shares of Common Stock $.01 par value, of the Company ("Common Stock"). Subject to the further provisions of this Section 1.5 and Section 9.10, the maximum number of shares of Common Stock which may be issued under the Plan shall be 26,500,000.</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439" w:firstLine="784"/>
        <w:spacing w:after="0" w:line="235" w:lineRule="auto"/>
        <w:tabs>
          <w:tab w:leader="none" w:pos="15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maximum number of shares of Common Stock that may be issued under the Plan:</w:t>
      </w:r>
    </w:p>
    <w:p>
      <w:pPr>
        <w:spacing w:after="0" w:line="175" w:lineRule="exact"/>
        <w:rPr>
          <w:rFonts w:ascii="Courier New" w:cs="Courier New" w:eastAsia="Courier New" w:hAnsi="Courier New"/>
          <w:sz w:val="15"/>
          <w:szCs w:val="15"/>
          <w:color w:val="auto"/>
        </w:rPr>
      </w:pPr>
    </w:p>
    <w:p>
      <w:pPr>
        <w:ind w:left="780" w:right="3359" w:firstLine="797"/>
        <w:spacing w:after="0" w:line="237" w:lineRule="auto"/>
        <w:tabs>
          <w:tab w:leader="none" w:pos="210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shares issued (including the shares, if any, withheld for tax withholding requirements) shall be counted when cash is used as full payment for shares issued upon exercise of a Stock Option, Incentive Stock Option, or Reload Option;</w:t>
      </w:r>
    </w:p>
    <w:p>
      <w:pPr>
        <w:spacing w:after="0" w:line="176" w:lineRule="exact"/>
        <w:rPr>
          <w:rFonts w:ascii="Courier New" w:cs="Courier New" w:eastAsia="Courier New" w:hAnsi="Courier New"/>
          <w:sz w:val="15"/>
          <w:szCs w:val="15"/>
          <w:color w:val="auto"/>
        </w:rPr>
      </w:pPr>
    </w:p>
    <w:p>
      <w:pPr>
        <w:ind w:left="780" w:right="3359" w:firstLine="797"/>
        <w:spacing w:after="0" w:line="237" w:lineRule="auto"/>
        <w:tabs>
          <w:tab w:leader="none" w:pos="210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the shares issued (including the shares, if any, withheld for tax withholding requirements) as a result of an exercise of Alternate Appreciation Rights shall be counted; and</w:t>
      </w:r>
    </w:p>
    <w:p>
      <w:pPr>
        <w:spacing w:after="0" w:line="174" w:lineRule="exact"/>
        <w:rPr>
          <w:rFonts w:ascii="Courier New" w:cs="Courier New" w:eastAsia="Courier New" w:hAnsi="Courier New"/>
          <w:sz w:val="15"/>
          <w:szCs w:val="15"/>
          <w:color w:val="auto"/>
        </w:rPr>
      </w:pPr>
    </w:p>
    <w:p>
      <w:pPr>
        <w:ind w:left="780" w:right="3259" w:firstLine="797"/>
        <w:spacing w:after="0" w:line="258" w:lineRule="auto"/>
        <w:tabs>
          <w:tab w:leader="none" w:pos="2102"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the net shares issued (including the shares, if any, withheld for tax withholding requirements) shall be counted when shares of Common Stock or another Award under the Plan are used or withheld as full or partial payment for shares issued upon exercise of a Stock Option, Incentive Stock Option, or Reload Option;</w:t>
      </w:r>
    </w:p>
    <w:p>
      <w:pPr>
        <w:spacing w:after="0" w:line="16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provided, however, in all events the maximum number of shares of Common Stock that may be issued pursuant to Incentive Stock Options is 26,500,000.</w:t>
      </w:r>
    </w:p>
    <w:p>
      <w:pPr>
        <w:spacing w:after="0" w:line="176" w:lineRule="exact"/>
        <w:rPr>
          <w:sz w:val="20"/>
          <w:szCs w:val="20"/>
          <w:color w:val="auto"/>
        </w:rPr>
      </w:pPr>
    </w:p>
    <w:p>
      <w:pPr>
        <w:ind w:right="3179" w:firstLine="784"/>
        <w:spacing w:after="0" w:line="258" w:lineRule="auto"/>
        <w:tabs>
          <w:tab w:leader="none" w:pos="15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of Common Stock actually issued pursuant to the exercise of Stock Options, Incentive Stock Options, Reload Options, or Alternate Appreciation Rights, there shall be deemed to have been issued a number of shares equal to the number of shares of Common Stock in respect of which Limited Rights (as described in Article VI) shall have been exercised.</w:t>
      </w:r>
    </w:p>
    <w:p>
      <w:pPr>
        <w:spacing w:after="0" w:line="164" w:lineRule="exact"/>
        <w:rPr>
          <w:rFonts w:ascii="Courier New" w:cs="Courier New" w:eastAsia="Courier New" w:hAnsi="Courier New"/>
          <w:sz w:val="14"/>
          <w:szCs w:val="14"/>
          <w:color w:val="auto"/>
        </w:rPr>
      </w:pPr>
    </w:p>
    <w:p>
      <w:pPr>
        <w:ind w:right="3179" w:firstLine="784"/>
        <w:spacing w:after="0" w:line="257" w:lineRule="auto"/>
        <w:tabs>
          <w:tab w:leader="none" w:pos="15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tendered by a Participant or withheld as payment for shares issued upon exercise of a Stock Option, Incentive Stock Option, or Reload Option shall be available for issuance under the Plan. Any shares of Common Stock subject to a Stock Option, Incentive Stock Option, or Reload Option that for any reason is terminated unexercised or expires shall again be available for issuance under the Plan, but shares subject to a Stock Option, Incentive Stock Option, or Reload Option that are not issued as a result of the exercise of Limited Rights shall not again be available for issuance under the Plan.</w:t>
      </w:r>
    </w:p>
    <w:p>
      <w:pPr>
        <w:spacing w:after="0" w:line="166" w:lineRule="exact"/>
        <w:rPr>
          <w:rFonts w:ascii="Courier New" w:cs="Courier New" w:eastAsia="Courier New" w:hAnsi="Courier New"/>
          <w:sz w:val="14"/>
          <w:szCs w:val="14"/>
          <w:color w:val="auto"/>
        </w:rPr>
      </w:pPr>
    </w:p>
    <w:p>
      <w:pPr>
        <w:ind w:right="3359" w:firstLine="784"/>
        <w:spacing w:after="0" w:line="265" w:lineRule="auto"/>
        <w:tabs>
          <w:tab w:leader="none" w:pos="158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number of shares of Common Stock with respect to which any Participant may receive Awards in any calendar year is 1,500,000.</w:t>
      </w:r>
    </w:p>
    <w:p>
      <w:pPr>
        <w:spacing w:after="0" w:line="153" w:lineRule="exact"/>
        <w:rPr>
          <w:sz w:val="20"/>
          <w:szCs w:val="20"/>
          <w:color w:val="auto"/>
        </w:rPr>
      </w:pPr>
    </w:p>
    <w:p>
      <w:pPr>
        <w:ind w:left="780"/>
        <w:spacing w:after="0"/>
        <w:tabs>
          <w:tab w:leader="none" w:pos="208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Effective Date and Term of Plan.</w:t>
      </w:r>
    </w:p>
    <w:p>
      <w:pPr>
        <w:spacing w:after="0" w:line="175" w:lineRule="exact"/>
        <w:rPr>
          <w:sz w:val="20"/>
          <w:szCs w:val="20"/>
          <w:color w:val="auto"/>
        </w:rPr>
      </w:pPr>
    </w:p>
    <w:p>
      <w:pPr>
        <w:ind w:right="3359" w:firstLine="784"/>
        <w:spacing w:after="0" w:line="237" w:lineRule="auto"/>
        <w:tabs>
          <w:tab w:leader="none" w:pos="158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became effective on the date it was approved by the holders of a majority of the shares of Common Stock present in person or by proxy and entitled to vote at the 1993 Annual Meeting of shareholders of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firstLine="784"/>
        <w:spacing w:after="0" w:line="237" w:lineRule="auto"/>
        <w:tabs>
          <w:tab w:leader="none" w:pos="15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Awards shall be made under the Plan after the tenth anniversary of the effective date of this Plan; provided, however, that the Plan and all Awards made under the Plan prior to such date shall remain in effect until such Awards have been satisfied or terminated in accordance with the Plan and the terms of such Awards.</w:t>
      </w:r>
    </w:p>
    <w:p>
      <w:pPr>
        <w:spacing w:after="0" w:line="17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II. STOCK OPTIONS</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2.1. Award of Stock Options. The Committee may from time to time, and subject to the provisions of the Plan and such other terms and conditions as the Committee may prescribe, grant to any Participant in the Plan one or more options to purchase the number of shares of Common Stock ("Stock Options") allotted by the Committee. The date a Stock Option is granted shall mean the date selected by the Committee as of which the Committee allots a specific number of shares to a Participant pursuant to the Plan.</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2.2. Stock Option Agreements. The grant of a Stock Option shall be evidenced by a written Award Agreement, executed by the Company and the holder of the Stock Option (the "Optionee"), stating the number of shares of Common Stock subject to the Stock Option evidenced thereby, and in such form as the Committee may from time to time determine.</w:t>
      </w:r>
    </w:p>
    <w:p>
      <w:pPr>
        <w:spacing w:after="0" w:line="178"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Section 2.3. Stock Option Price. The Option Price per share of Common Stock deliverable upon the exercise of a Stock Option shall be an amount selected by the Committee and shall not be less than 100% of the Fair Market Value of a share of Common Stock on the date the Stock Option is granted.</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2.4. Term and Exercise. A Stock Option shall not be exercisable prior to six months from the date of its grant unless a shorter period is provided by the Committee or by another Section of this Plan, and may be exercised during the period established by the Committee, but not after ten years from the date of grant thereof (the "Option Term"). No Stock Option shall be exercisable after the expiration of its Option Term.</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2.5. Manner of Payment. Each Award Agreement providing for Stock Options shall set forth the procedure governing the exercise of the Stock Option granted thereunder, and shall provide that, upon such exercise in respect of any shares of Common Stock subject thereto, the Optionee shall pay to the Company, in full, the Option Price for such shares with cash, which may be pursuant to a "cashless-broker" exercise pursuant to procedures established by the Committee from time to time, or with previously owned Common Stock, or at the discretion of the Committee, in whole or in part with, the surrender of another Award under the Plan, the withholding of shares of Common Stock issuable upon exercise of such Stock Option, other property, or any combination thereof (each based on the Fair Market Value of such Common Stock, Award or other property on the date the Stock Option is exercised as determined by the Committee).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2.6. Delivery of Shares. As soon as practicable after receipt of payment, the Committee shall deliver to the Optionee a certificate or certificates for such shares of Common Stock. The Optionee shall become a shareholder of the Company with respect to Common Stock represented by share certificates so issued and as such shall be fully entitled to receive dividends, to vote and to exercise all other rights of a shareholder.</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2.7. Death, Retirement and Termination of Employment of Optionee. Unless otherwise provided in an Award Agreement or otherwise agreed to by the Committee:</w:t>
      </w:r>
    </w:p>
    <w:p>
      <w:pPr>
        <w:spacing w:after="0" w:line="175" w:lineRule="exact"/>
        <w:rPr>
          <w:sz w:val="20"/>
          <w:szCs w:val="20"/>
          <w:color w:val="auto"/>
        </w:rPr>
      </w:pPr>
    </w:p>
    <w:p>
      <w:pPr>
        <w:ind w:right="3179" w:firstLine="784"/>
        <w:spacing w:after="0" w:line="238" w:lineRule="auto"/>
        <w:tabs>
          <w:tab w:leader="none" w:pos="15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Optionee, any rights to the extent exercisable by the Optionee on the date of termination of employment or consulting, as the case may be, may be exercised by the Optionee's estate, or by a person who acquires the right to exercise such Stock Option by bequest or inheritance or by reason of the death of the Optionee, provided that such exercise occurs within both the remaining effective term of the Stock Option and one year after the Optionee's death. The provisions of this Section shall apply notwithstanding the fact that the Optionee's employment may have terminated prior to death.</w:t>
      </w:r>
    </w:p>
    <w:p>
      <w:pPr>
        <w:spacing w:after="0" w:line="178" w:lineRule="exact"/>
        <w:rPr>
          <w:rFonts w:ascii="Courier New" w:cs="Courier New" w:eastAsia="Courier New" w:hAnsi="Courier New"/>
          <w:sz w:val="15"/>
          <w:szCs w:val="15"/>
          <w:color w:val="auto"/>
        </w:rPr>
      </w:pPr>
    </w:p>
    <w:p>
      <w:pPr>
        <w:ind w:right="3179" w:firstLine="784"/>
        <w:spacing w:after="0" w:line="237" w:lineRule="auto"/>
        <w:tabs>
          <w:tab w:leader="none" w:pos="15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Optionee's employment by reason of retirement or permanent disability (as each is determined by the Committee), the Optionee may, within 36 months from the date of termination, exercise any Stock Options to the extent such Stock Options are exercisable on the date of such termination of employment.</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5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Subsections (a) and (b) of this Section 2.7, or except as otherwise determined by the Committee, all Stock Options shall terminate three months after the date of the termination of the Optionee's employment or consulting, as the case may be, and shall be exercisable during such period only to the extent exercisable on the date of termination of employment or consulting.</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2.8. Tax Election. Recipients of Stock Options who are directors or executive officers of the Company or who own more than 10% of the Common Stock of the Company ("Section 16(a) Option Holders") at the time of exercise of a Stock Option may elect, in lieu of paying to the Company an amount required to be withheld under applicable tax laws in connection with the exercise of a Stock Option in whole or in part, to have the Company withhold shares of Common Stock having a fair market value equal to the amount required to be withheld. Such election may not be made prior to six months following the grant of the Stock Option, except in the event of a Section 16(a) Option Holders's death or disability. The election may be made at the time the Stock Option is exercised by notifying the Company of the election, specifying the amount of such withholding and the date on which the number of shares to be withheld is to be determined ("Tax Date"), which shall be either (i) the date the Stock Option is exercised or (ii) a date six months after the Stock Option was granted, if later. The number of shares of Common Stock to be withheld to satisfy the tax obligation shall be the amount</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of such tax liability divided by the fair market value of the Common Stock on the Tax Date (or if not a business day, on the next closest business day). If the Tax Date is not the exercise date, the Company may issue the full number of shares of Common Stock to which the Section 16(a) Option Holders is entitled, and such option holder shall be obligated to tender to the Company on the Tax Date a number of such shares necessary to satisfy the withholding obligation. Certificates representing such shares of Common Stock shall bear a legend describing such Section 16(a) Option Holders obligation hereunder.</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2.9. Effect of Exercise. The exercise of any Stock Option shall cancel that number of related Alternate Appreciation Rights and/or Limited Rights, if any, that is equal to the number of shares of Common Stock purchased pursuant to said option unless otherwise agreed by the Committee in an Award Agreement or otherwise.</w:t>
      </w:r>
    </w:p>
    <w:p>
      <w:pPr>
        <w:spacing w:after="0" w:line="173"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III. INCENTIVE STOCK OPTIONS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3.1. Award of Incentive Stock Options. The Committee may, from time to time and subject to the provisions of the Plan and such other terms and conditions as the Committee may prescribe, grant to any employee of The Company or a Subsidiary one or more "incentive stock options" (intended to qualify as such under the provisions of Section 422 of the Internal Revenue Code of 1986, as amended (the "Code") ("Incentive Stock Options") to purchase the number of shares of Common Stock allotted by the Committee. The date an Incentive Stock Option is granted shall mean the date selected by the Committee as of which the Committee allots a specific number of shares to a participant pursuant to the Plan.</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3.2. Incentive Stock Option Agreements. The grant of an Incentive Stock Option shall be evidenced by a written Award Agreement, executed by the Company and the holder of an Incentive Stock Option (the "Optionee"), stating the number of shares of Common Stock subject to the Incentive Stock Option evidenced thereby, and in such form as the Committee may from time to time determine.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3.3. Incentive Stock Option Price. The Option Price per share of Common Stock deliverable upon the exercise of an Incentive Stock Option shall be at least 100% of the Fair Market Value of a share of Common Stock on the date the Incentive Stock Option is granted; provided, however, the Option Price per share of Common Stock deliverable upon the exercise of an Incentive Stock Option granted to any owner of 10% or more of the total combined voting power of all classes of stock of the Company and its subsidiaries shall be at least 110% of the fair market value of a share of Common Stock on the date the Incentive Stock Option is granted.</w:t>
      </w:r>
    </w:p>
    <w:p>
      <w:pPr>
        <w:spacing w:after="0" w:line="179"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3.4. Term and Exercise. Each Incentive Stock Option shall not be exercisable prior to six months from the date of its grant unless a shorter period is provided by the Committee or another Section of this Plan, and may be exercised during the period established by the Committee, but not after ten years from the date of grant thereof (the "Option Term"). No Incentive Stock Option shall be exercisable after the expiration of its Option Term.</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3.5. Maximum Amount of Incentive Stock Option Grant. To the extent that the aggregate Fair Market Value (determined at the time the respective Incentive Stock Option is granted) of Common Stock with respect to which Incentive Stock Options granted are exercisable for the first time by an individual during any calendar year under all incentive stock option plans of the Company and its parent and subsidiary corporations exceeds $100,000, such Incentive Stock Options shall be treated as Options which do not constitute Incentive Stock Options.</w:t>
      </w:r>
    </w:p>
    <w:p>
      <w:pPr>
        <w:spacing w:after="0" w:line="178"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Section 3.6. Death of Optionee. Unless otherwise provided in an Award Agreement:</w:t>
      </w:r>
    </w:p>
    <w:p>
      <w:pPr>
        <w:spacing w:after="0" w:line="176" w:lineRule="exact"/>
        <w:rPr>
          <w:sz w:val="20"/>
          <w:szCs w:val="20"/>
          <w:color w:val="auto"/>
        </w:rPr>
      </w:pPr>
    </w:p>
    <w:p>
      <w:pPr>
        <w:ind w:right="3359" w:firstLine="784"/>
        <w:spacing w:after="0" w:line="238" w:lineRule="auto"/>
        <w:tabs>
          <w:tab w:leader="none" w:pos="15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Optionee, any Incentive Stock Option exercisable by the Optionee on the date of termination of employment may be exercised by the Optionee's estate or by a person who acquires the right to exercise such Incentive Stock Option by bequest or inheritance or by reason of the death of the Optionee, provided that such exercise occurs within both the remaining option term of the Incentive Stock Option and one year after the Optionee's death.</w:t>
      </w:r>
    </w:p>
    <w:p>
      <w:pPr>
        <w:spacing w:after="0" w:line="176" w:lineRule="exact"/>
        <w:rPr>
          <w:rFonts w:ascii="Courier New" w:cs="Courier New" w:eastAsia="Courier New" w:hAnsi="Courier New"/>
          <w:sz w:val="15"/>
          <w:szCs w:val="15"/>
          <w:color w:val="auto"/>
        </w:rPr>
      </w:pPr>
    </w:p>
    <w:p>
      <w:pPr>
        <w:ind w:right="3179" w:firstLine="784"/>
        <w:spacing w:after="0" w:line="235" w:lineRule="auto"/>
        <w:tabs>
          <w:tab w:leader="none" w:pos="158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shall apply notwithstanding the fact that the Optionee's employment may have terminated prior to death.</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3.7. Retirement or Disability. Unless otherwise provided in an Award Agreement, upon the termination of the Optionee's employment by reason of permanent disability or retirement (as each is determined by the Committee), the Optionee may, within 36 months from the date of such termination of employment, exercise any Incentive Stock Options to the extent such Incentive Stock Options were exercisable at the date of such termination of employment. Notwithstanding the foregoing, the tax treatment available pursuant to Section 422 of the Code upon the exercise of an Incentive Stock Option will not be available to an Optionee who exercises any Incentive Stock Options more than (i) 12 months after the date of termination of employment due to permanent disability or (ii) three months after the date of termination of employment due to retirement.</w:t>
      </w:r>
    </w:p>
    <w:p>
      <w:pPr>
        <w:spacing w:after="0" w:line="16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3.8. Termination for Other Reasons. Except as provided in Sections 3.6 and 3.7 or except as otherwise determined by the Committee, all Incentive Stock Options shall terminate three months after the date of the termination of the Optionee's employment and shall be exercisable during such period only to the extent exercisable on the date of termination of employment.</w:t>
      </w:r>
    </w:p>
    <w:p>
      <w:pPr>
        <w:spacing w:after="0" w:line="16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3.9. Applicability of Stock Options Sections. Sections 2.5, Manner of Payment; 2.6, Delivery of Shares; 2.8, Tax Elections and 2.9, Effect of Exercise,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applicable to Stock Options, shall apply equally to Incentive Stock Options. Such Sections are incorporated by reference in this Article III as though fully set forth herein.</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IV. RELOAD OPTIONS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4.1. Authorization of Reload Options. Concurrently with or subsequent to the award of Stock Options to any Participant in the Plan, the Committee may authorize reload options ("Reload Options") to purchase shares of Common Stock. The number of Reload Options shall equal (i) the number of shares of Common Stock used to pay the exercise price of the underlying Stock Options or Incentive Stock Options and (ii) to the extent authorized by the Committee, the number of shares of Common Stock withheld by the Company in payment of the exercise price underlying the Stock Option or Incentive Stock Option or used to satisfy any tax withholding requirement incident to the exercise of the underlying Stock Options or Incentive Stock Options. The grant of a Reload Option will become effective upon the exercise of underlying Stock Options, Incentive Stock Options, or Reload Options through the use of shares of Common Stock held by the Optionee or the withholding of shares by the Company in payment of the exercise price of the underlying Stock Option or Incentive Stock Option held by the Optionee. Notwithstanding the fact that the underlying option may be an Incentive Stock Option, a Reload Option is not intended to qualify as an "incentive stock option" under Section 422 of the Code.</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4.2. Reload Option Amendment. Each Award Agreement shall state whether the Committee has authorized Reload Options with respect to the Stock Options and/or Incentive Stock Options covered by such Award Agreement. Upon the exercise of an underlying Stock Option, Incentive Stock Option, or other Reload Option, the Reload Option will be evidenced by an amendment to the underlying Award Agreement in such form as the Committee shall approve.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4.3. Reload Option Price. The Option Price per share of Common Stock deliverable upon the exercise of a Reload Option shall be the Fair Market Value of a share of Common Stock on the date the grant of the Reload Option becomes effective.</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4.4. Term and Exercise. Each Reload Option is fully exercisable six months from the effective date of grant. The term of each Reload Option shall be equal to the remaining option term of the underlying Stock Option and/or Incentive Stock Option.</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4.5. Termination of Employment. Unless otherwise determined by the Committee in an Award Agreement or otherwise, no additional Reload Options shall be granted to Optionees when Stock Options, Incentive Stock Options, and/or Reload Options are exercised pursuant to the terms of this Plan following termination of the Optionee's employment.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4.6. Applicability of Stock Options Sections. Sections 2.5, Manner of Payment; 2.6 Delivery of Shares; 2.7, Death, Retirement and Termination of Employment of Optionee; 2.8, Tax Elections; and 2.9, Effect of Exercise, applicable to Stock Options, shall apply equally to Reload Options. Such Sections are incorporated by reference in this Article IV as though fully set forth herein.</w:t>
      </w:r>
    </w:p>
    <w:p>
      <w:pPr>
        <w:spacing w:after="0" w:line="170"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 ALTERNATE APPRECIATION RIGHTS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5.1. Award of Alternate Appreciation Rights. Concurrently with or subsequent to the award of any Stock Option, Incentive Stock Option, or Reload Option to purchase one or more shares of Common Stock, the Committee may, subject to the provisions of the Plan and such other terms and conditions as the Committee may prescribe, award to the Optionee with respect to each share of Common Stock covered by an Option, a related alternate appreciation right permitting the Optionee to be paid the appreciation on the Option in lieu of exercising the Option ("Alternate Appreciation Right").</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5.2. Alternate Appreciation Rights Agreement. Alternate Appreciation Rights shall be evidenced by written Award Agreements in such form as the Committee may from time to time determine.</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5.3. Exercise. An Optionee who has been granted Alternate Appreciation Rights may, from time to time, in lieu of the exercise of an equal number of Options, elect to exercise one or more Alternate Appreciation Rights and thereby become entitled to receive from the Company payment in Common Stock of the number of shares determined pursuant to Section 5.4 and 5.5. Alternate Appreciation Rights shall be exercisable only to the same extent and subject to the same conditions as the Options related thereto are exercisable, as provided in this Plan. The Committee may, in its discretion, prescribe additional conditions to the exercise of any Alternate Appreciation Rights.</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5.4. Amount of Payment. The amount of payment to which an Optionee shall be entitled upon the exercise of each Alternate Appreciation Right shall be equal to 100% of the amount, if any, by which the Fair Market Value of a share of Common Stock on the exercise date exceeds the Option Price per share on the Option related to such Alternate Appreciation Right. A Section 16(a) Option Holder may elect to withhold shares of Common Stock issued under this Section to pay taxes as described in Section 2.8.</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5.5. Form of Payment. The number of shares to be paid shall be determined by dividing the amount of payment determined pursuant to Section 5.4 by the Fair Market Value of a share of Common Stock on the exercise date of such Alternate Appreciation Rights. As soon as practicable after exercise, the Company shall deliver to the Optionee a certificate or certificates for such shares of Common Stock.</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5.6. Effect of Exercise. Unless otherwise provided in an Award Agreement or agreed to by the Committee, the exercise of any Alternate Appreciation Rights shall cancel an equal number of Stock Options, Incentive Stock Options, Reload Options, and Limited Rights, if any, related to said Alternate Appreciation Rights.</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5.7. Termination of Employment, Retirement, Death or Disability. Unless otherwise provided in an Award Agreement or agreed to by the Committee:</w:t>
      </w:r>
    </w:p>
    <w:p>
      <w:pPr>
        <w:spacing w:after="0" w:line="175" w:lineRule="exact"/>
        <w:rPr>
          <w:sz w:val="20"/>
          <w:szCs w:val="20"/>
          <w:color w:val="auto"/>
        </w:rPr>
      </w:pPr>
    </w:p>
    <w:p>
      <w:pPr>
        <w:ind w:left="780" w:right="3359" w:firstLine="797"/>
        <w:spacing w:after="0" w:line="238" w:lineRule="auto"/>
        <w:tabs>
          <w:tab w:leader="none" w:pos="192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Alternate Appreciation Rights to the extent such Alternate Appreciation Rights are exercisable during such six-month period.</w:t>
      </w:r>
    </w:p>
    <w:p>
      <w:pPr>
        <w:spacing w:after="0" w:line="177" w:lineRule="exact"/>
        <w:rPr>
          <w:rFonts w:ascii="Courier New" w:cs="Courier New" w:eastAsia="Courier New" w:hAnsi="Courier New"/>
          <w:sz w:val="15"/>
          <w:szCs w:val="15"/>
          <w:color w:val="auto"/>
        </w:rPr>
      </w:pPr>
    </w:p>
    <w:p>
      <w:pPr>
        <w:ind w:left="780" w:right="3259" w:firstLine="797"/>
        <w:spacing w:after="0" w:line="237" w:lineRule="auto"/>
        <w:tabs>
          <w:tab w:leader="none" w:pos="192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5.7(a), all Alternate Appreciation Rights shall terminate three months after the date of the termination of the Optionee's employment, consulting or upon the death of the Optionee.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ARTICLE VI. LIMITED RIGHTS</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6.1. Award of Limited Rights. Concurrently with or subsequent to the award of any Stock Option, Incentive Stock Option, Reload Option, or Alternate Appreciation Right, the Committee may, subject to the provisions of the Plan and such other terms and conditions as the Committee may prescribe, award to the Optionee with respect to each share of Common Stock covered by an Option, a related limited right permitting the Optionee, during a specified limited time period, to be paid the appreciation on the Option in lieu of exercising the Option ("Limited Right").</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6.2. Limited Rights Agreement. Limited Rights granted under the Plan shall be evidenced by written Award Agreements in such form as the Committee may from time to time determine.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6.3. Exercise Period. Limited Rights are exercisable in full for a period of seven months following the date of a Change in Control of the Company (the "Exercise Period"); provided, however, that Limited Rights may not be exercised under any circumstances until the expiration of the six-month period following the date of grant.</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6.4. Amount of Payment. The amount of payment to which an Optionee shall be entitled upon the exercise of each Limited Right shall be equal to 100% of the amount, if any, which is equal to the difference between the Option Price per share of Common Stock covered by the related Option and the Market Price of a share of such Common Stock. "Market Price" is defined to be the greater of (i) the highest price per</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share of the Company's Common Stock paid in connection with any Change in Control and (ii) the highest price per share of the Company's Common Stock reflected in the consolidated trading tables of The Wall Street Journal (presently the New York Stock Exchange - Composite Transactions) during the 60-day period prior to the Change in Control.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rPr>
              <w:t>Section 6.5. Form of</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Payment.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Payment of</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rPr>
              <w:t>the amount to which an</w:t>
            </w:r>
          </w:p>
        </w:tc>
      </w:tr>
      <w:tr>
        <w:trPr>
          <w:trHeight w:val="170"/>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6"/>
              </w:rPr>
              <w:t>Optionee is entitled upon the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exercise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of Limited</w:t>
            </w:r>
          </w:p>
        </w:tc>
        <w:tc>
          <w:tcPr>
            <w:tcW w:w="2680" w:type="dxa"/>
            <w:vAlign w:val="bottom"/>
          </w:tcPr>
          <w:p>
            <w:pPr>
              <w:ind w:left="40"/>
              <w:spacing w:after="0"/>
              <w:rPr>
                <w:sz w:val="20"/>
                <w:szCs w:val="20"/>
                <w:color w:val="auto"/>
              </w:rPr>
            </w:pPr>
            <w:r>
              <w:rPr>
                <w:rFonts w:ascii="Courier New" w:cs="Courier New" w:eastAsia="Courier New" w:hAnsi="Courier New"/>
                <w:sz w:val="15"/>
                <w:szCs w:val="15"/>
                <w:color w:val="auto"/>
                <w:w w:val="97"/>
              </w:rPr>
              <w:t>Rights, as determined pursuant</w:t>
            </w:r>
          </w:p>
        </w:tc>
      </w:tr>
      <w:tr>
        <w:trPr>
          <w:trHeight w:val="170"/>
        </w:trPr>
        <w:tc>
          <w:tcPr>
            <w:tcW w:w="2600" w:type="dxa"/>
            <w:vAlign w:val="bottom"/>
          </w:tcPr>
          <w:p>
            <w:pPr>
              <w:jc w:val="right"/>
              <w:spacing w:after="0"/>
              <w:rPr>
                <w:sz w:val="20"/>
                <w:szCs w:val="20"/>
                <w:color w:val="auto"/>
              </w:rPr>
            </w:pPr>
            <w:r>
              <w:rPr>
                <w:rFonts w:ascii="Courier New" w:cs="Courier New" w:eastAsia="Courier New" w:hAnsi="Courier New"/>
                <w:sz w:val="15"/>
                <w:szCs w:val="15"/>
                <w:color w:val="auto"/>
                <w:w w:val="96"/>
              </w:rPr>
              <w:t>to Section 6.4, shall be made</w:t>
            </w:r>
          </w:p>
        </w:tc>
        <w:tc>
          <w:tcPr>
            <w:tcW w:w="1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solely in cash.</w:t>
            </w:r>
          </w:p>
        </w:tc>
        <w:tc>
          <w:tcPr>
            <w:tcW w:w="2680" w:type="dxa"/>
            <w:vAlign w:val="bottom"/>
          </w:tcPr>
          <w:p>
            <w:pPr>
              <w:spacing w:after="0"/>
              <w:rPr>
                <w:sz w:val="14"/>
                <w:szCs w:val="14"/>
                <w:color w:val="auto"/>
              </w:rPr>
            </w:pPr>
          </w:p>
        </w:tc>
      </w:tr>
    </w:tbl>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Section 6.6. Effect of Exercise. If Limited Rights are exercised, the Stock Options, Incentive Stock Options, Reload Options, and Alternate Appreciation Rights, if any, related to such Limited Rights shall cease to be exercisable to the extent of the number of shares with respect to which the Limited Rights were exercised. Upon the exercise or termination of the Stock Options, Incentive Stock Options, Reload Options, and Alternate Appreciation Rights, if any, related to such Limited Rights, the Limited Rights granted with respect thereto terminate to the extent of the number of shares as to which the related options and Alternate Appreciation Rights were exercised or terminated.</w:t>
      </w:r>
    </w:p>
    <w:p>
      <w:pPr>
        <w:spacing w:after="0" w:line="167"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Section 6.7. Retirement or Disability. Upon termination of the Optionee's employment (including employment as a director of the Company after an Optionee terminates employment as an employee of the Company) by reason of permanent disability or retirement (as each is determined by the Committee) or consulting, the Optionee may, within six months from the date of such termination, exercise any Limited Right to the extent such Limited Right is exercisable during such six-month period.</w:t>
      </w:r>
    </w:p>
    <w:p>
      <w:pPr>
        <w:spacing w:after="0" w:line="17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6.8. Death of Optionee or Termination for Other Reasons. Except as provided in Sections 6.7 and 6.9, or except as otherwise determined by the Committee, all Limited Rights granted under the Plan shall terminate upon the termination of the Optionee's employment, consulting or upon the death of the Optionee.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6.9. Termination Related to a Change in Control. The requirement that an Optionee be terminated by reason of retirement or permanent disability or be employed by the Company at the time of exercise pursuant to Sections 6.7 and 6.8, respectively, is waived during the Exercise Period as to an Optionee who (i) was employed by the Company at the time of the Change in Control and (ii) is subsequently terminated by the Company other than for just cause or who voluntarily terminates if such termination was the result of a good faith determination by the Optionee that as a result of the Change in Control he is unable to effectively discharge his present duties or the duties of the position which he occupied just prior to the Change in Control. As used herein "just cause" shall mean willful misconduct or dishonesty or conviction of or failure to contest prosecution for a felony, or excessive absenteeism unrelated to illness.</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VII. SUBSTITUTION AWARDS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7.1. Awards may be granted under the Plan from time to time in substitution for stock options held by individuals employed by corporations who become employees of the Company as a result of a merger or consolidation of the employing corporation with the Company, or the acquisition by the Company of the assets of the employing corporation, or the acquisition by the Company of stock of the employing corporation with the result that such employing corporation becomes a Subsidiary or an Affiliate.</w:t>
      </w:r>
    </w:p>
    <w:p>
      <w:pPr>
        <w:spacing w:after="0" w:line="1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ARTICLE VIII. BONUS STOCK AWARDS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8.1. Award of Bonus Stock. The Committee may from time to time, and subject to the provisions of this Plan and such other terms and conditions as the Committee may prescribe, grant to any Participant in the Plan shares of Common Stock ("Stock Bonus"). A Stock Bonus shall vest (i) in the case of performance-based vesting criteria, no sooner than one year following the date of the Stock Bonus grant, and (ii) in the case of time-based vesting criteria, no sooner than one-third of the grant on each subsequent anniversary of the date of grant. Notwithstanding the foregoing, the Committee may grant a fully vested Stock Bonus in lieu of an earned cash bonus.</w:t>
      </w:r>
    </w:p>
    <w:p>
      <w:pPr>
        <w:spacing w:after="0" w:line="16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8.2. Stock Bonus Agreements. The grant of a Stock Bonus shall be evidenced by a written Award Agreement, executed by the Company and the recipient of a Stock Bonus, in such form as the Committee may from time to time determine, providing for the terms of such grant, including any vesting schedule, restrictions on the transfer of such Common Stock or other matters.</w:t>
      </w:r>
    </w:p>
    <w:p>
      <w:pPr>
        <w:spacing w:after="0" w:line="200" w:lineRule="exact"/>
        <w:rPr>
          <w:sz w:val="20"/>
          <w:szCs w:val="20"/>
          <w:color w:val="auto"/>
        </w:rPr>
      </w:pPr>
    </w:p>
    <w:p>
      <w:pPr>
        <w:spacing w:after="0" w:line="29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IX. MISCELLANEOUS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9.1. General Restriction. Each Award under the Plan shall be subject to the requirement that, if at any time the Committee shall determine that (i) the listing, registration, or qualification of the shares of Common Stock subject to or related thereto upon any securities exchange or under any state or federal law, or (ii) the consent or approval of any government regulatory body, or (iii) an agreement by the grantee of an Award with respect to the disposition of shares of Common Stock, is necessary or desirable as a condition of, or in connection with, the granting of such Award or the issue or purchase of shares of Common Stock thereunder, such Award may not be consummated in whole or in part unless such listing, registration, qualification, consent, approval or agreement shall have been effected or obtained free of any conditions not acceptable to the Committee.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9.2. Non-Assignability. Except as provided below, no Award under the Plan shall be assignable or transferable by the recipient thereof, except by will or by the laws of descent and distribution, and during the life of the recipient, such Award shall be exercisable only by such person or by such person's guardian or legal representative.</w:t>
      </w:r>
    </w:p>
    <w:p>
      <w:pPr>
        <w:spacing w:after="0" w:line="178" w:lineRule="exact"/>
        <w:rPr>
          <w:sz w:val="20"/>
          <w:szCs w:val="20"/>
          <w:color w:val="auto"/>
        </w:rPr>
      </w:pPr>
    </w:p>
    <w:p>
      <w:pPr>
        <w:ind w:right="3179" w:firstLine="881"/>
        <w:spacing w:after="0" w:line="257" w:lineRule="auto"/>
        <w:rPr>
          <w:sz w:val="20"/>
          <w:szCs w:val="20"/>
          <w:color w:val="auto"/>
        </w:rPr>
      </w:pPr>
      <w:r>
        <w:rPr>
          <w:rFonts w:ascii="Courier New" w:cs="Courier New" w:eastAsia="Courier New" w:hAnsi="Courier New"/>
          <w:sz w:val="14"/>
          <w:szCs w:val="14"/>
          <w:color w:val="auto"/>
        </w:rPr>
        <w:t>Notwithstanding the foregoing, as provided by the Committee in an Award Agreement, Awards (other than Incentive Stock Options) may be transferred (in whole or in part in a form approved by the Company) by a Participant to (i) the spouse, children or grandchildren of the Participant ("Immediate Family Members"), (ii) a trust or trusts for the exclusive benefit of the Immediate Family Members and, if applicable, the Participant, or (iii) a partnership in which such Immediate Family Members and, if applicable, the Participant are the only partners. Following any such transfer, the Award shall continue to be subject to the same terms and conditions as were applicable to the Award immediately prior to the transfer. A transferee of an Award may not transfer the Award except to an Immediate Family Member or the Participant.</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9.3. Withholding Taxes. Whenever the Company proposes or is required to issue or transfer shares of Common Stock under the Plan, the Company shall have the right to require the grantee to remit to the Company an amount sufficient to satisfy any federal, state and/or local withholding tax requirements prior to the delivery of any certificates for such shares. Alternatively, the Company may issue or transfer such shares of the Company net of the number of shares sufficient to satisfy the withholding tax requirements. For withholding tax purposes, the shares of Common Stock shall be valued on the date the withholding obligation is incurred.</w:t>
      </w:r>
    </w:p>
    <w:p>
      <w:pPr>
        <w:spacing w:after="0" w:line="179"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9.4. Right to Terminate Employment. Nothing in the Plan or in any agreement entered into pursuant to the Plan shall confer upon any Participant the right to continue in the employment of, or consulting to, the Company or effect any right which the Company may have to terminate the employment or consulting relationship of such Participant.</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9.5. Non-Uniform Determination. The Committee's determinations under the Plan (including without limitation determinations of the persons to receive Awards, the form, amount and timing of such Awards, the terms and provisions of such Awards and the agreements evidencing same) need not be uniform and may be made by it selectively among persons who receive, or are eligible to receive, awards under the Plan, whether or not such persons are similarly situated.</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9.6. Rights as a Shareholder. The recipient of any Award under the Plan shall have no right as a shareholder with respect thereto unless and until certificates for shares of Common Stock are issued to him.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17</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9.7. Definitions. In this Plan the following definitions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apply:</w:t>
      </w:r>
    </w:p>
    <w:p>
      <w:pPr>
        <w:spacing w:after="0" w:line="175" w:lineRule="exact"/>
        <w:rPr>
          <w:sz w:val="20"/>
          <w:szCs w:val="20"/>
          <w:color w:val="auto"/>
        </w:rPr>
      </w:pPr>
    </w:p>
    <w:p>
      <w:pPr>
        <w:jc w:val="both"/>
        <w:ind w:left="780" w:right="3359" w:firstLine="797"/>
        <w:spacing w:after="0" w:line="237"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of which, at the time more than 50% of the shares entitled to vote generally in an election of directors are owned directly or indirectly by the Company or any subsidiary thereof.</w:t>
      </w:r>
    </w:p>
    <w:p>
      <w:pPr>
        <w:spacing w:after="0" w:line="176" w:lineRule="exact"/>
        <w:rPr>
          <w:rFonts w:ascii="Courier New" w:cs="Courier New" w:eastAsia="Courier New" w:hAnsi="Courier New"/>
          <w:sz w:val="15"/>
          <w:szCs w:val="15"/>
          <w:color w:val="auto"/>
        </w:rPr>
      </w:pPr>
    </w:p>
    <w:p>
      <w:pPr>
        <w:jc w:val="both"/>
        <w:ind w:left="780" w:right="3259" w:firstLine="797"/>
        <w:spacing w:after="0" w:line="237"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person or entity which directly, or indirectly through one or more intermediaries, controls, is controlled by, or is under common control with the Company.</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as of any date and in respect or any share of Common Stock means the lowest reported trading price on such date or on the next business day, if such date is not a business day, of a share of Common Stock reflected in the consolidated trading tables of The Wall Street Journal (presently the New York Stock Exchange - Composite Transactions) or any other publication selected by the Committee, provided that, if shares of Common Stock shall not have been quoted on the New York Stock Exchange for more than 10 days immediately preceding such date or if deemed appropriate by the Committee for any other reason, the fair market value of shares of Common Stock shall be as determined by the Committee in such other manner as it may deem appropriate. In no event shall the Fair Market Value of any share of Common Stock be less than its par value.</w:t>
      </w:r>
    </w:p>
    <w:p>
      <w:pPr>
        <w:spacing w:after="0" w:line="182" w:lineRule="exact"/>
        <w:rPr>
          <w:rFonts w:ascii="Courier New" w:cs="Courier New" w:eastAsia="Courier New" w:hAnsi="Courier New"/>
          <w:sz w:val="15"/>
          <w:szCs w:val="15"/>
          <w:color w:val="auto"/>
        </w:rPr>
      </w:pPr>
    </w:p>
    <w:p>
      <w:pPr>
        <w:ind w:left="780" w:right="3439" w:firstLine="797"/>
        <w:spacing w:after="0" w:line="235"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Stock Option, Incentive Stock Option, or Reload Option.</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means the purchase price per share of the Common Stock deliverable upon the exercise of a Stock Option, Incentive Stock Option, or Reload Option.</w:t>
      </w:r>
    </w:p>
    <w:p>
      <w:pPr>
        <w:spacing w:after="0" w:line="174" w:lineRule="exact"/>
        <w:rPr>
          <w:rFonts w:ascii="Courier New" w:cs="Courier New" w:eastAsia="Courier New" w:hAnsi="Courier New"/>
          <w:sz w:val="15"/>
          <w:szCs w:val="15"/>
          <w:color w:val="auto"/>
        </w:rPr>
      </w:pPr>
    </w:p>
    <w:p>
      <w:pPr>
        <w:ind w:left="780" w:right="3359" w:firstLine="797"/>
        <w:spacing w:after="0" w:line="237" w:lineRule="auto"/>
        <w:tabs>
          <w:tab w:leader="none" w:pos="19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means the occurrence, at any time during the specified term of an Option granted under the Plan, of any of the following events:</w:t>
      </w:r>
    </w:p>
    <w:p>
      <w:pPr>
        <w:spacing w:after="0" w:line="174" w:lineRule="exact"/>
        <w:rPr>
          <w:rFonts w:ascii="Courier New" w:cs="Courier New" w:eastAsia="Courier New" w:hAnsi="Courier New"/>
          <w:sz w:val="15"/>
          <w:szCs w:val="15"/>
          <w:color w:val="auto"/>
        </w:rPr>
      </w:pPr>
    </w:p>
    <w:p>
      <w:pPr>
        <w:ind w:left="1580" w:right="3179" w:firstLine="790"/>
        <w:spacing w:after="0" w:line="257" w:lineRule="auto"/>
        <w:tabs>
          <w:tab w:leader="none" w:pos="272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left="1580" w:right="3179" w:firstLine="790"/>
        <w:spacing w:after="0" w:line="238" w:lineRule="auto"/>
        <w:tabs>
          <w:tab w:leader="none" w:pos="29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77" w:lineRule="exact"/>
        <w:rPr>
          <w:rFonts w:ascii="Courier New" w:cs="Courier New" w:eastAsia="Courier New" w:hAnsi="Courier New"/>
          <w:sz w:val="15"/>
          <w:szCs w:val="15"/>
          <w:color w:val="auto"/>
        </w:rPr>
      </w:pPr>
    </w:p>
    <w:p>
      <w:pPr>
        <w:ind w:left="1580" w:right="3179" w:firstLine="790"/>
        <w:spacing w:after="0" w:line="238" w:lineRule="auto"/>
        <w:tabs>
          <w:tab w:leader="none" w:pos="29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report filed on Schedule 13D or Schedule 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81" w:lineRule="exact"/>
        <w:rPr>
          <w:rFonts w:ascii="Courier New" w:cs="Courier New" w:eastAsia="Courier New" w:hAnsi="Courier New"/>
          <w:sz w:val="15"/>
          <w:szCs w:val="15"/>
          <w:color w:val="auto"/>
        </w:rPr>
      </w:pPr>
    </w:p>
    <w:p>
      <w:pPr>
        <w:ind w:left="1580" w:right="3179" w:firstLine="790"/>
        <w:spacing w:after="0" w:line="238" w:lineRule="auto"/>
        <w:tabs>
          <w:tab w:leader="none" w:pos="29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9.8. Leaves of Absence. The Committee shall be entitled to make such rules, regulations, and determinations as it deems appropriate under the Plan in respect of any leave of absence taken by the recipient of any Award. Without limiting the generality of the foregoing, the Committee shall be entitled to determine (i) whether or not any such leave of absence shall constitute a termination of employment within the meaning of the Plan and (ii) the impact, if any, of any such leave of absence on Awards under the Plan theretofore made to any recipient who takes such leave of absence.</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9.9. Newly Eligible Employees. The Committee shall be entitled to make such rules, regulations, determinations and awards as it deems appropriate in respect of any employee who becomes eligible to participate in the Plan or any portion thereof after the commencement of an award or incentive period.</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9.10. Adjustments. In any event of any change in the outstanding Common Stock by reason of a stock dividend or distributions, recapitalization, merger, consolidation, split-up, combination, exchange of shares or the like, the Committee may appropriately adjust the number of shares of Common Stock that may be issued under the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Plan, the number of shares of Common Stock subject to Options theretofore granted under the Plan, and any and all other matters deemed appropriate by the Committee.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9.11. Changes in the Company's Capital Structure.</w:t>
      </w:r>
    </w:p>
    <w:p>
      <w:pPr>
        <w:spacing w:after="0" w:line="175" w:lineRule="exact"/>
        <w:rPr>
          <w:sz w:val="20"/>
          <w:szCs w:val="20"/>
          <w:color w:val="auto"/>
        </w:rPr>
      </w:pPr>
    </w:p>
    <w:p>
      <w:pPr>
        <w:ind w:left="780" w:right="3259" w:firstLine="797"/>
        <w:spacing w:after="0" w:line="238" w:lineRule="auto"/>
        <w:tabs>
          <w:tab w:leader="none" w:pos="201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outstanding Options, Alternative Appreciation Rights, or Limited Rights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180" w:lineRule="exact"/>
        <w:rPr>
          <w:rFonts w:ascii="Courier New" w:cs="Courier New" w:eastAsia="Courier New" w:hAnsi="Courier New"/>
          <w:sz w:val="15"/>
          <w:szCs w:val="15"/>
          <w:color w:val="auto"/>
        </w:rPr>
      </w:pPr>
    </w:p>
    <w:p>
      <w:pPr>
        <w:ind w:left="780" w:right="3179" w:firstLine="797"/>
        <w:spacing w:after="0" w:line="238" w:lineRule="auto"/>
        <w:tabs>
          <w:tab w:leader="none" w:pos="201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while there are outstanding Options, the Company shall effect a subdivision or consolidation of shares or other increase or reduction of the number of shares of the Common Stock outstanding without receiving compensation therefor in money, services or property, then (i) in the event of an increase in the number of such shares outstanding, the number of shares of Common Stock then subject to Options hereunder shall be proportionately increased; and (ii) in the event of a decrease in the number of such shares outstanding the number of shares then available for Option hereunder shall be proportionately decreased.</w:t>
      </w:r>
    </w:p>
    <w:p>
      <w:pPr>
        <w:spacing w:after="0" w:line="179" w:lineRule="exact"/>
        <w:rPr>
          <w:rFonts w:ascii="Courier New" w:cs="Courier New" w:eastAsia="Courier New" w:hAnsi="Courier New"/>
          <w:sz w:val="15"/>
          <w:szCs w:val="15"/>
          <w:color w:val="auto"/>
        </w:rPr>
      </w:pPr>
    </w:p>
    <w:p>
      <w:pPr>
        <w:ind w:left="780" w:right="3179" w:firstLine="797"/>
        <w:spacing w:after="0" w:line="238" w:lineRule="auto"/>
        <w:tabs>
          <w:tab w:leader="none" w:pos="201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a merger of one or more corporations into the Company, or after a consolidation of the Company and one or more corporations in which the Company shall be the surviving corporation, each holder of an outstanding Option shall, at no additional cost, be entitled upon exercise of such Option to receive (subject to any required action by stockholders) in lieu of the number of shares as to which such Option shall then be so exercisable, the number and class of stock or other securities to which such holder would have been entitled to receive pursuant to the terms of the agreement of merger or consolidation if, immediately prior to such merger or consolidation, such holder had been the holder of record of a number of shares of the Company equal to the number of shares as to which such Option had been exercisable.</w:t>
      </w:r>
    </w:p>
    <w:p>
      <w:pPr>
        <w:spacing w:after="0" w:line="182" w:lineRule="exact"/>
        <w:rPr>
          <w:rFonts w:ascii="Courier New" w:cs="Courier New" w:eastAsia="Courier New" w:hAnsi="Courier New"/>
          <w:sz w:val="15"/>
          <w:szCs w:val="15"/>
          <w:color w:val="auto"/>
        </w:rPr>
      </w:pPr>
    </w:p>
    <w:p>
      <w:pPr>
        <w:ind w:left="780" w:right="3439" w:firstLine="797"/>
        <w:spacing w:after="0" w:line="238" w:lineRule="auto"/>
        <w:tabs>
          <w:tab w:leader="none" w:pos="201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is merged into or consolidated with another corporation or other entity under circumstances where the Company is not the surviving corporation, or if the Company sells or otherwise disposes of substantially all of its assets to another corporation or other entity while unexercised Options remain outstanding, then the Committee may direct that any of the following shall occur: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left="1580" w:right="3179" w:firstLine="790"/>
        <w:spacing w:after="0" w:line="257" w:lineRule="auto"/>
        <w:tabs>
          <w:tab w:leader="none" w:pos="290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successor entity is willing to assume the obligation to deliver shares of stock or securities after the effective date of the merger, consolidation or sale of assets, as the case may be, each holder of an outstanding Option shall be entitled to receive, upon the exercise of such Option and payment of the Option Price, in lieu of shares of Common Stock, such shares of stock or other securities as the holder of such Option would have been entitled to receive had such Option been exercised immediately prior to the consummation of such merger, consolidation or sale, and any related Alternate Appreciation Right and Limited Right associated with such Option shall apply as nearly as practicable to the shares of stock or other securities purchasable upon exercise of the Option following such merger, consolidation or sale of assets.</w:t>
      </w:r>
    </w:p>
    <w:p>
      <w:pPr>
        <w:spacing w:after="0" w:line="334" w:lineRule="exact"/>
        <w:rPr>
          <w:rFonts w:ascii="Courier New" w:cs="Courier New" w:eastAsia="Courier New" w:hAnsi="Courier New"/>
          <w:sz w:val="14"/>
          <w:szCs w:val="14"/>
          <w:color w:val="auto"/>
        </w:rPr>
      </w:pPr>
    </w:p>
    <w:p>
      <w:pPr>
        <w:ind w:left="1580" w:right="3259" w:firstLine="790"/>
        <w:spacing w:after="0" w:line="238" w:lineRule="auto"/>
        <w:tabs>
          <w:tab w:leader="none" w:pos="299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waive any limitations set forth in or imposed pursuant to this Plan or any Award Agreement with respect to such Option and any related Alternate Appreciation Right or Limited Option such that such Option and related Alternate Appreciation Right and Limited Right shall become exercisable prior to the record or effective date of such merger, consolidation or sale of assets.</w:t>
      </w:r>
    </w:p>
    <w:p>
      <w:pPr>
        <w:spacing w:after="0" w:line="177" w:lineRule="exact"/>
        <w:rPr>
          <w:rFonts w:ascii="Courier New" w:cs="Courier New" w:eastAsia="Courier New" w:hAnsi="Courier New"/>
          <w:sz w:val="15"/>
          <w:szCs w:val="15"/>
          <w:color w:val="auto"/>
        </w:rPr>
      </w:pPr>
    </w:p>
    <w:p>
      <w:pPr>
        <w:ind w:left="1580" w:right="3179" w:firstLine="790"/>
        <w:spacing w:after="0" w:line="257" w:lineRule="auto"/>
        <w:tabs>
          <w:tab w:leader="none" w:pos="290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cancel all outstanding Options and Alternate Appreciation Rights (but not Limited Rights) as of the effective date of any such merger, consolidation, or sale of assets provided that prior notice of such cancellation shall be given to each holder of an Option at least 30 days prior to the effective date of such merger, consolidation, or sale of assets, and each holder of an Option shall have the right to exercise such Option and any related Alternate Appreciation Right in full during a period of not less than 30 days prior to the effective date of such merger, consolidation, or sale of assets. No action taken by the Committee under this subsection shall have the effect of terminating, and nothing in this subsection shall permit the Committee to terminate, any Limited Right held by an Optionee.</w:t>
      </w:r>
    </w:p>
    <w:p>
      <w:pPr>
        <w:spacing w:after="0" w:line="165" w:lineRule="exact"/>
        <w:rPr>
          <w:sz w:val="20"/>
          <w:szCs w:val="20"/>
          <w:color w:val="auto"/>
        </w:rPr>
      </w:pPr>
    </w:p>
    <w:p>
      <w:pPr>
        <w:ind w:left="780" w:right="3179" w:firstLine="797"/>
        <w:spacing w:after="0" w:line="258" w:lineRule="auto"/>
        <w:tabs>
          <w:tab w:leader="none" w:pos="236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herein provided, the issuance by the Company of Common Stock or any other shares of capital stock or services convertible into shares of capital stock, for cash property, labor done or other consideration, shall not affect, and no adjustment by reason thereof shall be made with respect to, the number or price of shares of Common Stock then subject to outstanding Options.</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9.12. Change in Control. Any Award granted under the Plan prior to the date of a Change in Control shall be immediately exercisable in full on such date, without regard to any times of exercise established under its Award Agreement; provided, however, in no event shall Stock Options or Incentive Stock Options be exercisable after the tenth anniversary of their respective grant dates.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9.13. Amendment of the Plan.</w:t>
      </w:r>
    </w:p>
    <w:p>
      <w:pPr>
        <w:spacing w:after="0" w:line="175" w:lineRule="exact"/>
        <w:rPr>
          <w:sz w:val="20"/>
          <w:szCs w:val="20"/>
          <w:color w:val="auto"/>
        </w:rPr>
      </w:pPr>
    </w:p>
    <w:p>
      <w:pPr>
        <w:ind w:left="780" w:right="3259" w:firstLine="797"/>
        <w:spacing w:after="0" w:line="238" w:lineRule="auto"/>
        <w:tabs>
          <w:tab w:leader="none" w:pos="201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may without further action by the shareholders and without receiving further consideration from the Participants, amend this Plan or condition or modify Awards under this Plan in response to changes in securities or other laws or rules, regulations or regulatory interpretations thereof applicable to this Plan or to comply with stock exchange rules or requirements.</w:t>
      </w:r>
    </w:p>
    <w:p>
      <w:pPr>
        <w:spacing w:after="0" w:line="175" w:lineRule="exact"/>
        <w:rPr>
          <w:rFonts w:ascii="Courier New" w:cs="Courier New" w:eastAsia="Courier New" w:hAnsi="Courier New"/>
          <w:sz w:val="15"/>
          <w:szCs w:val="15"/>
          <w:color w:val="auto"/>
        </w:rPr>
      </w:pPr>
    </w:p>
    <w:p>
      <w:pPr>
        <w:ind w:left="780" w:right="3179" w:firstLine="797"/>
        <w:spacing w:after="0" w:line="257" w:lineRule="auto"/>
        <w:tabs>
          <w:tab w:leader="none" w:pos="2014"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at any time and from time to time terminate or modify or amend the Plan in any respect, except that without shareholder approval the Committee may not (i) increase the maximum number of shares of Common Stock which may be issued under the Plan (other than increases pursuant to Section 9.10), (ii) extend the period during which any Award may be granted or exercised, (iii) extend the term of the Plan, (iv) change the class of eligible Participants in the Plan, or (v) materially increase benefits available to Participants under the Plan if such increase would require shareholder approval pursuant to the listed company rules of the New York Stock Exchange, Inc. as such rules may be amended from time to time. The termination or any modification or amendment of the Plan, except as provided in subsection (a), shall not, without the consent of a Participant, affect his or her rights under an Award previously granted to him or her.</w:t>
      </w:r>
    </w:p>
    <w:p>
      <w:pPr>
        <w:spacing w:after="0" w:line="16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9.14. Effective Date. The Plan, as amended as of July 6, 1998, shall become effective as of July 6, 1998.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10.3</w:t>
      </w:r>
    </w:p>
    <w:p>
      <w:pPr>
        <w:spacing w:after="0" w:line="33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WASTE MANAGEMENT, INC.</w:t>
      </w:r>
    </w:p>
    <w:p>
      <w:pPr>
        <w:jc w:val="center"/>
        <w:ind w:right="3179"/>
        <w:spacing w:after="0"/>
        <w:rPr>
          <w:sz w:val="20"/>
          <w:szCs w:val="20"/>
          <w:color w:val="auto"/>
        </w:rPr>
      </w:pPr>
      <w:r>
        <w:rPr>
          <w:rFonts w:ascii="Courier New" w:cs="Courier New" w:eastAsia="Courier New" w:hAnsi="Courier New"/>
          <w:sz w:val="15"/>
          <w:szCs w:val="15"/>
          <w:color w:val="auto"/>
        </w:rPr>
        <w:t>1996 STOCK OPTION PLAN</w:t>
      </w:r>
    </w:p>
    <w:p>
      <w:pPr>
        <w:jc w:val="center"/>
        <w:ind w:right="3179"/>
        <w:spacing w:after="0"/>
        <w:rPr>
          <w:sz w:val="20"/>
          <w:szCs w:val="20"/>
          <w:color w:val="auto"/>
        </w:rPr>
      </w:pPr>
      <w:r>
        <w:rPr>
          <w:rFonts w:ascii="Courier New" w:cs="Courier New" w:eastAsia="Courier New" w:hAnsi="Courier New"/>
          <w:sz w:val="15"/>
          <w:szCs w:val="15"/>
          <w:color w:val="auto"/>
        </w:rPr>
        <w:t>FOR NON-EMPLOYEE DIRECTORS</w:t>
      </w:r>
    </w:p>
    <w:p>
      <w:pPr>
        <w:jc w:val="center"/>
        <w:ind w:right="3179"/>
        <w:spacing w:after="0" w:line="238" w:lineRule="auto"/>
        <w:rPr>
          <w:sz w:val="20"/>
          <w:szCs w:val="20"/>
          <w:color w:val="auto"/>
        </w:rPr>
      </w:pPr>
      <w:r>
        <w:rPr>
          <w:rFonts w:ascii="Courier New" w:cs="Courier New" w:eastAsia="Courier New" w:hAnsi="Courier New"/>
          <w:sz w:val="15"/>
          <w:szCs w:val="15"/>
          <w:color w:val="auto"/>
        </w:rPr>
        <w:t>(AS AMENDED - NOVEMBER 10, 1998)</w:t>
      </w:r>
    </w:p>
    <w:p>
      <w:pPr>
        <w:jc w:val="center"/>
        <w:ind w:right="3179"/>
        <w:spacing w:after="0"/>
        <w:rPr>
          <w:sz w:val="20"/>
          <w:szCs w:val="20"/>
          <w:color w:val="auto"/>
        </w:rPr>
      </w:pPr>
      <w:r>
        <w:rPr>
          <w:rFonts w:ascii="Courier New" w:cs="Courier New" w:eastAsia="Courier New" w:hAnsi="Courier New"/>
          <w:sz w:val="15"/>
          <w:szCs w:val="15"/>
          <w:color w:val="auto"/>
        </w:rPr>
        <w:t>CONFORMED COPY</w:t>
      </w:r>
    </w:p>
    <w:p>
      <w:pPr>
        <w:spacing w:after="0" w:line="174" w:lineRule="exact"/>
        <w:rPr>
          <w:sz w:val="20"/>
          <w:szCs w:val="20"/>
          <w:color w:val="auto"/>
        </w:rPr>
      </w:pPr>
    </w:p>
    <w:p>
      <w:pPr>
        <w:ind w:right="3359" w:firstLine="784"/>
        <w:spacing w:after="0" w:line="257" w:lineRule="auto"/>
        <w:tabs>
          <w:tab w:leader="none" w:pos="114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principal purpose of this 1996 Stock Option Plan for Non-Employee Directors (the "Plan") is to benefit WASTE MANAGEMENT, INC. (the "Company") and its subsidiaries through offering its directors who are not officers or full-time employees of the Company or any of its subsidiaries an opportunity to become holders of stock in the Company, thereby giving them a stake in the growth and prosperity of the Company, in order to enable them to represent the viewpoint of other stockholders of the Company more effectively and to encourage them to continue serving as directors of the Company.</w:t>
      </w:r>
    </w:p>
    <w:p>
      <w:pPr>
        <w:spacing w:after="0" w:line="166" w:lineRule="exact"/>
        <w:rPr>
          <w:rFonts w:ascii="Courier New" w:cs="Courier New" w:eastAsia="Courier New" w:hAnsi="Courier New"/>
          <w:sz w:val="14"/>
          <w:szCs w:val="14"/>
          <w:color w:val="auto"/>
        </w:rPr>
      </w:pPr>
    </w:p>
    <w:p>
      <w:pPr>
        <w:ind w:right="3359" w:firstLine="784"/>
        <w:spacing w:after="0" w:line="237"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Executive Committee of the Board of Directors (the "Committee"), whose interpretation of the terms and provisions of the Plan and whose determination of matters pertaining to options granted under the Plan shall be final and conclusive."</w:t>
      </w:r>
    </w:p>
    <w:p>
      <w:pPr>
        <w:spacing w:after="0" w:line="176" w:lineRule="exact"/>
        <w:rPr>
          <w:rFonts w:ascii="Courier New" w:cs="Courier New" w:eastAsia="Courier New" w:hAnsi="Courier New"/>
          <w:sz w:val="15"/>
          <w:szCs w:val="15"/>
          <w:color w:val="auto"/>
        </w:rPr>
      </w:pPr>
    </w:p>
    <w:p>
      <w:pPr>
        <w:ind w:right="3179" w:firstLine="784"/>
        <w:spacing w:after="0" w:line="237"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Options shall be granted under this Plan only to members of the Board of Directors who are not officers or full-time employees of the Company or any of its subsidiaries (each such director receiving options granted under the Plan and each other person entitled to exercise an option granted under the Plan is referred to herein as an "Optionee").</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 (a) An option under which a total of 10,000 shares of the common stock of the Company may be purchased from the Company shall be automatically granted to each eligible director of the Company on the first business day of January of each year in which such eligible director is still serving as a director (whether or not such director's term has been continuous). Notwithstanding the foregoing, the Committee may provide for an annual option grant for the purchase of a different number of Company shares and for such additional grants to eligible persons under this Plan as the Committee may in its discretion determine. The aggregate number of shares which shall be available to be so optioned under this Plan shall be 1,400,000 shares. Such number of shares, and the number of shares subject to options outstanding under the Plan, shall be subject in all cases to adjustment as provided in Paragraph 10 hereof. No option shall be granted under the Plan subsequent to January 1, 2006.</w:t>
      </w:r>
    </w:p>
    <w:p>
      <w:pPr>
        <w:spacing w:after="0" w:line="184" w:lineRule="exact"/>
        <w:rPr>
          <w:sz w:val="20"/>
          <w:szCs w:val="20"/>
          <w:color w:val="auto"/>
        </w:rPr>
      </w:pPr>
    </w:p>
    <w:p>
      <w:pPr>
        <w:ind w:right="3179" w:firstLine="784"/>
        <w:spacing w:after="0" w:line="237" w:lineRule="auto"/>
        <w:tabs>
          <w:tab w:leader="none" w:pos="11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to the contrary, in the event an option expires or is terminated or canceled unexercised as to any shares of common stock, such released shares may again be the subject of an option granted under the Plan. Shares subject to options may be made available from unissued or reacquired shares of common stock.</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or in any option granted pursuant thereto shall in itself confer upon any Optionee any right to continue serving as a director of the Company or interfere in any way with any right of the Board of Directors or stockholders of the Company to remove such director pursuant to the restated certificate of incorporation or by-laws of the Company or applicable law.</w:t>
      </w:r>
    </w:p>
    <w:p>
      <w:pPr>
        <w:sectPr>
          <w:pgSz w:w="11900" w:h="16838" w:orient="portrait"/>
          <w:cols w:equalWidth="0" w:num="1">
            <w:col w:w="10219"/>
          </w:cols>
          <w:pgMar w:left="240" w:top="136"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260" w:right="3259" w:firstLine="784"/>
        <w:spacing w:after="0" w:line="257" w:lineRule="auto"/>
        <w:tabs>
          <w:tab w:leader="none" w:pos="88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Subject to adjustment under Paragraph 10 hereof, the option price shall be the fair market value, on the date as of which the option is granted, of the stock subject to the option, which shall be, for purposes of this Paragraph, the lowest trading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the date as of which the option is granted.</w:t>
      </w:r>
    </w:p>
    <w:p>
      <w:pPr>
        <w:spacing w:after="0" w:line="166" w:lineRule="exact"/>
        <w:rPr>
          <w:rFonts w:ascii="Courier New" w:cs="Courier New" w:eastAsia="Courier New" w:hAnsi="Courier New"/>
          <w:sz w:val="14"/>
          <w:szCs w:val="14"/>
          <w:color w:val="auto"/>
        </w:rPr>
      </w:pPr>
    </w:p>
    <w:p>
      <w:pPr>
        <w:ind w:left="-260" w:right="3439" w:firstLine="784"/>
        <w:spacing w:after="0" w:line="237" w:lineRule="auto"/>
        <w:tabs>
          <w:tab w:leader="none" w:pos="88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VESTING. Subject to the provisions of Paragraph 8 hereof, each option shall be for a term of ten years. Each option shall become exercisable with respect of 100% of the total number of shares subject to the option on the first anniversary of the date of grant.</w:t>
      </w:r>
    </w:p>
    <w:p>
      <w:pPr>
        <w:spacing w:after="0" w:line="176" w:lineRule="exact"/>
        <w:rPr>
          <w:rFonts w:ascii="Courier New" w:cs="Courier New" w:eastAsia="Courier New" w:hAnsi="Courier New"/>
          <w:sz w:val="15"/>
          <w:szCs w:val="15"/>
          <w:color w:val="auto"/>
        </w:rPr>
      </w:pPr>
    </w:p>
    <w:p>
      <w:pPr>
        <w:ind w:left="-260" w:right="3179" w:firstLine="784"/>
        <w:spacing w:after="0" w:line="257" w:lineRule="auto"/>
        <w:tabs>
          <w:tab w:leader="none" w:pos="886"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 (a) An option may be exercised by giving written notice to the Company, attention of the Secretary, specifying the number of shares to be purchased, accompanied by the full purchase price for the shares to be purchased in cash, by check, or a "cashless-broker" exercise pursuant to procedures established by the Committee from time to time, by a promissory note in the form specified by the Company and payable to the Company 15 business days after the date of exercise of the option, by shares of the Company's common stock or by a combination of these methods of payment. For this purpose, the per share value of the Company's common stock shall be the fair market value on the date of exercise (or if the date of exercise is not a trading day on the trading day next preceding the date of exercise), which shall be, for purposes of this Paragraph, the average of the highest and lowest sales price of the Company's common stock on the New York Stock Exchange Composite Tape (as reported in The Wall Street Journal, Southwest Edition) (or, if the Company's common stock is not then traded on the New York Stock Exchange, on the principal market where such common stock is actively traded) on such date.</w:t>
      </w:r>
    </w:p>
    <w:p>
      <w:pPr>
        <w:spacing w:after="0" w:line="164" w:lineRule="exact"/>
        <w:rPr>
          <w:sz w:val="20"/>
          <w:szCs w:val="20"/>
          <w:color w:val="auto"/>
        </w:rPr>
      </w:pPr>
    </w:p>
    <w:p>
      <w:pPr>
        <w:ind w:left="-260" w:right="3179" w:firstLine="784"/>
        <w:spacing w:after="0" w:line="239" w:lineRule="auto"/>
        <w:tabs>
          <w:tab w:leader="none" w:pos="88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any exercise of any option, the Company may, if it shall determine it necessary or desirable for any reason, require the Optionee (or his or her heirs, legatees or legal representatives, as the case may be) as a condition upon the exercise thereof, to deliver to the Company a written representation of present intention to purchase the shares for investment and not for distribution. In the event such representation is required to be delivered, an appropriate legend may be placed upon each certificate delivered to the Optionee upon his or her exercise of part or all of the option and a stop transfer order may be placed with the transfer agent. Each option shall also be subject to the requirement that, if at any time the Company determines, in its discretion, that the listing, registration or qualification of the shares subject to the option upon any securities exchange or under any state, federal or foreign law, or the consent or approval of any governmental regulatory body, is necessary or desirable as a condition of, or in consideration with, the issue or purchase of shares thereunder, the option may not be exercised in whole or in part unless such listing, registration, qualification, consent or approval shall have been effected or obtained free of any conditions not acceptable to the Company.</w:t>
      </w:r>
    </w:p>
    <w:p>
      <w:pPr>
        <w:spacing w:after="0" w:line="175" w:lineRule="exact"/>
        <w:rPr>
          <w:sz w:val="20"/>
          <w:szCs w:val="20"/>
          <w:color w:val="auto"/>
        </w:rPr>
      </w:pPr>
    </w:p>
    <w:p>
      <w:pPr>
        <w:ind w:left="-260" w:right="3699" w:firstLine="784"/>
        <w:spacing w:after="0" w:line="237" w:lineRule="auto"/>
        <w:tabs>
          <w:tab w:leader="none" w:pos="88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TERMINATION-EXERCISE THEREAFTER. (a) In the event an Optionee ceases to be a director of the Company for any reason other than death, permanent disability, resignation or</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3"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retirement, such Optionee's option shall expire and all rights to purchase shares pursuant thereto shall terminate immediately.</w:t>
      </w:r>
    </w:p>
    <w:p>
      <w:pPr>
        <w:spacing w:after="0" w:line="176" w:lineRule="exact"/>
        <w:rPr>
          <w:sz w:val="20"/>
          <w:szCs w:val="20"/>
          <w:color w:val="auto"/>
        </w:rPr>
      </w:pPr>
    </w:p>
    <w:p>
      <w:pPr>
        <w:ind w:right="3179" w:firstLine="784"/>
        <w:spacing w:after="0" w:line="238" w:lineRule="auto"/>
        <w:tabs>
          <w:tab w:leader="none" w:pos="114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permanent disability (as the term is defined in the Social Security Act, as now in effect or as it shall be subsequently amended), resignation or retirement, the vesting of any unvested options shall accelerate and such options may be exercised in full by the Optionee or, if the Optionee is not living, by the Optionee's heirs, legatees, or legal representatives, as the case may be, at any time during its specified term after the date of death, permanent disability, resignation or retirement.</w:t>
      </w:r>
    </w:p>
    <w:p>
      <w:pPr>
        <w:spacing w:after="0" w:line="177" w:lineRule="exact"/>
        <w:rPr>
          <w:sz w:val="20"/>
          <w:szCs w:val="20"/>
          <w:color w:val="auto"/>
        </w:rPr>
      </w:pPr>
    </w:p>
    <w:p>
      <w:pPr>
        <w:jc w:val="both"/>
        <w:ind w:right="3259" w:firstLine="784"/>
        <w:spacing w:after="0" w:line="259" w:lineRule="auto"/>
        <w:tabs>
          <w:tab w:leader="none" w:pos="114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(a) Except as provided in subparagraph (b) below, no Option will be transferable by an Optionee other than by will or the laws of descent and distribution and Options will be exercisable during the lifetime of the Optionee only by the Optionee or by the Optionee's legal representative.</w:t>
      </w:r>
    </w:p>
    <w:p>
      <w:pPr>
        <w:spacing w:after="0" w:line="163" w:lineRule="exact"/>
        <w:rPr>
          <w:sz w:val="20"/>
          <w:szCs w:val="20"/>
          <w:color w:val="auto"/>
        </w:rPr>
      </w:pPr>
    </w:p>
    <w:p>
      <w:pPr>
        <w:ind w:right="3179" w:firstLine="784"/>
        <w:spacing w:after="0" w:line="238" w:lineRule="auto"/>
        <w:tabs>
          <w:tab w:leader="none" w:pos="114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Options may be transferred (in whole or in part in a form approved by the Company) by an Optionee to (i) the spouse, children or grandchildren of the Optionee ("Immediate Family Members"), (ii) a trust or trusts for the exclusive benefit of the Immediate Family Members and, if applicable, the Optionee, or (iii) a partnership in which such Immediate Family Members and, if applicable, the Optionee are the only partners. Following any such transfer, the Option shall continue to be subject to the same terms and conditions as were applicable to the Option immediately prior to the transfer. A transferee of an Option may not transfer the Option except to an Immediate Family Member or the Optionee.</w:t>
      </w:r>
    </w:p>
    <w:p>
      <w:pPr>
        <w:spacing w:after="0" w:line="180" w:lineRule="exact"/>
        <w:rPr>
          <w:sz w:val="20"/>
          <w:szCs w:val="20"/>
          <w:color w:val="auto"/>
        </w:rPr>
      </w:pPr>
    </w:p>
    <w:p>
      <w:pPr>
        <w:ind w:right="3179" w:firstLine="784"/>
        <w:spacing w:after="0" w:line="257" w:lineRule="auto"/>
        <w:tabs>
          <w:tab w:leader="none" w:pos="114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The number of shares subject to the Plan and to options granted under the Plan shall be adjusted as follows: (a) in the event that the Company's outstanding common stock is changed by any stock dividend, stock split or combination of shares, the number of shares subject to the Plan and to options granted thereunder shall be proportionately adjusted, (b) in the event of any merger, consolidation or reorganization of the Company with any other corporation or corporations, there shall be substituted on an equitable basis as determined by the Board of Directors, for each share of common stock then subject to the Plan and for each share of common stock then subject to an option granted under the Plan, the number and kind of shares of stock, other securities, cash or other property to which the holders of common stock of the Company will be entitled pursuant to the transaction, and (c) in the event of any other relevant change in the capitalization of the Company, the Board of Directors shall provide for an equitable adjustment in the number of shares of common stock then subject to the Plan and to each share of common stock then subject to an option granted under the Plan. In the event of any such adjustment, the exercise price per share shall be proportionately adjusted.</w:t>
      </w:r>
    </w:p>
    <w:p>
      <w:pPr>
        <w:spacing w:after="0" w:line="163" w:lineRule="exact"/>
        <w:rPr>
          <w:rFonts w:ascii="Courier New" w:cs="Courier New" w:eastAsia="Courier New" w:hAnsi="Courier New"/>
          <w:sz w:val="14"/>
          <w:szCs w:val="14"/>
          <w:color w:val="auto"/>
        </w:rPr>
      </w:pPr>
    </w:p>
    <w:p>
      <w:pPr>
        <w:ind w:right="3359" w:firstLine="784"/>
        <w:spacing w:after="0" w:line="238" w:lineRule="auto"/>
        <w:tabs>
          <w:tab w:leader="none" w:pos="114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(a) Any option granted under the Plan prior to the date of a "Change in Control" shall be immediately exercisable in full on such date, without regard to any times of exercise established under the Paragraph 6 hereof. The term "Change in Control" shall mean the occurrence, at any time during the specified term of an option granted under the Plan, of any of the following events: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520" w:right="3179" w:firstLine="797"/>
        <w:spacing w:after="0" w:line="238" w:lineRule="auto"/>
        <w:tabs>
          <w:tab w:leader="none" w:pos="184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merged or consolidated or reorganized into or with another corporation or other legal person (an "Acquiror") and as a result of such merger, consolidation or reorganization less than 75% of the outstanding voting securities or other capital interests of the surviving, resulting or acquiring corporation or other legal person are owned in the aggregate by the stockholders of the Company, directly or indirectly, immediately prior to such merger, consolidation or reorganization, other than the Acquiror or any corporation or other legal person controlling, controlled by or under common control with the Acquiror;</w:t>
      </w:r>
    </w:p>
    <w:p>
      <w:pPr>
        <w:spacing w:after="0" w:line="179" w:lineRule="exact"/>
        <w:rPr>
          <w:rFonts w:ascii="Courier New" w:cs="Courier New" w:eastAsia="Courier New" w:hAnsi="Courier New"/>
          <w:sz w:val="15"/>
          <w:szCs w:val="15"/>
          <w:color w:val="auto"/>
        </w:rPr>
      </w:pPr>
    </w:p>
    <w:p>
      <w:pPr>
        <w:ind w:left="520" w:right="3259" w:firstLine="797"/>
        <w:spacing w:after="0" w:line="238" w:lineRule="auto"/>
        <w:tabs>
          <w:tab w:leader="none" w:pos="184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all or substantially all of its business and/or assets to an Acquiror, of which less than 75% of the outstanding voting securities or other capital interests are owned in the aggregate by the stockholders of the Company, directly or indirectly, immediately prior to such sale, other than any corporation or other legal person controlling, controlled by or under common control with the Acquiror;</w:t>
      </w:r>
    </w:p>
    <w:p>
      <w:pPr>
        <w:spacing w:after="0" w:line="170" w:lineRule="exact"/>
        <w:rPr>
          <w:rFonts w:ascii="Courier New" w:cs="Courier New" w:eastAsia="Courier New" w:hAnsi="Courier New"/>
          <w:sz w:val="15"/>
          <w:szCs w:val="15"/>
          <w:color w:val="auto"/>
        </w:rPr>
      </w:pPr>
    </w:p>
    <w:p>
      <w:pPr>
        <w:ind w:left="1840" w:hanging="523"/>
        <w:spacing w:after="0"/>
        <w:tabs>
          <w:tab w:leader="none" w:pos="184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report filed on Schedule 13D or Schedule</w:t>
      </w:r>
    </w:p>
    <w:p>
      <w:pPr>
        <w:spacing w:after="0" w:line="5" w:lineRule="exact"/>
        <w:rPr>
          <w:sz w:val="20"/>
          <w:szCs w:val="20"/>
          <w:color w:val="auto"/>
        </w:rPr>
      </w:pPr>
    </w:p>
    <w:p>
      <w:pPr>
        <w:ind w:left="520" w:right="3259"/>
        <w:spacing w:after="0" w:line="257" w:lineRule="auto"/>
        <w:rPr>
          <w:sz w:val="20"/>
          <w:szCs w:val="20"/>
          <w:color w:val="auto"/>
        </w:rPr>
      </w:pPr>
      <w:r>
        <w:rPr>
          <w:rFonts w:ascii="Courier New" w:cs="Courier New" w:eastAsia="Courier New" w:hAnsi="Courier New"/>
          <w:sz w:val="14"/>
          <w:szCs w:val="14"/>
          <w:color w:val="auto"/>
        </w:rPr>
        <w:t>14D-1 (or any successor schedule, form or report), each as promulgated pursuant to the Securities Exchange Act of 1934, as amended (the "Exchange Act"), disclosing that any person or group (as the terms "person" and "group" are used in Section 13(d)(3) or Section 14(d)(2) of the Exchange Act and the rules and regulations promulgated thereunder) has become the beneficial owner (as the term "beneficial owner" is defined under Rule 13d-3 or any successor rule or regulation promulgated under the Exchange Act) of 20% or more of the issued and outstanding shares of voting securities of the Company; or</w:t>
      </w:r>
    </w:p>
    <w:p>
      <w:pPr>
        <w:spacing w:after="0" w:line="167" w:lineRule="exact"/>
        <w:rPr>
          <w:sz w:val="20"/>
          <w:szCs w:val="20"/>
          <w:color w:val="auto"/>
        </w:rPr>
      </w:pPr>
    </w:p>
    <w:p>
      <w:pPr>
        <w:ind w:left="520" w:right="3179" w:firstLine="797"/>
        <w:spacing w:after="0" w:line="238" w:lineRule="auto"/>
        <w:tabs>
          <w:tab w:leader="none" w:pos="1842"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new director of the Company was approved by a vote of at least two-thirds of such directors of the Company then still in office who were directors of the Company at the beginning of any such period.</w:t>
      </w:r>
    </w:p>
    <w:p>
      <w:pPr>
        <w:spacing w:after="0" w:line="177" w:lineRule="exact"/>
        <w:rPr>
          <w:rFonts w:ascii="Courier New" w:cs="Courier New" w:eastAsia="Courier New" w:hAnsi="Courier New"/>
          <w:sz w:val="15"/>
          <w:szCs w:val="15"/>
          <w:color w:val="auto"/>
        </w:rPr>
      </w:pPr>
    </w:p>
    <w:p>
      <w:pPr>
        <w:ind w:left="-260" w:right="3359" w:firstLine="784"/>
        <w:spacing w:after="0" w:line="257" w:lineRule="auto"/>
        <w:tabs>
          <w:tab w:leader="none" w:pos="97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PLAN. The Board of Directors of the Company or any authorized committee thereof may amend or discontinue the Plan at any time, provided, however, that the Plan may not be amended more than once every six months except to comport with the changes in the Internal Revenue Code, the Employee Retirement Income Security Act of 1976, as amended, or the rules and regulations under each, and provided further, that no such amendment or discontinuance shall (a) without the consent of the Optionee change or impair any option previously granted, or (b) without the approval of the holders of a majority of the shares of voting common stock of the Company which are present or represented at a duly held stockholders' meeting, (i) increase the maximum number of shares which may be purchased by all eligible directors pursuant to the Plan, (ii) change the purchase price, or (iii) change the option period or increase the time limitations on the grant of options.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3" w:right="1440" w:bottom="1440" w:gutter="0" w:footer="0" w:header="0"/>
        </w:sectPr>
      </w:pPr>
    </w:p>
    <w:bookmarkStart w:id="145" w:name="page146"/>
    <w:bookmarkEnd w:id="145"/>
    <w:p>
      <w:pPr>
        <w:ind w:left="270"/>
        <w:spacing w:after="0"/>
        <w:rPr>
          <w:sz w:val="20"/>
          <w:szCs w:val="20"/>
          <w:color w:val="auto"/>
        </w:rPr>
      </w:pPr>
      <w:r>
        <w:rPr>
          <w:rFonts w:ascii="Courier New" w:cs="Courier New" w:eastAsia="Courier New" w:hAnsi="Courier New"/>
          <w:sz w:val="15"/>
          <w:szCs w:val="15"/>
          <w:color w:val="auto"/>
        </w:rPr>
        <w:t>1</w:t>
      </w:r>
    </w:p>
    <w:p>
      <w:pPr>
        <w:jc w:val="right"/>
        <w:ind w:right="3259"/>
        <w:spacing w:after="0"/>
        <w:rPr>
          <w:sz w:val="20"/>
          <w:szCs w:val="20"/>
          <w:color w:val="auto"/>
        </w:rPr>
      </w:pPr>
      <w:r>
        <w:rPr>
          <w:rFonts w:ascii="Courier New" w:cs="Courier New" w:eastAsia="Courier New" w:hAnsi="Courier New"/>
          <w:sz w:val="15"/>
          <w:szCs w:val="15"/>
          <w:color w:val="auto"/>
        </w:rPr>
        <w:t>EXHIBIT 10.31</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WASTE MANAGEMENT, INC. (the "Company"), and _____________________ (the</w:t>
      </w:r>
    </w:p>
    <w:p>
      <w:pPr>
        <w:spacing w:after="0" w:line="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"Executive") hereby enter into this EMPLOYMENT AGREEMENT ("Agreement") dated as of _____________, 19____, as follows:</w:t>
      </w:r>
    </w:p>
    <w:p>
      <w:pPr>
        <w:spacing w:after="0" w:line="170" w:lineRule="exact"/>
        <w:rPr>
          <w:sz w:val="20"/>
          <w:szCs w:val="20"/>
          <w:color w:val="auto"/>
        </w:rPr>
      </w:pPr>
    </w:p>
    <w:p>
      <w:pPr>
        <w:ind w:left="350" w:hanging="350"/>
        <w:spacing w:after="0"/>
        <w:tabs>
          <w:tab w:leader="none" w:pos="3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The Company shall employ Executive, and Executive shall be employed by the Company upon the terms and subject to the conditions set forth in this Agreement.</w:t>
      </w:r>
    </w:p>
    <w:p>
      <w:pPr>
        <w:spacing w:after="0" w:line="169" w:lineRule="exact"/>
        <w:rPr>
          <w:sz w:val="20"/>
          <w:szCs w:val="20"/>
          <w:color w:val="auto"/>
        </w:rPr>
      </w:pPr>
    </w:p>
    <w:p>
      <w:pPr>
        <w:ind w:left="350" w:hanging="350"/>
        <w:spacing w:after="0"/>
        <w:tabs>
          <w:tab w:leader="none" w:pos="3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EMPLOYMENT.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period of Executive's employment under this Agreement shall begin as of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_____________, 19____, and shall be for continuously renewing [five (5)] [three</w:t>
      </w:r>
    </w:p>
    <w:p>
      <w:pPr>
        <w:spacing w:after="0" w:line="11"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(3)] year terms, unless Executive's employment is terminated in accordance with Section 5 below.</w:t>
      </w:r>
    </w:p>
    <w:p>
      <w:pPr>
        <w:spacing w:after="0" w:line="170" w:lineRule="exact"/>
        <w:rPr>
          <w:sz w:val="20"/>
          <w:szCs w:val="20"/>
          <w:color w:val="auto"/>
        </w:rPr>
      </w:pPr>
    </w:p>
    <w:p>
      <w:pPr>
        <w:ind w:left="350" w:hanging="350"/>
        <w:spacing w:after="0"/>
        <w:tabs>
          <w:tab w:leader="none" w:pos="3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w:t>
      </w:r>
    </w:p>
    <w:p>
      <w:pPr>
        <w:spacing w:after="0" w:line="169" w:lineRule="exact"/>
        <w:rPr>
          <w:sz w:val="20"/>
          <w:szCs w:val="20"/>
          <w:color w:val="auto"/>
        </w:rPr>
      </w:pPr>
    </w:p>
    <w:p>
      <w:pPr>
        <w:ind w:left="790" w:hanging="790"/>
        <w:spacing w:after="0"/>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serve as ___________________, and report to</w:t>
      </w:r>
    </w:p>
    <w:p>
      <w:pPr>
        <w:spacing w:after="0" w:line="5" w:lineRule="exact"/>
        <w:rPr>
          <w:rFonts w:ascii="Courier New" w:cs="Courier New" w:eastAsia="Courier New" w:hAnsi="Courier New"/>
          <w:sz w:val="15"/>
          <w:szCs w:val="15"/>
          <w:color w:val="auto"/>
        </w:rPr>
      </w:pPr>
    </w:p>
    <w:p>
      <w:pPr>
        <w:ind w:left="79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 In such capacity, Executive shall perform such duties as may be assigned to Executive from time to time by the Board of Directors of the Company or the Chief Executive Officer of the Company.</w:t>
      </w:r>
    </w:p>
    <w:p>
      <w:pPr>
        <w:spacing w:after="0" w:line="176" w:lineRule="exact"/>
        <w:rPr>
          <w:rFonts w:ascii="Courier New" w:cs="Courier New" w:eastAsia="Courier New" w:hAnsi="Courier New"/>
          <w:sz w:val="15"/>
          <w:szCs w:val="15"/>
          <w:color w:val="auto"/>
        </w:rPr>
      </w:pPr>
    </w:p>
    <w:p>
      <w:pPr>
        <w:ind w:left="790" w:right="3359" w:hanging="790"/>
        <w:spacing w:after="0" w:line="238" w:lineRule="auto"/>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faithfully serve the Company, and/or its affiliated corporations, devote Executive's full working time, attention and energies to the business of the Company, and/or its affiliated corporations, and perform the duties under this Agreement to the best of Executive's abilities. Executive may make and manage his personal investments, provided such investments in other activities do not violate, in any material respect, the provisions of Section 8 of this Agreement.</w:t>
      </w:r>
    </w:p>
    <w:p>
      <w:pPr>
        <w:spacing w:after="0" w:line="177" w:lineRule="exact"/>
        <w:rPr>
          <w:rFonts w:ascii="Courier New" w:cs="Courier New" w:eastAsia="Courier New" w:hAnsi="Courier New"/>
          <w:sz w:val="15"/>
          <w:szCs w:val="15"/>
          <w:color w:val="auto"/>
        </w:rPr>
      </w:pPr>
    </w:p>
    <w:p>
      <w:pPr>
        <w:ind w:left="790" w:right="3439" w:hanging="790"/>
        <w:spacing w:after="0" w:line="238" w:lineRule="auto"/>
        <w:tabs>
          <w:tab w:leader="none" w:pos="79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shall (i) comply with all applicable laws, rules and regulations, and all requirements of all applicable regulatory, self-regulatory, and administrative bodies; (ii) comply with the Company's rules, procedures, policies, requirements, and directions; and (iii) not engage in any other business or employment without the written consent of the Company except as otherwise specifically provided herein.</w:t>
      </w:r>
    </w:p>
    <w:p>
      <w:pPr>
        <w:spacing w:after="0" w:line="171" w:lineRule="exact"/>
        <w:rPr>
          <w:sz w:val="20"/>
          <w:szCs w:val="20"/>
          <w:color w:val="auto"/>
        </w:rPr>
      </w:pPr>
    </w:p>
    <w:p>
      <w:pPr>
        <w:ind w:left="350" w:hanging="350"/>
        <w:spacing w:after="0"/>
        <w:tabs>
          <w:tab w:leader="none" w:pos="3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spacing w:after="0" w:line="175" w:lineRule="exact"/>
        <w:rPr>
          <w:sz w:val="20"/>
          <w:szCs w:val="20"/>
          <w:color w:val="auto"/>
        </w:rPr>
      </w:pPr>
    </w:p>
    <w:p>
      <w:pPr>
        <w:ind w:left="790" w:right="3259" w:hanging="790"/>
        <w:spacing w:after="0" w:line="258" w:lineRule="auto"/>
        <w:tabs>
          <w:tab w:leader="none" w:pos="79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During the Employment Term, the Company shall pay Executive a base salary at the annual rate of ($________) dollars per year or such higher rate as may be determined from time to time by the Company ("Base Salary"). Such Base Salary shall be paid in accordance with the Company's standard payroll practice for senior executives.</w:t>
      </w:r>
    </w:p>
    <w:p>
      <w:pPr>
        <w:sectPr>
          <w:pgSz w:w="11900" w:h="16838" w:orient="portrait"/>
          <w:cols w:equalWidth="0" w:num="1">
            <w:col w:w="10229"/>
          </w:cols>
          <w:pgMar w:left="230" w:top="136" w:right="1440" w:bottom="1440" w:gutter="0" w:footer="0" w:header="0"/>
        </w:sectPr>
      </w:pPr>
    </w:p>
    <w:bookmarkStart w:id="146" w:name="page147"/>
    <w:bookmarkEnd w:id="146"/>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790" w:right="3259" w:hanging="790"/>
        <w:spacing w:after="0" w:line="238" w:lineRule="auto"/>
        <w:tabs>
          <w:tab w:leader="none" w:pos="79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Company shall promptly reimburse Executive for the ordinary and necessary business expenses incurred by Executive in the performance of the duties hereunder in accordance with the Company's customary practices applicable to senior executives, provided that such expenses are incurred and accounted for in accordance with the Company's policy.</w:t>
      </w:r>
    </w:p>
    <w:p>
      <w:pPr>
        <w:spacing w:after="0" w:line="175"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Executive shall be eligible to participate in or receive benefits under any pension plan, profit sharing plan, medical and dental benefits plan, life insurance plan, short-term and long-term disability plans, supplemental and/or incentive compensation plans, or any other fringe benefit plan, generally made available by the Company to [senior executives] [executive working pursuant to this form of Agreement (hereinafter referred to as "similarly situated executives")].</w:t>
      </w:r>
    </w:p>
    <w:p>
      <w:pPr>
        <w:spacing w:after="0" w:line="177" w:lineRule="exact"/>
        <w:rPr>
          <w:rFonts w:ascii="Courier New" w:cs="Courier New" w:eastAsia="Courier New" w:hAnsi="Courier New"/>
          <w:sz w:val="15"/>
          <w:szCs w:val="15"/>
          <w:color w:val="auto"/>
        </w:rPr>
      </w:pPr>
    </w:p>
    <w:p>
      <w:pPr>
        <w:ind w:left="790" w:right="3439" w:hanging="790"/>
        <w:spacing w:after="0" w:line="256" w:lineRule="auto"/>
        <w:tabs>
          <w:tab w:leader="none" w:pos="79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Executive to (i) defend the validity of this Agreement, (ii) contest any determination by the Company concerning the amounts payable (or reimbursable) by the Company to the Executive under this Agreement,</w:t>
      </w:r>
    </w:p>
    <w:p>
      <w:pPr>
        <w:spacing w:after="0" w:line="1" w:lineRule="exact"/>
        <w:rPr>
          <w:rFonts w:ascii="Courier New" w:cs="Courier New" w:eastAsia="Courier New" w:hAnsi="Courier New"/>
          <w:sz w:val="14"/>
          <w:szCs w:val="14"/>
          <w:color w:val="auto"/>
        </w:rPr>
      </w:pPr>
    </w:p>
    <w:p>
      <w:pPr>
        <w:ind w:left="790" w:right="3259" w:firstLine="4"/>
        <w:spacing w:after="0" w:line="257" w:lineRule="auto"/>
        <w:tabs>
          <w:tab w:leader="none" w:pos="1319"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 in any tax year of the Executive, the tax consequences to the Executive of any amount payable (or reimbursable) under Section 7(b) or 7(c) hereof, or (iv)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any audit by the Internal Revenue Service of the Company's income tax returns, are, upon written demand by the Executive, to be promptly advanced or reimbursed to the Executive, or paid directly, on a current basis, by the Company or its successors.</w:t>
      </w:r>
    </w:p>
    <w:p>
      <w:pPr>
        <w:spacing w:after="0" w:line="330" w:lineRule="exact"/>
        <w:rPr>
          <w:sz w:val="20"/>
          <w:szCs w:val="20"/>
          <w:color w:val="auto"/>
        </w:rPr>
      </w:pPr>
    </w:p>
    <w:p>
      <w:pPr>
        <w:ind w:left="350" w:hanging="350"/>
        <w:spacing w:after="0"/>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5" w:lineRule="exact"/>
        <w:rPr>
          <w:sz w:val="20"/>
          <w:szCs w:val="20"/>
          <w:color w:val="auto"/>
        </w:rPr>
      </w:pPr>
    </w:p>
    <w:p>
      <w:pPr>
        <w:ind w:left="10" w:right="4059"/>
        <w:spacing w:after="0" w:line="235" w:lineRule="auto"/>
        <w:rPr>
          <w:sz w:val="20"/>
          <w:szCs w:val="20"/>
          <w:color w:val="auto"/>
        </w:rPr>
      </w:pPr>
      <w:r>
        <w:rPr>
          <w:rFonts w:ascii="Courier New" w:cs="Courier New" w:eastAsia="Courier New" w:hAnsi="Courier New"/>
          <w:sz w:val="15"/>
          <w:szCs w:val="15"/>
          <w:color w:val="auto"/>
        </w:rPr>
        <w:t>Executive's employment hereunder may be terminated under the following circumstances:</w:t>
      </w:r>
    </w:p>
    <w:p>
      <w:pPr>
        <w:spacing w:after="0" w:line="176" w:lineRule="exact"/>
        <w:rPr>
          <w:sz w:val="20"/>
          <w:szCs w:val="20"/>
          <w:color w:val="auto"/>
        </w:rPr>
      </w:pPr>
    </w:p>
    <w:p>
      <w:pPr>
        <w:ind w:left="790" w:right="4139" w:hanging="790"/>
        <w:spacing w:after="0" w:line="235" w:lineRule="auto"/>
        <w:tabs>
          <w:tab w:leader="none" w:pos="79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Executive's employment hereunder shall terminate upon Executive's death.</w:t>
      </w:r>
    </w:p>
    <w:p>
      <w:pPr>
        <w:spacing w:after="0" w:line="175" w:lineRule="exact"/>
        <w:rPr>
          <w:rFonts w:ascii="Courier New" w:cs="Courier New" w:eastAsia="Courier New" w:hAnsi="Courier New"/>
          <w:sz w:val="15"/>
          <w:szCs w:val="15"/>
          <w:color w:val="auto"/>
        </w:rPr>
      </w:pPr>
    </w:p>
    <w:p>
      <w:pPr>
        <w:ind w:left="790" w:right="3259" w:hanging="790"/>
        <w:spacing w:after="0" w:line="257" w:lineRule="auto"/>
        <w:tabs>
          <w:tab w:leader="none" w:pos="79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"Totally Disabled" if Executive is physically or mentally incapacitated so as to render Executive incapable of performing Executive's usual and customary duties under this Agreement.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165" w:lineRule="exact"/>
        <w:rPr>
          <w:rFonts w:ascii="Courier New" w:cs="Courier New" w:eastAsia="Courier New" w:hAnsi="Courier New"/>
          <w:sz w:val="14"/>
          <w:szCs w:val="14"/>
          <w:color w:val="auto"/>
        </w:rPr>
      </w:pPr>
    </w:p>
    <w:p>
      <w:pPr>
        <w:ind w:left="790" w:right="3879" w:hanging="790"/>
        <w:spacing w:after="0" w:line="237" w:lineRule="auto"/>
        <w:tabs>
          <w:tab w:leader="none" w:pos="79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The Company may terminate Executive's employment hereunder for "Cause" at any time after providing written notice to Executive.</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2 of 14</w:t>
      </w:r>
    </w:p>
    <w:p>
      <w:pPr>
        <w:sectPr>
          <w:pgSz w:w="11900" w:h="16838" w:orient="portrait"/>
          <w:cols w:equalWidth="0" w:num="1">
            <w:col w:w="10229"/>
          </w:cols>
          <w:pgMar w:left="230" w:top="283" w:right="1440" w:bottom="1440" w:gutter="0" w:footer="0" w:header="0"/>
        </w:sectPr>
      </w:pPr>
    </w:p>
    <w:bookmarkStart w:id="147" w:name="page148"/>
    <w:bookmarkEnd w:id="147"/>
    <w:p>
      <w:pPr>
        <w:ind w:left="27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left="1590" w:right="3259" w:hanging="796"/>
        <w:spacing w:after="0" w:line="256" w:lineRule="auto"/>
        <w:tabs>
          <w:tab w:leader="none" w:pos="159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shall mean any of the following: (A) conviction of a crime (including conviction on a nolo contendere plea) involving a felony or, in the good faith judgment of the Company's Board of Directors, fraud, dishonesty, or moral turpitude; (B) deliberate and continual refusal to perform employment duties reasonably requested by the Company or an affiliate after thirty (30) days' written notice by certified mail of such failure to perform, specifying that the failure constitutes cause (other than as a result of vacation, sickness, illness or injury); (C) fraud or embezzlement determined in accordance with the Company's normal, internal investigative procedures consistently applied in comparable circumstances;</w:t>
      </w:r>
    </w:p>
    <w:p>
      <w:pPr>
        <w:spacing w:after="0" w:line="4" w:lineRule="exact"/>
        <w:rPr>
          <w:rFonts w:ascii="Courier New" w:cs="Courier New" w:eastAsia="Courier New" w:hAnsi="Courier New"/>
          <w:sz w:val="14"/>
          <w:szCs w:val="14"/>
          <w:color w:val="auto"/>
        </w:rPr>
      </w:pPr>
    </w:p>
    <w:p>
      <w:pPr>
        <w:ind w:left="1590" w:right="3259" w:hanging="3"/>
        <w:spacing w:after="0" w:line="259" w:lineRule="auto"/>
        <w:tabs>
          <w:tab w:leader="none" w:pos="1942" w:val="left"/>
        </w:tabs>
        <w:numPr>
          <w:ilvl w:val="2"/>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misconduct or gross negligence in connection with the business of the Company or an affiliate which has substantial effect on the Company or the affiliate; or (E) breach of any of the covenants set forth in Section 8 hereof.</w:t>
      </w:r>
    </w:p>
    <w:p>
      <w:pPr>
        <w:spacing w:after="0" w:line="162" w:lineRule="exact"/>
        <w:rPr>
          <w:rFonts w:ascii="Courier New" w:cs="Courier New" w:eastAsia="Courier New" w:hAnsi="Courier New"/>
          <w:sz w:val="14"/>
          <w:szCs w:val="14"/>
          <w:color w:val="auto"/>
        </w:rPr>
      </w:pPr>
    </w:p>
    <w:p>
      <w:pPr>
        <w:ind w:left="1590" w:right="3359" w:hanging="796"/>
        <w:spacing w:after="0" w:line="257" w:lineRule="auto"/>
        <w:tabs>
          <w:tab w:leader="none" w:pos="159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will be considered to have been terminated for Cause if the Company determines that the individual engaged in an act constituting Cause at any time prior to a payment date for an award, regardless of whether the individual terminates employment voluntarily or is terminated involuntarily, and regardless of whether the individual's termination initially was considered to have been for Cause.</w:t>
      </w:r>
    </w:p>
    <w:p>
      <w:pPr>
        <w:spacing w:after="0" w:line="167" w:lineRule="exact"/>
        <w:rPr>
          <w:rFonts w:ascii="Courier New" w:cs="Courier New" w:eastAsia="Courier New" w:hAnsi="Courier New"/>
          <w:sz w:val="14"/>
          <w:szCs w:val="14"/>
          <w:color w:val="auto"/>
        </w:rPr>
      </w:pPr>
    </w:p>
    <w:p>
      <w:pPr>
        <w:ind w:left="1590" w:right="3259" w:hanging="796"/>
        <w:spacing w:after="0" w:line="238" w:lineRule="auto"/>
        <w:tabs>
          <w:tab w:leader="none" w:pos="159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determination of Cause under this Agreement shall be made by resolution of the Company's Board of Directors adopted by the affirmative vote of not less than a majority of the entire membership of the Board of Directors at a meeting called and held for that purpose and at which Executive is given an opportunity to be heard.</w:t>
      </w:r>
    </w:p>
    <w:p>
      <w:pPr>
        <w:spacing w:after="0" w:line="175"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Executive may terminate employment hereunder at any time after providing ninety (90) days' written notice to the Company, or for good reason as described in Section 7 of this Agreement.</w:t>
      </w:r>
    </w:p>
    <w:p>
      <w:pPr>
        <w:spacing w:after="0" w:line="176" w:lineRule="exact"/>
        <w:rPr>
          <w:rFonts w:ascii="Courier New" w:cs="Courier New" w:eastAsia="Courier New" w:hAnsi="Courier New"/>
          <w:sz w:val="15"/>
          <w:szCs w:val="15"/>
          <w:color w:val="auto"/>
        </w:rPr>
      </w:pPr>
    </w:p>
    <w:p>
      <w:pPr>
        <w:ind w:left="790" w:right="3539" w:hanging="790"/>
        <w:spacing w:after="0" w:line="237" w:lineRule="auto"/>
        <w:tabs>
          <w:tab w:leader="none" w:pos="79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The Company may terminate Executive's employment hereunder without Cause at any time after providing written notice to Executive.</w:t>
      </w:r>
    </w:p>
    <w:p>
      <w:pPr>
        <w:spacing w:after="0" w:line="169" w:lineRule="exact"/>
        <w:rPr>
          <w:sz w:val="20"/>
          <w:szCs w:val="20"/>
          <w:color w:val="auto"/>
        </w:rPr>
      </w:pPr>
    </w:p>
    <w:p>
      <w:pPr>
        <w:ind w:left="350" w:hanging="350"/>
        <w:spacing w:after="0"/>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FOLLOWING TERMINATION OF EMPLOYMENT.</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In the event that Executive's employment hereunder is terminated, Executive shall be entitled to the following compensation and benefits upon such termination:</w:t>
      </w:r>
    </w:p>
    <w:p>
      <w:pPr>
        <w:spacing w:after="0" w:line="175" w:lineRule="exact"/>
        <w:rPr>
          <w:sz w:val="20"/>
          <w:szCs w:val="20"/>
          <w:color w:val="auto"/>
        </w:rPr>
      </w:pPr>
    </w:p>
    <w:p>
      <w:pPr>
        <w:ind w:left="790" w:right="3359" w:hanging="790"/>
        <w:spacing w:after="0" w:line="260" w:lineRule="auto"/>
        <w:tabs>
          <w:tab w:leader="none" w:pos="79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REASON OF DEATH. In the event that Executive's employment is terminated by reason of Executive's death, the Company shall pay the following amounts to Executive's beneficiary or estate:</w:t>
      </w:r>
    </w:p>
    <w:p>
      <w:pPr>
        <w:spacing w:after="0" w:line="162" w:lineRule="exact"/>
        <w:rPr>
          <w:rFonts w:ascii="Courier New" w:cs="Courier New" w:eastAsia="Courier New" w:hAnsi="Courier New"/>
          <w:sz w:val="14"/>
          <w:szCs w:val="14"/>
          <w:color w:val="auto"/>
        </w:rPr>
      </w:pPr>
    </w:p>
    <w:p>
      <w:pPr>
        <w:ind w:left="1590" w:right="3359" w:hanging="796"/>
        <w:spacing w:after="0" w:line="238" w:lineRule="auto"/>
        <w:tabs>
          <w:tab w:leader="none" w:pos="159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death, any accrued but unpaid expenses required to be reimbursed under this Agreement; a pro-rata "bonus" or incentive compensation payment to the extent payments are awarded similarly situated executives and paid at the same time as similarly situated executives are paid; and any vacation accrued to the date of death.</w:t>
      </w:r>
    </w:p>
    <w:p>
      <w:pPr>
        <w:spacing w:after="0" w:line="340"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3 of 14</w:t>
      </w:r>
    </w:p>
    <w:p>
      <w:pPr>
        <w:sectPr>
          <w:pgSz w:w="11900" w:h="16838" w:orient="portrait"/>
          <w:cols w:equalWidth="0" w:num="1">
            <w:col w:w="10229"/>
          </w:cols>
          <w:pgMar w:left="230" w:top="283" w:right="1440" w:bottom="1440" w:gutter="0" w:footer="0" w:header="0"/>
        </w:sectPr>
      </w:pPr>
    </w:p>
    <w:bookmarkStart w:id="148" w:name="page149"/>
    <w:bookmarkEnd w:id="148"/>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1590" w:right="3439" w:hanging="796"/>
        <w:spacing w:after="0" w:line="237" w:lineRule="auto"/>
        <w:tabs>
          <w:tab w:leader="none" w:pos="159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benefits to which Executive may be entitled pursuant to the plans, policies and arrangements referred to in Section 4(c) hereof, as determined and paid in accordance with the terms of such plans, policies and arrangements.</w:t>
      </w:r>
    </w:p>
    <w:p>
      <w:pPr>
        <w:spacing w:after="0" w:line="176" w:lineRule="exact"/>
        <w:rPr>
          <w:rFonts w:ascii="Courier New" w:cs="Courier New" w:eastAsia="Courier New" w:hAnsi="Courier New"/>
          <w:sz w:val="15"/>
          <w:szCs w:val="15"/>
          <w:color w:val="auto"/>
        </w:rPr>
      </w:pPr>
    </w:p>
    <w:p>
      <w:pPr>
        <w:ind w:left="1590" w:right="3259" w:hanging="796"/>
        <w:spacing w:after="0" w:line="256" w:lineRule="auto"/>
        <w:tabs>
          <w:tab w:leader="none" w:pos="159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Base Salary (at the rate in effect as of the date of Executive's death) which would have been payable to Executive if Executive had continued in employment until the end of the current Employment Term. Such amount shall be paid in a single lump sum cash payment within thirty</w:t>
      </w:r>
    </w:p>
    <w:p>
      <w:pPr>
        <w:ind w:left="2030" w:hanging="443"/>
        <w:spacing w:after="0"/>
        <w:tabs>
          <w:tab w:leader="none" w:pos="203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Executive's death.</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[(iv)</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As of the date of termination by reason of Executive's death, stock options awarded to Executive shall be fully vested and Executive's estate or beneficiary shall have up to one (1) year from the date of death to exercise all such options.]</w:t>
      </w:r>
    </w:p>
    <w:p>
      <w:pPr>
        <w:spacing w:after="0" w:line="163" w:lineRule="exact"/>
        <w:rPr>
          <w:sz w:val="20"/>
          <w:szCs w:val="20"/>
          <w:color w:val="auto"/>
        </w:rPr>
      </w:pPr>
    </w:p>
    <w:p>
      <w:pPr>
        <w:sectPr>
          <w:pgSz w:w="11900" w:h="16838" w:orient="portrait"/>
          <w:cols w:equalWidth="0" w:num="2">
            <w:col w:w="1230" w:space="360"/>
            <w:col w:w="8639"/>
          </w:cols>
          <w:pgMar w:left="230" w:top="283" w:right="1440" w:bottom="1440" w:gutter="0" w:footer="0" w:header="0"/>
          <w:type w:val="continuous"/>
        </w:sectPr>
      </w:pPr>
    </w:p>
    <w:p>
      <w:pPr>
        <w:ind w:left="790" w:right="3359" w:hanging="790"/>
        <w:spacing w:after="0" w:line="237" w:lineRule="auto"/>
        <w:tabs>
          <w:tab w:leader="none" w:pos="79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176" w:lineRule="exact"/>
        <w:rPr>
          <w:rFonts w:ascii="Courier New" w:cs="Courier New" w:eastAsia="Courier New" w:hAnsi="Courier New"/>
          <w:sz w:val="15"/>
          <w:szCs w:val="15"/>
          <w:color w:val="auto"/>
        </w:rPr>
      </w:pPr>
    </w:p>
    <w:p>
      <w:pPr>
        <w:ind w:left="1590" w:right="3359" w:hanging="796"/>
        <w:spacing w:after="0" w:line="238" w:lineRule="auto"/>
        <w:tabs>
          <w:tab w:leader="none" w:pos="159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 Executive shall also be eligible for a pro-rata bonus or incentive compensation payment to the extent such awards are made to similarly situated executives for the year in which Executive is terminated.</w:t>
      </w:r>
    </w:p>
    <w:p>
      <w:pPr>
        <w:spacing w:after="0" w:line="177" w:lineRule="exact"/>
        <w:rPr>
          <w:rFonts w:ascii="Courier New" w:cs="Courier New" w:eastAsia="Courier New" w:hAnsi="Courier New"/>
          <w:sz w:val="15"/>
          <w:szCs w:val="15"/>
          <w:color w:val="auto"/>
        </w:rPr>
      </w:pPr>
    </w:p>
    <w:p>
      <w:pPr>
        <w:jc w:val="both"/>
        <w:ind w:left="1590" w:right="3439" w:hanging="796"/>
        <w:spacing w:after="0" w:line="259" w:lineRule="auto"/>
        <w:tabs>
          <w:tab w:leader="none" w:pos="159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590" w:right="3359" w:hanging="796"/>
        <w:spacing w:after="0" w:line="257" w:lineRule="auto"/>
        <w:tabs>
          <w:tab w:leader="none" w:pos="159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Base Salary (at the rate in effect as of the date of Executive's Total Disability) which would have been payable to Executive if Executive had continued in active employment until the end of the current Employment Term. Payment shall be made at the same time and in the same manner as such compensation would have been paid if Executive had remained in active employment until the end of such period.</w:t>
      </w:r>
    </w:p>
    <w:p>
      <w:pPr>
        <w:spacing w:after="0" w:line="162"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[(iv)</w:t>
            </w: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As of the date of</w:t>
            </w:r>
          </w:p>
        </w:tc>
        <w:tc>
          <w:tcPr>
            <w:tcW w:w="38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termination by reason of Executive's total</w:t>
            </w:r>
          </w:p>
        </w:tc>
      </w:tr>
      <w:tr>
        <w:trPr>
          <w:trHeight w:val="170"/>
        </w:trPr>
        <w:tc>
          <w:tcPr>
            <w:tcW w:w="620" w:type="dxa"/>
            <w:vAlign w:val="bottom"/>
          </w:tcPr>
          <w:p>
            <w:pPr>
              <w:spacing w:after="0"/>
              <w:rPr>
                <w:sz w:val="14"/>
                <w:szCs w:val="14"/>
                <w:color w:val="auto"/>
              </w:rPr>
            </w:pPr>
          </w:p>
        </w:tc>
        <w:tc>
          <w:tcPr>
            <w:tcW w:w="260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disability, Executive shall</w:t>
            </w:r>
          </w:p>
        </w:tc>
        <w:tc>
          <w:tcPr>
            <w:tcW w:w="2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be fully vested in all stock</w:t>
            </w:r>
          </w:p>
        </w:tc>
      </w:tr>
      <w:tr>
        <w:trPr>
          <w:trHeight w:val="170"/>
        </w:trPr>
        <w:tc>
          <w:tcPr>
            <w:tcW w:w="62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option awards</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shall have</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up</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to one (1) year</w:t>
            </w:r>
          </w:p>
        </w:tc>
      </w:tr>
      <w:tr>
        <w:trPr>
          <w:trHeight w:val="170"/>
        </w:trPr>
        <w:tc>
          <w:tcPr>
            <w:tcW w:w="62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5"/>
                <w:szCs w:val="15"/>
                <w:color w:val="auto"/>
                <w:w w:val="99"/>
              </w:rPr>
              <w:t>from the date</w:t>
            </w:r>
          </w:p>
        </w:tc>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of termination by reason</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w w:val="97"/>
              </w:rPr>
              <w:t>total disability to</w:t>
            </w:r>
          </w:p>
        </w:tc>
      </w:tr>
      <w:tr>
        <w:trPr>
          <w:trHeight w:val="170"/>
        </w:trPr>
        <w:tc>
          <w:tcPr>
            <w:tcW w:w="62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exercise all such</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75" w:lineRule="exact"/>
        <w:rPr>
          <w:sz w:val="20"/>
          <w:szCs w:val="20"/>
          <w:color w:val="auto"/>
        </w:rPr>
      </w:pPr>
    </w:p>
    <w:p>
      <w:pPr>
        <w:ind w:left="790" w:right="3619" w:hanging="790"/>
        <w:spacing w:after="0" w:line="237" w:lineRule="auto"/>
        <w:tabs>
          <w:tab w:leader="none" w:pos="79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In the event that Executive's employment is terminated by the Company for Cause pursuant to Section 5(c),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340"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4 of 14</w:t>
      </w:r>
    </w:p>
    <w:p>
      <w:pPr>
        <w:sectPr>
          <w:pgSz w:w="11900" w:h="16838" w:orient="portrait"/>
          <w:cols w:equalWidth="0" w:num="1">
            <w:col w:w="10229"/>
          </w:cols>
          <w:pgMar w:left="230" w:top="283" w:right="1440" w:bottom="1440" w:gutter="0" w:footer="0" w:header="0"/>
          <w:type w:val="continuous"/>
        </w:sectPr>
      </w:pPr>
    </w:p>
    <w:bookmarkStart w:id="149" w:name="page150"/>
    <w:bookmarkEnd w:id="149"/>
    <w:p>
      <w:pPr>
        <w:ind w:left="27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jc w:val="both"/>
        <w:ind w:left="1590" w:right="3439" w:hanging="796"/>
        <w:spacing w:after="0" w:line="259" w:lineRule="auto"/>
        <w:tabs>
          <w:tab w:leader="none" w:pos="159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790" w:right="3439" w:hanging="790"/>
        <w:spacing w:after="0" w:line="237" w:lineRule="auto"/>
        <w:tabs>
          <w:tab w:leader="none" w:pos="79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BY EXECUTIVE. In the event that Executive terminates employment pursuant to Section 5(d), and other than for a resignation tendered pursuant to Section 7 of this Agreement, the Company shall pay the following amounts to Executive:</w:t>
      </w:r>
    </w:p>
    <w:p>
      <w:pPr>
        <w:spacing w:after="0" w:line="176"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sz w:val="20"/>
          <w:szCs w:val="20"/>
          <w:color w:val="auto"/>
        </w:rPr>
      </w:pPr>
    </w:p>
    <w:p>
      <w:pPr>
        <w:jc w:val="both"/>
        <w:ind w:left="1590" w:right="3439" w:hanging="796"/>
        <w:spacing w:after="0" w:line="259" w:lineRule="auto"/>
        <w:tabs>
          <w:tab w:leader="none" w:pos="159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790" w:right="3359" w:hanging="790"/>
        <w:spacing w:after="0" w:line="237" w:lineRule="auto"/>
        <w:tabs>
          <w:tab w:leader="none" w:pos="79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WITHOUT CAUSE. In the event that Executive's employment is terminated by the Company pursuant to Section 5(e) for reasons other than death, Total Disability or Cause, the Company shall pay the following amounts to Executive:</w:t>
      </w:r>
    </w:p>
    <w:p>
      <w:pPr>
        <w:spacing w:after="0" w:line="176"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sz w:val="20"/>
          <w:szCs w:val="20"/>
          <w:color w:val="auto"/>
        </w:rPr>
      </w:pPr>
    </w:p>
    <w:p>
      <w:pPr>
        <w:jc w:val="both"/>
        <w:ind w:left="1590" w:right="3439" w:hanging="796"/>
        <w:spacing w:after="0" w:line="259" w:lineRule="auto"/>
        <w:tabs>
          <w:tab w:leader="none" w:pos="159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590" w:right="3259" w:hanging="796"/>
        <w:spacing w:after="0" w:line="238" w:lineRule="auto"/>
        <w:tabs>
          <w:tab w:leader="none" w:pos="15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annual amount equal to 75 percent (75%) of the average of Executive's "Total Annual Direct Compensation" for the two highest of the three most recent calendar years prior to Executive's termination. Such annual amount shall be paid during the five (5) year period beginning on the date of Executive's termination and shall be paid at the same time and in the same manner as Base Salary would have been paid if Executive had remained in active employment until the end of such period. For purposes of this Agreement, the term "Total Annual Direct Compensation" means the total of the Base Salary and other cash compensation payable to Executive attributable to a calendar year (A) including any cash compensation which would have been payable for such year but for Executive's election to defer payment of such compensation and (B) excluding any amounts recognized as compensation as a result of Executive's exercise of a stock option or receipt of a stock award.</w:t>
      </w:r>
    </w:p>
    <w:p>
      <w:pPr>
        <w:spacing w:after="0" w:line="186"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completely at its expense will continue for Executive and Executive's spouse and dependents, all health benefit plans, programs or arrangements, whether group or individual, in which Executive was entitled to participate at any time during the twelve-month period prior to the date of termination, until the earliest to occur of (A) [five] [three] years after the date of termination; (B) Executive's death (provided</w:t>
      </w:r>
    </w:p>
    <w:p>
      <w:pPr>
        <w:spacing w:after="0" w:line="341"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5 of 14</w:t>
      </w:r>
    </w:p>
    <w:p>
      <w:pPr>
        <w:sectPr>
          <w:pgSz w:w="11900" w:h="16838" w:orient="portrait"/>
          <w:cols w:equalWidth="0" w:num="1">
            <w:col w:w="10229"/>
          </w:cols>
          <w:pgMar w:left="230" w:top="283" w:right="1440" w:bottom="1440" w:gutter="0" w:footer="0" w:header="0"/>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left="1590" w:right="3259"/>
        <w:spacing w:after="0" w:line="257" w:lineRule="auto"/>
        <w:rPr>
          <w:sz w:val="20"/>
          <w:szCs w:val="20"/>
          <w:color w:val="auto"/>
        </w:rPr>
      </w:pPr>
      <w:r>
        <w:rPr>
          <w:rFonts w:ascii="Courier New" w:cs="Courier New" w:eastAsia="Courier New" w:hAnsi="Courier New"/>
          <w:sz w:val="14"/>
          <w:szCs w:val="14"/>
          <w:color w:val="auto"/>
        </w:rPr>
        <w:t>that benefits payable to Executive's beneficiaries shall not terminate upon Executive's death); or (C) with respect to any particular plan, program or arrangement, the date Executive becomes covered by a comparable benefit by a subsequent employer. In the event that Executive's continued participation in any such plan, program, or arrangement of the Company is prohibited, the Company will arrange to provide Executive with benefits substantially similar to those which Executive would have been entitled to receive under such plan, program, or arrangement, for such period.</w:t>
      </w:r>
    </w:p>
    <w:p>
      <w:pPr>
        <w:spacing w:after="0" w:line="166" w:lineRule="exact"/>
        <w:rPr>
          <w:sz w:val="20"/>
          <w:szCs w:val="20"/>
          <w:color w:val="auto"/>
        </w:rPr>
      </w:pPr>
    </w:p>
    <w:p>
      <w:pPr>
        <w:ind w:left="1590" w:right="3259" w:hanging="796"/>
        <w:spacing w:after="0" w:line="238" w:lineRule="auto"/>
        <w:tabs>
          <w:tab w:leader="none" w:pos="159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prohibited by law, Executive will be 100% vested in all benefits, awards, and grants accrued but unpaid as of the date of termination under any pension plan, profit sharing plan, supplemental and/or incentive compensation plans, and stock option plans in which Executive was a participant as of the date of termination. [Executive shall have one (1) year from the date of termination to exercise stock options.] [Executive shall be able to exercise stock options for the life of the award.] Executive shall also be eligible for a bonus or incentive compensation payment, to the extent payments are made to similarly situated executives, pro-rated for the year in which the Executive is terminated.</w:t>
      </w:r>
    </w:p>
    <w:p>
      <w:pPr>
        <w:spacing w:after="0" w:line="182" w:lineRule="exact"/>
        <w:rPr>
          <w:rFonts w:ascii="Courier New" w:cs="Courier New" w:eastAsia="Courier New" w:hAnsi="Courier New"/>
          <w:sz w:val="15"/>
          <w:szCs w:val="15"/>
          <w:color w:val="auto"/>
        </w:rPr>
      </w:pPr>
    </w:p>
    <w:p>
      <w:pPr>
        <w:ind w:left="790" w:right="3259" w:hanging="790"/>
        <w:spacing w:after="0" w:line="238" w:lineRule="auto"/>
        <w:tabs>
          <w:tab w:leader="none" w:pos="79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176" w:lineRule="exact"/>
        <w:rPr>
          <w:rFonts w:ascii="Courier New" w:cs="Courier New" w:eastAsia="Courier New" w:hAnsi="Courier New"/>
          <w:sz w:val="15"/>
          <w:szCs w:val="15"/>
          <w:color w:val="auto"/>
        </w:rPr>
      </w:pPr>
    </w:p>
    <w:p>
      <w:pPr>
        <w:ind w:left="790" w:right="3359" w:hanging="790"/>
        <w:spacing w:after="0" w:line="237" w:lineRule="auto"/>
        <w:tabs>
          <w:tab w:leader="none" w:pos="79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SUSPENSION OR TERMINATION OF BENEFITS AND COMPENSATION. In the event that the Company, in its sole discretion determines that, without the Company's express written consent, Executive has</w:t>
      </w:r>
    </w:p>
    <w:p>
      <w:pPr>
        <w:spacing w:after="0" w:line="174"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engaged in, assisted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is directly or indirectly competitive with the Company or any of its affiliates, or</w:t>
      </w:r>
    </w:p>
    <w:p>
      <w:pPr>
        <w:spacing w:after="0" w:line="178" w:lineRule="exact"/>
        <w:rPr>
          <w:sz w:val="20"/>
          <w:szCs w:val="20"/>
          <w:color w:val="auto"/>
        </w:rPr>
      </w:pPr>
    </w:p>
    <w:p>
      <w:pPr>
        <w:ind w:left="1590" w:right="3259" w:hanging="796"/>
        <w:spacing w:after="0" w:line="238" w:lineRule="auto"/>
        <w:tabs>
          <w:tab w:leader="none" w:pos="159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or indirectly, for or on behalf of any person, firm, or business entity which is directly or indirectly competitive with the Company or any of its affiliates (A) solicited or accepted from any person or entity who is or was a client of the Company during the term of Executive's employment hereunder or during any of the twelve calendar months preceding or following the termination of Executive's employment any business for services similar to those rendered by the Company, (B) requested or advised any present or future customer of the Company to withdraw, curtail or cancel its business dealings with the Company, or (C) requested or advised any employee of the Company to terminate his or her employment with the Company;</w:t>
      </w:r>
    </w:p>
    <w:p>
      <w:pPr>
        <w:spacing w:after="0" w:line="347"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6 of 14</w:t>
      </w:r>
    </w:p>
    <w:p>
      <w:pPr>
        <w:sectPr>
          <w:pgSz w:w="11900" w:h="16838" w:orient="portrait"/>
          <w:cols w:equalWidth="0" w:num="1">
            <w:col w:w="10229"/>
          </w:cols>
          <w:pgMar w:left="230" w:top="283" w:right="1440" w:bottom="1440" w:gutter="0" w:footer="0" w:header="0"/>
        </w:sectPr>
      </w:pPr>
    </w:p>
    <w:bookmarkStart w:id="151" w:name="page152"/>
    <w:bookmarkEnd w:id="151"/>
    <w:p>
      <w:pPr>
        <w:ind w:left="27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790" w:right="3259"/>
        <w:spacing w:after="0" w:line="237" w:lineRule="auto"/>
        <w:rPr>
          <w:sz w:val="20"/>
          <w:szCs w:val="20"/>
          <w:color w:val="auto"/>
        </w:rPr>
      </w:pPr>
      <w:r>
        <w:rPr>
          <w:rFonts w:ascii="Courier New" w:cs="Courier New" w:eastAsia="Courier New" w:hAnsi="Courier New"/>
          <w:sz w:val="15"/>
          <w:szCs w:val="15"/>
          <w:color w:val="auto"/>
        </w:rPr>
        <w:t>the Company shall have the right to suspend or terminate any or all remaining benefits payable pursuant to Section 6 of this Agreement. Such suspension or termination of benefits shall be in addition to and shall not limit any and all other rights and remedies that the Company may have against Executive.</w:t>
      </w:r>
    </w:p>
    <w:p>
      <w:pPr>
        <w:spacing w:after="0" w:line="178" w:lineRule="exact"/>
        <w:rPr>
          <w:sz w:val="20"/>
          <w:szCs w:val="20"/>
          <w:color w:val="auto"/>
        </w:rPr>
      </w:pPr>
    </w:p>
    <w:p>
      <w:pPr>
        <w:ind w:left="10" w:right="3359" w:hanging="10"/>
        <w:spacing w:after="0" w:line="235" w:lineRule="auto"/>
        <w:tabs>
          <w:tab w:leader="none" w:pos="27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BY EXECUTIVE FOR GOOD REASON AND COMPENSATION PAYABLE FOLLOWING CHANGE IN CONTROL.</w:t>
      </w:r>
    </w:p>
    <w:p>
      <w:pPr>
        <w:spacing w:after="0" w:line="176" w:lineRule="exact"/>
        <w:rPr>
          <w:sz w:val="20"/>
          <w:szCs w:val="20"/>
          <w:color w:val="auto"/>
        </w:rPr>
      </w:pPr>
    </w:p>
    <w:p>
      <w:pPr>
        <w:ind w:left="790" w:right="3259" w:hanging="790"/>
        <w:spacing w:after="0" w:line="238" w:lineRule="auto"/>
        <w:tabs>
          <w:tab w:leader="none" w:pos="79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FOR GOOD REASON FOLLOWING CHANGE IN CONTROL. In the event a "Change in Control" occurs, Executive will be paid the compensation described in this Section 7 if Executive resigns or is terminated from employment with the Company at any time prior to the six (6) month anniversary of the date of the Change in Control following the occurrence of any of the following events:</w:t>
      </w:r>
    </w:p>
    <w:p>
      <w:pPr>
        <w:spacing w:after="0" w:line="175"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Executive's express written consent, the assignment to Executive of any duties inconsistent with Executive's positions, duties, responsibilities and status with the Company immediately before a Change in Control, or a change in Executive's reporting, responsibilities, titles or offices as in effect immediately before a Change in Control, or any removal of Executive from, or any failure to re-elect Executive to, any of such positions, except in connection with the termination of Executive's employment as a result of death, or by the Company for Disability or Cause, or by Executive other than for the reasons described in this Section 7(a);</w:t>
      </w:r>
    </w:p>
    <w:p>
      <w:pPr>
        <w:spacing w:after="0" w:line="181" w:lineRule="exact"/>
        <w:rPr>
          <w:rFonts w:ascii="Courier New" w:cs="Courier New" w:eastAsia="Courier New" w:hAnsi="Courier New"/>
          <w:sz w:val="15"/>
          <w:szCs w:val="15"/>
          <w:color w:val="auto"/>
        </w:rPr>
      </w:pPr>
    </w:p>
    <w:p>
      <w:pPr>
        <w:ind w:left="1590" w:right="3439" w:hanging="796"/>
        <w:spacing w:after="0" w:line="237" w:lineRule="auto"/>
        <w:tabs>
          <w:tab w:leader="none" w:pos="159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the Company in Executive's Base Salary as in effect immediately before a Change in Control plus all increases therein subsequent thereto;</w:t>
      </w:r>
    </w:p>
    <w:p>
      <w:pPr>
        <w:spacing w:after="0" w:line="174"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Company substantially to maintain and to continue Executive's participation in the Company's benefit plans as in effect immediately before a Change in Control and with all improvements therein subsequent thereto (other than those plans or improvements that have expired thereafter in accordance with their original terms), or the taking of any action which would materially reduce Executive's benefits under any of such plans or deprive Executive of any material fringe benefit enjoyed by Executive immediately before a Change in Control, unless such reduction or termination is required by law;</w:t>
      </w:r>
    </w:p>
    <w:p>
      <w:pPr>
        <w:sectPr>
          <w:pgSz w:w="11900" w:h="16838" w:orient="portrait"/>
          <w:cols w:equalWidth="0" w:num="1">
            <w:col w:w="10229"/>
          </w:cols>
          <w:pgMar w:left="230" w:top="283" w:right="1440" w:bottom="1440" w:gutter="0" w:footer="0" w:header="0"/>
        </w:sectPr>
      </w:pPr>
    </w:p>
    <w:p>
      <w:pPr>
        <w:spacing w:after="0" w:line="181"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[(iv)</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the failure of the Company to pay Executive with an appropriate adjustment to compensation, such as a lump sum</w:t>
      </w:r>
    </w:p>
    <w:p>
      <w:pPr>
        <w:spacing w:after="0" w:line="1" w:lineRule="exact"/>
        <w:rPr>
          <w:sz w:val="20"/>
          <w:szCs w:val="20"/>
          <w:color w:val="auto"/>
        </w:rPr>
      </w:pPr>
    </w:p>
    <w:p>
      <w:pPr>
        <w:sectPr>
          <w:pgSz w:w="11900" w:h="16838" w:orient="portrait"/>
          <w:cols w:equalWidth="0" w:num="2">
            <w:col w:w="1230" w:space="360"/>
            <w:col w:w="8639"/>
          </w:cols>
          <w:pgMar w:left="230" w:top="283" w:right="1440" w:bottom="1440" w:gutter="0" w:footer="0" w:header="0"/>
          <w:type w:val="continuous"/>
        </w:sectPr>
      </w:pPr>
    </w:p>
    <w:p>
      <w:pPr>
        <w:ind w:left="1590" w:right="3259"/>
        <w:spacing w:after="0" w:line="238" w:lineRule="auto"/>
        <w:rPr>
          <w:sz w:val="20"/>
          <w:szCs w:val="20"/>
          <w:color w:val="auto"/>
        </w:rPr>
      </w:pPr>
      <w:r>
        <w:rPr>
          <w:rFonts w:ascii="Courier New" w:cs="Courier New" w:eastAsia="Courier New" w:hAnsi="Courier New"/>
          <w:sz w:val="15"/>
          <w:szCs w:val="15"/>
          <w:color w:val="auto"/>
        </w:rPr>
        <w:t>relocation bonus, salary adjustment and/or housing allowance so that Executive can purchase comparable primary housing if required to relocate (it being the intention of this Section 7[a][iv] to keep the Executive "whole" if required to relocate). In this regard, comparable housing shall be determined by comparing factors such as location (taking into account, by way of example, items such as the value of the surrounding neighborhood, reputation of the public school district, if applicable, security and proximity to Executive's place of work), quality of construction, design, age, size of the housing and the ratio of the monthly payments including principle, interest, taxes and insurance, to the</w:t>
      </w:r>
    </w:p>
    <w:p>
      <w:pPr>
        <w:spacing w:after="0" w:line="347"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7 of 14</w:t>
      </w:r>
    </w:p>
    <w:p>
      <w:pPr>
        <w:sectPr>
          <w:pgSz w:w="11900" w:h="16838" w:orient="portrait"/>
          <w:cols w:equalWidth="0" w:num="1">
            <w:col w:w="10229"/>
          </w:cols>
          <w:pgMar w:left="230" w:top="283" w:right="1440" w:bottom="1440" w:gutter="0" w:footer="0" w:header="0"/>
          <w:type w:val="continuous"/>
        </w:sectPr>
      </w:pPr>
    </w:p>
    <w:bookmarkStart w:id="152" w:name="page153"/>
    <w:bookmarkEnd w:id="152"/>
    <w:p>
      <w:pPr>
        <w:ind w:left="27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1590" w:right="3259"/>
        <w:spacing w:after="0" w:line="237" w:lineRule="auto"/>
        <w:rPr>
          <w:sz w:val="20"/>
          <w:szCs w:val="20"/>
          <w:color w:val="auto"/>
        </w:rPr>
      </w:pPr>
      <w:r>
        <w:rPr>
          <w:rFonts w:ascii="Courier New" w:cs="Courier New" w:eastAsia="Courier New" w:hAnsi="Courier New"/>
          <w:sz w:val="15"/>
          <w:szCs w:val="15"/>
          <w:color w:val="auto"/>
        </w:rPr>
        <w:t>Executive's take-home-pay, to housing most recently owned by Executive prior to, or as of the effective date of the change of control;]</w:t>
      </w:r>
    </w:p>
    <w:p>
      <w:pPr>
        <w:sectPr>
          <w:pgSz w:w="11900" w:h="16838" w:orient="portrait"/>
          <w:cols w:equalWidth="0" w:num="1">
            <w:col w:w="10229"/>
          </w:cols>
          <w:pgMar w:left="230" w:top="283" w:right="1440" w:bottom="1440" w:gutter="0" w:footer="0" w:header="0"/>
        </w:sectPr>
      </w:pPr>
    </w:p>
    <w:p>
      <w:pPr>
        <w:spacing w:after="0" w:line="17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[(iv)</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change of Executive's principal place of employment to a location more than fifty (50) miles from such principal place of employment, except for required travel on the Company's business to an extent substantially consistent with Executive's business travel obligations immediately before a Change in Control;]</w:t>
      </w:r>
    </w:p>
    <w:p>
      <w:pPr>
        <w:spacing w:after="0" w:line="176" w:lineRule="exact"/>
        <w:rPr>
          <w:sz w:val="20"/>
          <w:szCs w:val="20"/>
          <w:color w:val="auto"/>
        </w:rPr>
      </w:pPr>
    </w:p>
    <w:p>
      <w:pPr>
        <w:sectPr>
          <w:pgSz w:w="11900" w:h="16838" w:orient="portrait"/>
          <w:cols w:equalWidth="0" w:num="2">
            <w:col w:w="1230" w:space="360"/>
            <w:col w:w="8639"/>
          </w:cols>
          <w:pgMar w:left="230" w:top="283" w:right="1440" w:bottom="1440" w:gutter="0" w:footer="0" w:header="0"/>
          <w:type w:val="continuous"/>
        </w:sectPr>
      </w:pPr>
    </w:p>
    <w:p>
      <w:pPr>
        <w:ind w:left="1590" w:right="3359" w:hanging="796"/>
        <w:spacing w:after="0" w:line="237" w:lineRule="auto"/>
        <w:tabs>
          <w:tab w:leader="none" w:pos="159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pay Executive any portion of Executive's current compensation, or any portion of Executive's compensation deferred under any plan, agreement or arrangement of or with the Company, within seven (7) days of the date such compensation is due; or</w:t>
      </w:r>
    </w:p>
    <w:p>
      <w:pPr>
        <w:spacing w:after="0" w:line="178" w:lineRule="exact"/>
        <w:rPr>
          <w:rFonts w:ascii="Courier New" w:cs="Courier New" w:eastAsia="Courier New" w:hAnsi="Courier New"/>
          <w:sz w:val="15"/>
          <w:szCs w:val="15"/>
          <w:color w:val="auto"/>
        </w:rPr>
      </w:pPr>
    </w:p>
    <w:p>
      <w:pPr>
        <w:ind w:left="1590" w:right="3539" w:hanging="796"/>
        <w:spacing w:after="0" w:line="237" w:lineRule="auto"/>
        <w:tabs>
          <w:tab w:leader="none" w:pos="159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obtain an assumption of, and agreement to perform the obligations of the Company under this Agreement by any successor to the Company.</w:t>
      </w:r>
    </w:p>
    <w:p>
      <w:pPr>
        <w:spacing w:after="0" w:line="174" w:lineRule="exact"/>
        <w:rPr>
          <w:rFonts w:ascii="Courier New" w:cs="Courier New" w:eastAsia="Courier New" w:hAnsi="Courier New"/>
          <w:sz w:val="15"/>
          <w:szCs w:val="15"/>
          <w:color w:val="auto"/>
        </w:rPr>
      </w:pPr>
    </w:p>
    <w:p>
      <w:pPr>
        <w:ind w:left="790" w:right="3979" w:hanging="790"/>
        <w:spacing w:after="0" w:line="237" w:lineRule="auto"/>
        <w:tabs>
          <w:tab w:leader="none" w:pos="79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PAYABLE. In the event that Executive terminates employment pursuant to Section 7(a), the Company shall pay the following amounts to Executive:</w:t>
      </w:r>
    </w:p>
    <w:p>
      <w:pPr>
        <w:spacing w:after="0" w:line="174" w:lineRule="exact"/>
        <w:rPr>
          <w:rFonts w:ascii="Courier New" w:cs="Courier New" w:eastAsia="Courier New" w:hAnsi="Courier New"/>
          <w:sz w:val="15"/>
          <w:szCs w:val="15"/>
          <w:color w:val="auto"/>
        </w:rPr>
      </w:pPr>
    </w:p>
    <w:p>
      <w:pPr>
        <w:ind w:left="1590" w:right="3359" w:hanging="796"/>
        <w:spacing w:after="0" w:line="237" w:lineRule="auto"/>
        <w:tabs>
          <w:tab w:leader="none" w:pos="159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accrued but unpaid Base Salary for services rendered to the date of termination, any accrued but unpaid expenses required to be reimbursed under this Agreement, any vacation accrued to the date of termination.</w:t>
      </w:r>
    </w:p>
    <w:p>
      <w:pPr>
        <w:spacing w:after="0" w:line="176" w:lineRule="exact"/>
        <w:rPr>
          <w:rFonts w:ascii="Courier New" w:cs="Courier New" w:eastAsia="Courier New" w:hAnsi="Courier New"/>
          <w:sz w:val="15"/>
          <w:szCs w:val="15"/>
          <w:color w:val="auto"/>
        </w:rPr>
      </w:pPr>
    </w:p>
    <w:p>
      <w:pPr>
        <w:ind w:left="1590" w:right="3359" w:hanging="796"/>
        <w:spacing w:after="0" w:line="259" w:lineRule="auto"/>
        <w:tabs>
          <w:tab w:leader="none" w:pos="159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4(c) hereof, shall be determined and paid in accordance with the terms of such plans, policies and arrangements.</w:t>
      </w:r>
    </w:p>
    <w:p>
      <w:pPr>
        <w:spacing w:after="0" w:line="162" w:lineRule="exact"/>
        <w:rPr>
          <w:rFonts w:ascii="Courier New" w:cs="Courier New" w:eastAsia="Courier New" w:hAnsi="Courier New"/>
          <w:sz w:val="14"/>
          <w:szCs w:val="14"/>
          <w:color w:val="auto"/>
        </w:rPr>
      </w:pPr>
    </w:p>
    <w:p>
      <w:pPr>
        <w:ind w:left="1590" w:right="3359" w:hanging="796"/>
        <w:spacing w:after="0" w:line="256" w:lineRule="auto"/>
        <w:tabs>
          <w:tab w:leader="none" w:pos="159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$1.00 less than three (3) times Executive's "base amount" within the full meaning of Section 280G of the Internal Revenue Code. Such amount shall be paid to Executive in a single lump sum cash payment within five</w:t>
      </w:r>
    </w:p>
    <w:p>
      <w:pPr>
        <w:spacing w:after="0" w:line="1" w:lineRule="exact"/>
        <w:rPr>
          <w:rFonts w:ascii="Courier New" w:cs="Courier New" w:eastAsia="Courier New" w:hAnsi="Courier New"/>
          <w:sz w:val="14"/>
          <w:szCs w:val="14"/>
          <w:color w:val="auto"/>
        </w:rPr>
      </w:pPr>
    </w:p>
    <w:p>
      <w:pPr>
        <w:ind w:left="1590" w:right="3619" w:hanging="3"/>
        <w:spacing w:after="0" w:line="235" w:lineRule="auto"/>
        <w:tabs>
          <w:tab w:leader="none" w:pos="1942"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effective date of Executive's resignation.</w:t>
      </w:r>
    </w:p>
    <w:p>
      <w:pPr>
        <w:spacing w:after="0" w:line="175"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will be 100% vested in all benefits, awards, and grants (including stock option grants) accrued but unpaid as of the date of termination under any non-qualified pension plan, supplemental and/or incentive compensation or bonus plans, in which Executive was a participant as of the date of termination. Executive shall also be eligible for a bonus or incentive compensation payment (the "bonus payment"), payable at 100% of the maximum bonus available to Executive, pro-rated as of the effective date of the termination. The bonus payment shall be payable within five (5) days after the effective date of Employee's termination. [Employee shall have until the expiration date shown on the stock option award in which to exercise the options which have vested pursuant to this section.]</w:t>
      </w:r>
    </w:p>
    <w:p>
      <w:pPr>
        <w:spacing w:after="0" w:line="184" w:lineRule="exact"/>
        <w:rPr>
          <w:sz w:val="20"/>
          <w:szCs w:val="20"/>
          <w:color w:val="auto"/>
        </w:rPr>
      </w:pPr>
    </w:p>
    <w:p>
      <w:pPr>
        <w:ind w:left="790" w:right="3439"/>
        <w:spacing w:after="0" w:line="259" w:lineRule="auto"/>
        <w:rPr>
          <w:sz w:val="20"/>
          <w:szCs w:val="20"/>
          <w:color w:val="auto"/>
        </w:rPr>
      </w:pPr>
      <w:r>
        <w:rPr>
          <w:rFonts w:ascii="Courier New" w:cs="Courier New" w:eastAsia="Courier New" w:hAnsi="Courier New"/>
          <w:sz w:val="14"/>
          <w:szCs w:val="14"/>
          <w:color w:val="auto"/>
        </w:rPr>
        <w:t>Except as may be provided under this Section 7 or under the terms of any incentive compensation, employee benefit, or fringe benefit plan applicable to Executive at the time of Executive's resignation from employment, Executive shall have no right to receive any</w:t>
      </w:r>
    </w:p>
    <w:p>
      <w:pPr>
        <w:spacing w:after="0" w:line="327"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8 of 14</w:t>
      </w:r>
    </w:p>
    <w:p>
      <w:pPr>
        <w:sectPr>
          <w:pgSz w:w="11900" w:h="16838" w:orient="portrait"/>
          <w:cols w:equalWidth="0" w:num="1">
            <w:col w:w="10229"/>
          </w:cols>
          <w:pgMar w:left="230" w:top="283" w:right="1440" w:bottom="1440" w:gutter="0" w:footer="0" w:header="0"/>
          <w:type w:val="continuous"/>
        </w:sectPr>
      </w:pPr>
    </w:p>
    <w:bookmarkStart w:id="153" w:name="page154"/>
    <w:bookmarkEnd w:id="153"/>
    <w:p>
      <w:pPr>
        <w:ind w:left="270"/>
        <w:spacing w:after="0"/>
        <w:rPr>
          <w:sz w:val="20"/>
          <w:szCs w:val="20"/>
          <w:color w:val="auto"/>
        </w:rPr>
      </w:pPr>
      <w:r>
        <w:rPr>
          <w:rFonts w:ascii="Courier New" w:cs="Courier New" w:eastAsia="Courier New" w:hAnsi="Courier New"/>
          <w:sz w:val="15"/>
          <w:szCs w:val="15"/>
          <w:color w:val="auto"/>
        </w:rPr>
        <w:t>9</w:t>
      </w:r>
    </w:p>
    <w:p>
      <w:pPr>
        <w:spacing w:after="0" w:line="175" w:lineRule="exact"/>
        <w:rPr>
          <w:sz w:val="20"/>
          <w:szCs w:val="20"/>
          <w:color w:val="auto"/>
        </w:rPr>
      </w:pPr>
    </w:p>
    <w:p>
      <w:pPr>
        <w:jc w:val="both"/>
        <w:ind w:left="790" w:right="3439"/>
        <w:spacing w:after="0" w:line="237" w:lineRule="auto"/>
        <w:rPr>
          <w:sz w:val="20"/>
          <w:szCs w:val="20"/>
          <w:color w:val="auto"/>
        </w:rPr>
      </w:pPr>
      <w:r>
        <w:rPr>
          <w:rFonts w:ascii="Courier New" w:cs="Courier New" w:eastAsia="Courier New" w:hAnsi="Courier New"/>
          <w:sz w:val="15"/>
          <w:szCs w:val="15"/>
          <w:color w:val="auto"/>
        </w:rPr>
        <w:t>other compensation, or to participate in any other plan, arrangement or benefit, with respect to future periods after such resignation or termination.</w:t>
      </w:r>
    </w:p>
    <w:p>
      <w:pPr>
        <w:spacing w:after="0" w:line="175" w:lineRule="exact"/>
        <w:rPr>
          <w:sz w:val="20"/>
          <w:szCs w:val="20"/>
          <w:color w:val="auto"/>
        </w:rPr>
      </w:pPr>
    </w:p>
    <w:p>
      <w:pPr>
        <w:ind w:left="790" w:right="3259" w:hanging="790"/>
        <w:spacing w:after="0" w:line="256" w:lineRule="auto"/>
        <w:tabs>
          <w:tab w:leader="none" w:pos="79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In the event that any portion of the benefits payable under this Agreement, and any other payments and benefits under any other agreement with, or plan of the Company to or for the benefit of the Executive (in aggregate, "Total Payments") constitute an "excess parachute payment" within the meaning of Section 280G of the Internal Revenue Code (the "Code"), then the Company shall pay the Executive as promptly as practicable following such determination an additional amount (the "Gross-up Payment") calculated as described below to reimburse the Executive on an after-tax basis for any excise tax imposed on such payments under Section 4999 of the Code. The Gross-up Payment shall equal the amount, if any, needed to ensure that the net parachute payments (including the Gross-up Payment) actually received by the Executive after the imposition of federal and state income, employment and excise taxes (including any interest or penalties imposed by the Internal Revenue Service), are equal to the amount that the Executive would have netted after the imposition of federal and state income and employment taxes, had the Total Payments not been subject to the taxes imposed by Section 4999. For purposes of this calculation, it shall be assumed that the Executive's tax rate will be the maximum federal rate to be computed with regard to Section 1(g) of the Code.</w:t>
      </w:r>
    </w:p>
    <w:p>
      <w:pPr>
        <w:spacing w:after="0" w:line="345" w:lineRule="exact"/>
        <w:rPr>
          <w:rFonts w:ascii="Courier New" w:cs="Courier New" w:eastAsia="Courier New" w:hAnsi="Courier New"/>
          <w:sz w:val="14"/>
          <w:szCs w:val="14"/>
          <w:color w:val="auto"/>
        </w:rPr>
      </w:pPr>
    </w:p>
    <w:p>
      <w:pPr>
        <w:ind w:left="79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 the event that the Executive and the Company are unable to agree as to the amount of the Gross-up Payment, if any, the Company shall select a law firm or accounting firm from among those regularly consulted (during the twelve-month period immediately prior to a Change-in-Control) by the Company regarding federal income tax matters and such law firm or accounting firm shall determine the amount of Gross-up Payment and such determination shall be final and binding upon the Executive and the Company.</w:t>
      </w:r>
    </w:p>
    <w:p>
      <w:pPr>
        <w:spacing w:after="0" w:line="177" w:lineRule="exact"/>
        <w:rPr>
          <w:rFonts w:ascii="Courier New" w:cs="Courier New" w:eastAsia="Courier New" w:hAnsi="Courier New"/>
          <w:sz w:val="14"/>
          <w:szCs w:val="14"/>
          <w:color w:val="auto"/>
        </w:rPr>
      </w:pPr>
    </w:p>
    <w:p>
      <w:pPr>
        <w:ind w:left="790" w:right="3259" w:hanging="790"/>
        <w:spacing w:after="0" w:line="235" w:lineRule="auto"/>
        <w:tabs>
          <w:tab w:leader="none" w:pos="79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For purposes of this Agreement, "Change in Control" means the occurrence of any of the following events:</w:t>
      </w:r>
    </w:p>
    <w:p>
      <w:pPr>
        <w:spacing w:after="0" w:line="175"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transfer to, assignment to, or any acquisition by any person, corporation or other entity, or group thereof, of the beneficial ownership, within the meaning of Section 13(d) of the Securities Exchange Act of 1934, of any securities of the Company, which transfer, assignment or acquisition results in such person, corporation, entity, or group thereof, becoming the beneficial owner, directly or indirectly, of securities of the Company representing 25 percent (25%) or more of the combined voting power of the Company's then outstanding securities; or</w:t>
      </w:r>
    </w:p>
    <w:p>
      <w:pPr>
        <w:spacing w:after="0" w:line="179" w:lineRule="exact"/>
        <w:rPr>
          <w:rFonts w:ascii="Courier New" w:cs="Courier New" w:eastAsia="Courier New" w:hAnsi="Courier New"/>
          <w:sz w:val="15"/>
          <w:szCs w:val="15"/>
          <w:color w:val="auto"/>
        </w:rPr>
      </w:pPr>
    </w:p>
    <w:p>
      <w:pPr>
        <w:ind w:left="1590" w:right="3259" w:hanging="796"/>
        <w:spacing w:after="0" w:line="238" w:lineRule="auto"/>
        <w:tabs>
          <w:tab w:leader="none" w:pos="159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a tender offer, merger, consolidation, sale of assets, or contested election, or any combination of such transactions, the persons who were directors immediately before the transaction shall cease to constitute a majority of the Board of Directors of the Company or any successor to the Company.</w:t>
      </w:r>
    </w:p>
    <w:p>
      <w:pPr>
        <w:spacing w:after="0" w:line="33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9 of 14</w:t>
      </w:r>
    </w:p>
    <w:p>
      <w:pPr>
        <w:sectPr>
          <w:pgSz w:w="11900" w:h="16838" w:orient="portrait"/>
          <w:cols w:equalWidth="0" w:num="1">
            <w:col w:w="10229"/>
          </w:cols>
          <w:pgMar w:left="230" w:top="283" w:right="1440" w:bottom="1440" w:gutter="0" w:footer="0" w:header="0"/>
        </w:sectPr>
      </w:pPr>
    </w:p>
    <w:bookmarkStart w:id="154" w:name="page155"/>
    <w:bookmarkEnd w:id="154"/>
    <w:p>
      <w:pPr>
        <w:ind w:left="2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350" w:hanging="350"/>
        <w:spacing w:after="0"/>
        <w:tabs>
          <w:tab w:leader="none" w:pos="35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COVENANTS</w:t>
      </w:r>
    </w:p>
    <w:p>
      <w:pPr>
        <w:spacing w:after="0" w:line="175" w:lineRule="exact"/>
        <w:rPr>
          <w:sz w:val="20"/>
          <w:szCs w:val="20"/>
          <w:color w:val="auto"/>
        </w:rPr>
      </w:pPr>
    </w:p>
    <w:p>
      <w:pPr>
        <w:ind w:left="790" w:right="3259" w:hanging="790"/>
        <w:spacing w:after="0" w:line="256" w:lineRule="auto"/>
        <w:tabs>
          <w:tab w:leader="none" w:pos="79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COMPETITIVE ACTIVITY. Executive covenants and agrees that at all times during Executive's period of employment with the Company, and during the period that payments are made to Executive pursuant to Section 6 of this Agreement, Executive will not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without the Company's specific written consent to do so. Executive further agrees that for a period of one (1) year after the date payments made to Executive pursuant to Section 6 of this Agreement cease, or for a period of two (2) years following the date of termination, whichever is later, Executive will not, directly or indirectly, within 75 miles of any operating location of any affiliate of the Company, engage in, assist, or have any active interest or involvement, whether as an employee, agent, consultant, creditor, advisor, officer, director, stockholder (excluding holding of less than 1% of the stock of a public company), partner, proprietor or any type of principal whatsoever in any person, firm, or business entity which, directly or indirectly, is engaged in the same business as that conducted and carried on by the Company or any of its affiliated companies, without the Company's specific written consent to do so.</w:t>
      </w:r>
    </w:p>
    <w:p>
      <w:pPr>
        <w:spacing w:after="0" w:line="346" w:lineRule="exact"/>
        <w:rPr>
          <w:rFonts w:ascii="Courier New" w:cs="Courier New" w:eastAsia="Courier New" w:hAnsi="Courier New"/>
          <w:sz w:val="14"/>
          <w:szCs w:val="14"/>
          <w:color w:val="auto"/>
        </w:rPr>
      </w:pPr>
    </w:p>
    <w:p>
      <w:pPr>
        <w:ind w:left="790" w:right="3259" w:hanging="790"/>
        <w:spacing w:after="0" w:line="256" w:lineRule="auto"/>
        <w:tabs>
          <w:tab w:leader="none" w:pos="79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Executive covenants and agrees that at all times during Executive's period of employment with the Company, and for a period of one (1) year after the date payments made to Executive pursuant to Section 6 of this Agreement cease, or two (2) years after the date of termination of the Executive's employment, whichever date is later, whether such termination is voluntary or involuntary by wrongful discharge, or otherwise, Executive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 or; (v) individually or through any person, firm, association or corporation with which Executive is now or may hereafter become associated, cause, solicit, entice, or induce any present or future employee of the Company, or any corporation affiliated with the Company to leave the employ of the Company, or such other corporation to accept employment with, or compensation from, the Executive or any such person, firm, association or corporation without the prior written consent of the Company.]</w:t>
      </w:r>
    </w:p>
    <w:p>
      <w:pPr>
        <w:spacing w:after="0" w:line="347" w:lineRule="exact"/>
        <w:rPr>
          <w:rFonts w:ascii="Courier New" w:cs="Courier New" w:eastAsia="Courier New" w:hAnsi="Courier New"/>
          <w:sz w:val="14"/>
          <w:szCs w:val="14"/>
          <w:color w:val="auto"/>
        </w:rPr>
      </w:pPr>
    </w:p>
    <w:p>
      <w:pPr>
        <w:ind w:left="790" w:right="3259" w:hanging="790"/>
        <w:spacing w:after="0" w:line="238" w:lineRule="auto"/>
        <w:tabs>
          <w:tab w:leader="none" w:pos="7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341"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10 of 14</w:t>
      </w:r>
    </w:p>
    <w:p>
      <w:pPr>
        <w:sectPr>
          <w:pgSz w:w="11900" w:h="16838" w:orient="portrait"/>
          <w:cols w:equalWidth="0" w:num="1">
            <w:col w:w="10229"/>
          </w:cols>
          <w:pgMar w:left="230" w:top="283" w:right="1440" w:bottom="1440" w:gutter="0" w:footer="0" w:header="0"/>
        </w:sectPr>
      </w:pPr>
    </w:p>
    <w:bookmarkStart w:id="155" w:name="page156"/>
    <w:bookmarkEnd w:id="155"/>
    <w:p>
      <w:pPr>
        <w:ind w:left="27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left="790" w:right="3259" w:hanging="790"/>
        <w:spacing w:after="0" w:line="256" w:lineRule="auto"/>
        <w:tabs>
          <w:tab w:leader="none" w:pos="79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PROTECTED INFORMATION. Executive recognizes and acknowledges that Executive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w:t>
      </w:r>
    </w:p>
    <w:p>
      <w:pPr>
        <w:spacing w:after="0" w:line="2" w:lineRule="exact"/>
        <w:rPr>
          <w:rFonts w:ascii="Courier New" w:cs="Courier New" w:eastAsia="Courier New" w:hAnsi="Courier New"/>
          <w:sz w:val="14"/>
          <w:szCs w:val="14"/>
          <w:color w:val="auto"/>
        </w:rPr>
      </w:pPr>
    </w:p>
    <w:p>
      <w:pPr>
        <w:ind w:left="790" w:right="3259" w:firstLine="4"/>
        <w:spacing w:after="0" w:line="238" w:lineRule="auto"/>
        <w:tabs>
          <w:tab w:leader="none" w:pos="123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policies and matters relating particularly to operations such as customer service requirements, costs of providing service and equipment, operating costs and pricing matters, and (iii) various trade or business secrets, including customer lists, route sheets, business opportunities, marketing or business diversification plans, business development and bidding techniques, methods and processes, financial data and the like (collectively, the "Protected Information"). Executive therefore covenants and agrees that Executive will not at any time, either while employed by the Company or afterwards, knowingly make any independent use of, or knowingly disclose to any other person or organization (except as authorized by the Company) any of the Protected Information.</w:t>
      </w:r>
    </w:p>
    <w:p>
      <w:pPr>
        <w:spacing w:after="0" w:line="176" w:lineRule="exact"/>
        <w:rPr>
          <w:sz w:val="20"/>
          <w:szCs w:val="20"/>
          <w:color w:val="auto"/>
        </w:rPr>
      </w:pPr>
    </w:p>
    <w:p>
      <w:pPr>
        <w:ind w:left="350" w:hanging="350"/>
        <w:spacing w:after="0"/>
        <w:tabs>
          <w:tab w:leader="none" w:pos="3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OF COVENANTS.</w:t>
      </w:r>
    </w:p>
    <w:p>
      <w:pPr>
        <w:spacing w:after="0" w:line="175" w:lineRule="exact"/>
        <w:rPr>
          <w:sz w:val="20"/>
          <w:szCs w:val="20"/>
          <w:color w:val="auto"/>
        </w:rPr>
      </w:pPr>
    </w:p>
    <w:p>
      <w:pPr>
        <w:ind w:left="790" w:right="3359" w:hanging="790"/>
        <w:spacing w:after="0" w:line="238" w:lineRule="auto"/>
        <w:tabs>
          <w:tab w:leader="none" w:pos="7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AND FORFEITURE OF COMPENSATION. Executive agrees that any breach by Executive of any of the covenants set forth in Section 8 hereof during Executive's employment by the Company, shall be grounds for immediate dismissal of Executive and forfeiture of any accrued and unpaid salary, bonus, commissions or other compensation of such Executive as liquidated damages, which shall be in addition to and not exclusive of any and all other rights and remedies the Company may have against Executive.</w:t>
      </w:r>
    </w:p>
    <w:p>
      <w:pPr>
        <w:spacing w:after="0" w:line="177" w:lineRule="exact"/>
        <w:rPr>
          <w:rFonts w:ascii="Courier New" w:cs="Courier New" w:eastAsia="Courier New" w:hAnsi="Courier New"/>
          <w:sz w:val="15"/>
          <w:szCs w:val="15"/>
          <w:color w:val="auto"/>
        </w:rPr>
      </w:pPr>
    </w:p>
    <w:p>
      <w:pPr>
        <w:ind w:left="790" w:right="3359" w:hanging="790"/>
        <w:spacing w:after="0" w:line="257" w:lineRule="auto"/>
        <w:tabs>
          <w:tab w:leader="none" w:pos="79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of anticipatory breach of the covenants set forth in this section by Executive, Executive and the Company agree that the Company shall be entitled to the following particular forms of relief, in addition to remedies otherwise available to it at law or equity; (i) injunctions, both preliminary and permanent, enjoining or restraining such breach or anticipatory breach and Executive hereby consents to the issuance thereof forthwith and without bond by any court of competent jurisdiction; and (ii) recovery of all reasonable sums expended and costs, including reasonable attorney's fees, incurred by the Company to enforce the covenants set forth in this section.</w:t>
      </w:r>
    </w:p>
    <w:p>
      <w:pPr>
        <w:spacing w:after="0" w:line="164" w:lineRule="exact"/>
        <w:rPr>
          <w:rFonts w:ascii="Courier New" w:cs="Courier New" w:eastAsia="Courier New" w:hAnsi="Courier New"/>
          <w:sz w:val="14"/>
          <w:szCs w:val="14"/>
          <w:color w:val="auto"/>
        </w:rPr>
      </w:pPr>
    </w:p>
    <w:p>
      <w:pPr>
        <w:ind w:left="790" w:right="3259" w:hanging="790"/>
        <w:spacing w:after="0" w:line="238" w:lineRule="auto"/>
        <w:tabs>
          <w:tab w:leader="none" w:pos="79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OF COVENANTS. The covenants contained in Section 8 hereof constitute a series of separate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w:t>
      </w:r>
    </w:p>
    <w:p>
      <w:pPr>
        <w:spacing w:after="0" w:line="34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11 of 14</w:t>
      </w:r>
    </w:p>
    <w:p>
      <w:pPr>
        <w:sectPr>
          <w:pgSz w:w="11900" w:h="16838" w:orient="portrait"/>
          <w:cols w:equalWidth="0" w:num="1">
            <w:col w:w="10229"/>
          </w:cols>
          <w:pgMar w:left="230" w:top="283"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780" w:right="3259"/>
        <w:spacing w:after="0" w:line="238" w:lineRule="auto"/>
        <w:rPr>
          <w:sz w:val="20"/>
          <w:szCs w:val="20"/>
          <w:color w:val="auto"/>
        </w:rPr>
      </w:pPr>
      <w:r>
        <w:rPr>
          <w:rFonts w:ascii="Courier New" w:cs="Courier New" w:eastAsia="Courier New" w:hAnsi="Courier New"/>
          <w:sz w:val="15"/>
          <w:szCs w:val="15"/>
          <w:color w:val="auto"/>
        </w:rPr>
        <w:t>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DISPUTES AND PAYMENT OF ATTORNEY'S FEES.</w:t>
      </w:r>
    </w:p>
    <w:p>
      <w:pPr>
        <w:spacing w:after="0" w:line="17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(a) provided that Executive shall repay any such amounts paid or advanced if Executive is not the prevailing party with respect to any dispute or litigation arising under Sections 5c or 8 of this Agreement, or (b) regardless of whether Executive is the prevailing party in a dispute or in litigation involving any other provision of this Agreement, provided that the court in which such litigation is first initiated determines with respect to this obligation, upon application of either party hereto, Executive did not initiate frivolously such litigation. Under no circumstances shall Executive be obligated to pay or reimburse the Company for any attorneys' fees, costs or expenses incurred by the Company. The provisions of this Section 10 shall survive the expiration or termination of this Agreement and of Executive's employment hereunder.</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WITHHOLDING OF TAXES.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Company may withhold from any compensation and benefits payable under this Agreement all applicable federal, state, local, or other taxes.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NON-DISCLOSURE OF AGREEMENT TERMS.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Executive agrees that Executive will not disclose the terms of this Agreement to any third party other than Executive's immediate family, attorney, accountants, or other consultants or advisors or except as may be required by any governmental authority.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SOURCE OF PAYMENTS.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34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12 of 14</w:t>
      </w:r>
    </w:p>
    <w:p>
      <w:pPr>
        <w:sectPr>
          <w:pgSz w:w="11900" w:h="16838" w:orient="portrait"/>
          <w:cols w:equalWidth="0" w:num="1">
            <w:col w:w="10219"/>
          </w:cols>
          <w:pgMar w:left="240" w:top="283"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ASSIGNMENT.</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Except as otherwise provided in this Agreement, this Agreement shall inure to the benefit of and be binding upon the parties hereto and their respective heirs, representatives, successors and assigns. This Agreement shall not be assignable by Executive,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(the provisions of this sentence also being applicable to any successive such transaction).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ENTIRE AGREEMENT; AMENDMENT.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GOVERNING LAW.</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__________________ applicable to agreements made and to be performed in that State, without regard to its conflict of laws provisions.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NOTICES.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170"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the Company:</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Waste Management, Inc.</w:t>
      </w:r>
    </w:p>
    <w:p>
      <w:pPr>
        <w:ind w:left="1760"/>
        <w:spacing w:after="0"/>
        <w:rPr>
          <w:sz w:val="20"/>
          <w:szCs w:val="20"/>
          <w:color w:val="auto"/>
        </w:rPr>
      </w:pPr>
      <w:r>
        <w:rPr>
          <w:rFonts w:ascii="Courier New" w:cs="Courier New" w:eastAsia="Courier New" w:hAnsi="Courier New"/>
          <w:sz w:val="15"/>
          <w:szCs w:val="15"/>
          <w:color w:val="auto"/>
        </w:rPr>
        <w:t>1001 Fannin, Suite 4000</w:t>
      </w:r>
    </w:p>
    <w:p>
      <w:pPr>
        <w:ind w:left="1760"/>
        <w:spacing w:after="0"/>
        <w:rPr>
          <w:sz w:val="20"/>
          <w:szCs w:val="20"/>
          <w:color w:val="auto"/>
        </w:rPr>
      </w:pPr>
      <w:r>
        <w:rPr>
          <w:rFonts w:ascii="Courier New" w:cs="Courier New" w:eastAsia="Courier New" w:hAnsi="Courier New"/>
          <w:sz w:val="15"/>
          <w:szCs w:val="15"/>
          <w:color w:val="auto"/>
        </w:rPr>
        <w:t>Houston, Texas 77002</w:t>
      </w:r>
    </w:p>
    <w:p>
      <w:pPr>
        <w:ind w:left="1760"/>
        <w:spacing w:after="0" w:line="238" w:lineRule="auto"/>
        <w:rPr>
          <w:sz w:val="20"/>
          <w:szCs w:val="20"/>
          <w:color w:val="auto"/>
        </w:rPr>
      </w:pPr>
      <w:r>
        <w:rPr>
          <w:rFonts w:ascii="Courier New" w:cs="Courier New" w:eastAsia="Courier New" w:hAnsi="Courier New"/>
          <w:sz w:val="15"/>
          <w:szCs w:val="15"/>
          <w:color w:val="auto"/>
        </w:rPr>
        <w:t>Attention: Corporate Secretary</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Executive:</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At the address for Executive set forth below</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Page 13 of 14</w:t>
      </w:r>
    </w:p>
    <w:p>
      <w:pPr>
        <w:sectPr>
          <w:pgSz w:w="11900" w:h="16838" w:orient="portrait"/>
          <w:cols w:equalWidth="0" w:num="1">
            <w:col w:w="10219"/>
          </w:cols>
          <w:pgMar w:left="240" w:top="283" w:right="1440" w:bottom="1440" w:gutter="0" w:footer="0" w:header="0"/>
        </w:sectPr>
      </w:pPr>
    </w:p>
    <w:bookmarkStart w:id="158" w:name="page159"/>
    <w:bookmarkEnd w:id="158"/>
    <w:p>
      <w:pPr>
        <w:ind w:left="27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18. MISCELLANEOUS.</w:t>
      </w:r>
    </w:p>
    <w:p>
      <w:pPr>
        <w:spacing w:after="0" w:line="175" w:lineRule="exact"/>
        <w:rPr>
          <w:sz w:val="20"/>
          <w:szCs w:val="20"/>
          <w:color w:val="auto"/>
        </w:rPr>
      </w:pPr>
    </w:p>
    <w:p>
      <w:pPr>
        <w:ind w:left="790" w:right="3259" w:hanging="790"/>
        <w:spacing w:after="0" w:line="237" w:lineRule="auto"/>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178" w:lineRule="exact"/>
        <w:rPr>
          <w:rFonts w:ascii="Courier New" w:cs="Courier New" w:eastAsia="Courier New" w:hAnsi="Courier New"/>
          <w:sz w:val="15"/>
          <w:szCs w:val="15"/>
          <w:color w:val="auto"/>
        </w:rPr>
      </w:pPr>
    </w:p>
    <w:p>
      <w:pPr>
        <w:ind w:left="790" w:right="3259" w:hanging="790"/>
        <w:spacing w:after="0" w:line="237" w:lineRule="auto"/>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178" w:lineRule="exact"/>
        <w:rPr>
          <w:rFonts w:ascii="Courier New" w:cs="Courier New" w:eastAsia="Courier New" w:hAnsi="Courier New"/>
          <w:sz w:val="15"/>
          <w:szCs w:val="15"/>
          <w:color w:val="auto"/>
        </w:rPr>
      </w:pPr>
    </w:p>
    <w:p>
      <w:pPr>
        <w:ind w:left="790" w:right="3539" w:hanging="790"/>
        <w:spacing w:after="0" w:line="237" w:lineRule="auto"/>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Section headings are used herein for convenience of reference only and shall not affect the meaning of any provision of this Agreement.</w:t>
      </w:r>
    </w:p>
    <w:p>
      <w:pPr>
        <w:spacing w:after="0" w:line="174" w:lineRule="exact"/>
        <w:rPr>
          <w:rFonts w:ascii="Courier New" w:cs="Courier New" w:eastAsia="Courier New" w:hAnsi="Courier New"/>
          <w:sz w:val="15"/>
          <w:szCs w:val="15"/>
          <w:color w:val="auto"/>
        </w:rPr>
      </w:pPr>
    </w:p>
    <w:p>
      <w:pPr>
        <w:ind w:left="790" w:right="3539" w:hanging="790"/>
        <w:spacing w:after="0" w:line="265" w:lineRule="auto"/>
        <w:tabs>
          <w:tab w:leader="none" w:pos="79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Whenever the context so requires, the use of the singular shall be deemed to include the plural and vice versa.</w:t>
      </w:r>
    </w:p>
    <w:p>
      <w:pPr>
        <w:spacing w:after="0" w:line="158" w:lineRule="exact"/>
        <w:rPr>
          <w:rFonts w:ascii="Courier New" w:cs="Courier New" w:eastAsia="Courier New" w:hAnsi="Courier New"/>
          <w:sz w:val="14"/>
          <w:szCs w:val="14"/>
          <w:color w:val="auto"/>
        </w:rPr>
      </w:pPr>
    </w:p>
    <w:p>
      <w:pPr>
        <w:ind w:left="790" w:right="3799" w:hanging="790"/>
        <w:spacing w:after="0" w:line="237" w:lineRule="auto"/>
        <w:tabs>
          <w:tab w:leader="none" w:pos="79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so executed shall be deemed to be an original, and such counterparts will together constitute but one Agreement.</w:t>
      </w:r>
    </w:p>
    <w:p>
      <w:pPr>
        <w:spacing w:after="0" w:line="176"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IN WITNESS WHEREOF, the parties hereto have duly executed this Agreement as of the day and year first above written.</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By:</w:t>
      </w:r>
    </w:p>
    <w:p>
      <w:pPr>
        <w:ind w:left="27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Name:</w:t>
      </w:r>
    </w:p>
    <w:p>
      <w:pPr>
        <w:ind w:left="450"/>
        <w:spacing w:after="0" w:line="238" w:lineRule="auto"/>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Title:</w:t>
      </w:r>
    </w:p>
    <w:p>
      <w:pPr>
        <w:ind w:left="530"/>
        <w:spacing w:after="0"/>
        <w:rPr>
          <w:sz w:val="20"/>
          <w:szCs w:val="20"/>
          <w:color w:val="auto"/>
        </w:rPr>
      </w:pPr>
      <w:r>
        <w:rPr>
          <w:rFonts w:ascii="Courier New" w:cs="Courier New" w:eastAsia="Courier New" w:hAnsi="Courier New"/>
          <w:sz w:val="15"/>
          <w:szCs w:val="15"/>
          <w:color w:val="auto"/>
        </w:rPr>
        <w:t>--------------------------------</w:t>
      </w:r>
    </w:p>
    <w:p>
      <w:pPr>
        <w:ind w:left="10"/>
        <w:spacing w:after="0" w:line="238" w:lineRule="auto"/>
        <w:rPr>
          <w:sz w:val="20"/>
          <w:szCs w:val="20"/>
          <w:color w:val="auto"/>
        </w:rPr>
      </w:pPr>
      <w:r>
        <w:rPr>
          <w:rFonts w:ascii="Courier New" w:cs="Courier New" w:eastAsia="Courier New" w:hAnsi="Courier New"/>
          <w:sz w:val="15"/>
          <w:szCs w:val="15"/>
          <w:color w:val="auto"/>
        </w:rPr>
        <w:t>Date:</w:t>
      </w:r>
    </w:p>
    <w:p>
      <w:pPr>
        <w:ind w:left="45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w:t>
      </w:r>
    </w:p>
    <w:p>
      <w:pPr>
        <w:ind w:left="45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Address:</w:t>
      </w:r>
    </w:p>
    <w:p>
      <w:pPr>
        <w:ind w:left="71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Page 14 of 14</w:t>
      </w:r>
    </w:p>
    <w:p>
      <w:pPr>
        <w:sectPr>
          <w:pgSz w:w="11900" w:h="16838" w:orient="portrait"/>
          <w:cols w:equalWidth="0" w:num="1">
            <w:col w:w="10229"/>
          </w:cols>
          <w:pgMar w:left="230" w:top="283" w:right="1440" w:bottom="1440" w:gutter="0" w:footer="0" w:header="0"/>
        </w:sectPr>
      </w:pPr>
    </w:p>
    <w:bookmarkStart w:id="159" w:name="page160"/>
    <w:bookmarkEnd w:id="159"/>
    <w:p>
      <w:pPr>
        <w:ind w:left="270"/>
        <w:spacing w:after="0"/>
        <w:rPr>
          <w:sz w:val="20"/>
          <w:szCs w:val="20"/>
          <w:color w:val="auto"/>
        </w:rPr>
      </w:pPr>
      <w:r>
        <w:rPr>
          <w:rFonts w:ascii="Courier New" w:cs="Courier New" w:eastAsia="Courier New" w:hAnsi="Courier New"/>
          <w:sz w:val="15"/>
          <w:szCs w:val="15"/>
          <w:color w:val="auto"/>
        </w:rPr>
        <w:t>1</w:t>
      </w:r>
    </w:p>
    <w:p>
      <w:pPr>
        <w:ind w:left="599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Waste Management, Inc.</w:t>
      </w:r>
    </w:p>
    <w:p>
      <w:pPr>
        <w:spacing w:after="0" w:line="169"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Computation of Ratio Earnings to Fixed Charges</w:t>
      </w:r>
    </w:p>
    <w:p>
      <w:pPr>
        <w:ind w:left="2290"/>
        <w:spacing w:after="0"/>
        <w:rPr>
          <w:sz w:val="20"/>
          <w:szCs w:val="20"/>
          <w:color w:val="auto"/>
        </w:rPr>
      </w:pPr>
      <w:r>
        <w:rPr>
          <w:rFonts w:ascii="Courier New" w:cs="Courier New" w:eastAsia="Courier New" w:hAnsi="Courier New"/>
          <w:sz w:val="15"/>
          <w:szCs w:val="15"/>
          <w:color w:val="auto"/>
        </w:rPr>
        <w:t>(in thousands, except ratios)</w:t>
      </w:r>
    </w:p>
    <w:p>
      <w:pPr>
        <w:ind w:left="309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40" w:type="dxa"/>
            <w:vAlign w:val="bottom"/>
          </w:tcPr>
          <w:p>
            <w:pPr>
              <w:spacing w:after="0"/>
              <w:rPr>
                <w:sz w:val="14"/>
                <w:szCs w:val="14"/>
                <w:color w:val="auto"/>
              </w:rPr>
            </w:pPr>
          </w:p>
        </w:tc>
        <w:tc>
          <w:tcPr>
            <w:tcW w:w="400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14"/>
                <w:szCs w:val="14"/>
                <w:color w:val="auto"/>
              </w:rPr>
            </w:pPr>
          </w:p>
        </w:tc>
        <w:tc>
          <w:tcPr>
            <w:tcW w:w="12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taxes, undistributed earnings from affiliated companies,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and minority interest</w:t>
            </w:r>
          </w:p>
        </w:tc>
        <w:tc>
          <w:tcPr>
            <w:tcW w:w="15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(678,919)</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(609,024)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781,365</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681,457</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555,576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525,340</w:t>
            </w:r>
          </w:p>
        </w:tc>
      </w:tr>
      <w:tr>
        <w:trPr>
          <w:trHeight w:val="170"/>
        </w:trPr>
        <w:tc>
          <w:tcPr>
            <w:tcW w:w="5240" w:type="dxa"/>
            <w:vAlign w:val="bottom"/>
          </w:tcPr>
          <w:p>
            <w:pPr>
              <w:ind w:left="80"/>
              <w:spacing w:after="0"/>
              <w:rPr>
                <w:sz w:val="20"/>
                <w:szCs w:val="20"/>
                <w:color w:val="auto"/>
              </w:rPr>
            </w:pPr>
            <w:r>
              <w:rPr>
                <w:rFonts w:ascii="Courier New" w:cs="Courier New" w:eastAsia="Courier New" w:hAnsi="Courier New"/>
                <w:sz w:val="15"/>
                <w:szCs w:val="15"/>
                <w:color w:val="auto"/>
              </w:rPr>
              <w:t>Implicit interest in rents</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79,108</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58,869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58,949</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760,565</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614,445</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584,289</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ind w:left="880"/>
              <w:spacing w:after="0"/>
              <w:rPr>
                <w:sz w:val="20"/>
                <w:szCs w:val="20"/>
                <w:color w:val="auto"/>
              </w:rPr>
            </w:pPr>
            <w:r>
              <w:rPr>
                <w:rFonts w:ascii="Courier New" w:cs="Courier New" w:eastAsia="Courier New" w:hAnsi="Courier New"/>
                <w:sz w:val="15"/>
                <w:szCs w:val="15"/>
                <w:color w:val="auto"/>
              </w:rPr>
              <w:t>Earnings available for fixed charges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81,646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5,421</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$1,365,654</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681,457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555,576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525,340</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41,501</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51,376</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56,873</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Implicit interest in rents</w:t>
            </w:r>
          </w:p>
        </w:tc>
        <w:tc>
          <w:tcPr>
            <w:tcW w:w="48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79,108</w:t>
            </w:r>
          </w:p>
        </w:tc>
        <w:tc>
          <w:tcPr>
            <w:tcW w:w="30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58,869</w:t>
            </w:r>
          </w:p>
        </w:tc>
        <w:tc>
          <w:tcPr>
            <w:tcW w:w="1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58,949</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ind w:left="880"/>
              <w:spacing w:after="0"/>
              <w:rPr>
                <w:sz w:val="20"/>
                <w:szCs w:val="20"/>
                <w:color w:val="auto"/>
              </w:rPr>
            </w:pPr>
            <w:r>
              <w:rPr>
                <w:rFonts w:ascii="Courier New" w:cs="Courier New" w:eastAsia="Courier New" w:hAnsi="Courier New"/>
                <w:sz w:val="15"/>
                <w:szCs w:val="15"/>
                <w:color w:val="auto"/>
              </w:rPr>
              <w:t>Total fixed charges</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802,066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665,821</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641,162</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48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n/a (1)</w:t>
            </w:r>
          </w:p>
        </w:tc>
        <w:tc>
          <w:tcPr>
            <w:tcW w:w="30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n/a (2)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2.1x</w:t>
            </w:r>
          </w:p>
        </w:tc>
      </w:tr>
      <w:tr>
        <w:trPr>
          <w:trHeight w:val="170"/>
        </w:trPr>
        <w:tc>
          <w:tcPr>
            <w:tcW w:w="5240" w:type="dxa"/>
            <w:vAlign w:val="bottom"/>
          </w:tcPr>
          <w:p>
            <w:pPr>
              <w:spacing w:after="0"/>
              <w:rPr>
                <w:sz w:val="14"/>
                <w:szCs w:val="14"/>
                <w:color w:val="auto"/>
              </w:rPr>
            </w:pP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bl>
    <w:p>
      <w:pPr>
        <w:spacing w:after="0" w:line="344" w:lineRule="exact"/>
        <w:rPr>
          <w:sz w:val="20"/>
          <w:szCs w:val="20"/>
          <w:color w:val="auto"/>
        </w:rPr>
      </w:pPr>
    </w:p>
    <w:p>
      <w:pPr>
        <w:ind w:left="790" w:right="3259" w:hanging="790"/>
        <w:spacing w:after="0" w:line="238" w:lineRule="auto"/>
        <w:tabs>
          <w:tab w:leader="none" w:pos="79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for 1998 was less than a one-to-one ratio. Additional earnings available for fixed charges of $720,420,000 were needed to have a one-to-one ratio. The earnings available for fixed charges were negatively impacted by merger cost of $1,807,245,000 and unusual items of $864,063,000 related primarily to the mergers between Waste Management, Inc. and Waste Management Holdings, Inc. in July 1998, and Waste Management, Inc. and Eastern Environmental Services, Inc. in December 1998.</w:t>
      </w:r>
    </w:p>
    <w:p>
      <w:pPr>
        <w:spacing w:after="0" w:line="177" w:lineRule="exact"/>
        <w:rPr>
          <w:rFonts w:ascii="Courier New" w:cs="Courier New" w:eastAsia="Courier New" w:hAnsi="Courier New"/>
          <w:sz w:val="15"/>
          <w:szCs w:val="15"/>
          <w:color w:val="auto"/>
        </w:rPr>
      </w:pPr>
    </w:p>
    <w:p>
      <w:pPr>
        <w:ind w:left="790" w:right="3179" w:hanging="790"/>
        <w:spacing w:after="0" w:line="238" w:lineRule="auto"/>
        <w:tabs>
          <w:tab w:leader="none" w:pos="79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for 1997 was less than a one-to-one ratio. Additional earnings available for fixed charges of $660,399,000 were needed to have a one-to-one ratio. The earnings available for fixed charges were negatively impacted by merger costs of $112,748,000 (primarily related to the United Waste Systems, Inc. merger in August 1997), and asset impairments and unusual items of $1,771,145,000. The asset impairment and unusual items of $1,771,145,000 primarily related to a comprehensive review performed by Waste Management Holdings, Inc. of its operating assets and investments.</w:t>
      </w:r>
    </w:p>
    <w:p>
      <w:pPr>
        <w:sectPr>
          <w:pgSz w:w="11900" w:h="16838" w:orient="portrait"/>
          <w:cols w:equalWidth="0" w:num="1">
            <w:col w:w="10229"/>
          </w:cols>
          <w:pgMar w:left="230" w:top="136"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3220" w:type="dxa"/>
            <w:vAlign w:val="bottom"/>
          </w:tcPr>
          <w:p>
            <w:pPr>
              <w:ind w:left="400"/>
              <w:spacing w:after="0"/>
              <w:rPr>
                <w:sz w:val="20"/>
                <w:szCs w:val="20"/>
                <w:color w:val="auto"/>
              </w:rPr>
            </w:pPr>
            <w:r>
              <w:rPr>
                <w:rFonts w:ascii="Courier New" w:cs="Courier New" w:eastAsia="Courier New" w:hAnsi="Courier New"/>
                <w:sz w:val="15"/>
                <w:szCs w:val="15"/>
                <w:color w:val="auto"/>
              </w:rPr>
              <w:t>EXHIBIT 21.1</w:t>
            </w:r>
          </w:p>
        </w:tc>
      </w:tr>
      <w:tr>
        <w:trPr>
          <w:trHeight w:val="509"/>
        </w:trPr>
        <w:tc>
          <w:tcPr>
            <w:tcW w:w="5500" w:type="dxa"/>
            <w:vAlign w:val="bottom"/>
          </w:tcPr>
          <w:p>
            <w:pPr>
              <w:ind w:left="2020"/>
              <w:spacing w:after="0"/>
              <w:rPr>
                <w:sz w:val="20"/>
                <w:szCs w:val="20"/>
                <w:color w:val="auto"/>
              </w:rPr>
            </w:pPr>
            <w:r>
              <w:rPr>
                <w:rFonts w:ascii="Courier New" w:cs="Courier New" w:eastAsia="Courier New" w:hAnsi="Courier New"/>
                <w:sz w:val="15"/>
                <w:szCs w:val="15"/>
                <w:color w:val="auto"/>
              </w:rPr>
              <w:t>WASTE MANAGEMENT, INC. SUBSIDIARIES</w:t>
            </w:r>
          </w:p>
        </w:tc>
        <w:tc>
          <w:tcPr>
            <w:tcW w:w="3220" w:type="dxa"/>
            <w:vAlign w:val="bottom"/>
          </w:tcPr>
          <w:p>
            <w:pPr>
              <w:spacing w:after="0"/>
              <w:rPr>
                <w:sz w:val="24"/>
                <w:szCs w:val="24"/>
                <w:color w:val="auto"/>
              </w:rPr>
            </w:pPr>
          </w:p>
        </w:tc>
      </w:tr>
      <w:tr>
        <w:trPr>
          <w:trHeight w:val="678"/>
        </w:trPr>
        <w:tc>
          <w:tcPr>
            <w:tcW w:w="5500" w:type="dxa"/>
            <w:vAlign w:val="bottom"/>
          </w:tcPr>
          <w:p>
            <w:pPr>
              <w:spacing w:after="0"/>
              <w:rPr>
                <w:sz w:val="24"/>
                <w:szCs w:val="24"/>
                <w:color w:val="auto"/>
              </w:rPr>
            </w:pP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8"/>
              </w:rPr>
              <w:t>STATE OR COUNTRY</w:t>
            </w:r>
          </w:p>
        </w:tc>
      </w:tr>
      <w:tr>
        <w:trPr>
          <w:trHeight w:val="170"/>
        </w:trPr>
        <w:tc>
          <w:tcPr>
            <w:tcW w:w="5500" w:type="dxa"/>
            <w:vAlign w:val="bottom"/>
          </w:tcPr>
          <w:p>
            <w:pPr>
              <w:ind w:left="3080"/>
              <w:spacing w:after="0"/>
              <w:rPr>
                <w:sz w:val="20"/>
                <w:szCs w:val="20"/>
                <w:color w:val="auto"/>
              </w:rPr>
            </w:pPr>
            <w:r>
              <w:rPr>
                <w:rFonts w:ascii="Courier New" w:cs="Courier New" w:eastAsia="Courier New" w:hAnsi="Courier New"/>
                <w:sz w:val="15"/>
                <w:szCs w:val="15"/>
                <w:color w:val="auto"/>
              </w:rPr>
              <w:t>NAME</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8"/>
              </w:rPr>
              <w:t>OF INCORPORATION</w:t>
            </w:r>
          </w:p>
        </w:tc>
      </w:tr>
      <w:tr>
        <w:trPr>
          <w:trHeight w:val="170"/>
        </w:trPr>
        <w:tc>
          <w:tcPr>
            <w:tcW w:w="5500" w:type="dxa"/>
            <w:vAlign w:val="bottom"/>
          </w:tcPr>
          <w:p>
            <w:pPr>
              <w:ind w:left="3080"/>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500" w:type="dxa"/>
            <w:vAlign w:val="bottom"/>
          </w:tcPr>
          <w:p>
            <w:pPr>
              <w:spacing w:after="0"/>
              <w:rPr>
                <w:sz w:val="20"/>
                <w:szCs w:val="20"/>
                <w:color w:val="auto"/>
              </w:rPr>
            </w:pPr>
            <w:r>
              <w:rPr>
                <w:rFonts w:ascii="Courier New" w:cs="Courier New" w:eastAsia="Courier New" w:hAnsi="Courier New"/>
                <w:sz w:val="15"/>
                <w:szCs w:val="15"/>
                <w:color w:val="auto"/>
              </w:rPr>
              <w:t>1420 Chestnut Avenue Associates</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1420 Chestnut Avenue LLC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40th Street,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709292 Alberta Ltd.</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AB</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730810 Alberta Ltd.</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AB</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740922 Alberta Ltd.</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AB</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762570 Alberta Ltd.</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AB</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A..C.T.S.  B.V.</w:t>
            </w:r>
          </w:p>
        </w:tc>
        <w:tc>
          <w:tcPr>
            <w:tcW w:w="32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A.S.P.I.C.A. S.r.1.</w:t>
            </w:r>
          </w:p>
        </w:tc>
        <w:tc>
          <w:tcPr>
            <w:tcW w:w="32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A-1 Compaction,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ind w:left="780"/>
              <w:spacing w:after="0"/>
              <w:rPr>
                <w:sz w:val="20"/>
                <w:szCs w:val="20"/>
                <w:color w:val="auto"/>
              </w:rPr>
            </w:pPr>
            <w:r>
              <w:rPr>
                <w:rFonts w:ascii="Courier New" w:cs="Courier New" w:eastAsia="Courier New" w:hAnsi="Courier New"/>
                <w:sz w:val="15"/>
                <w:szCs w:val="15"/>
                <w:color w:val="auto"/>
              </w:rPr>
              <w:t>Dba United Waste Systems of West Michigan</w:t>
            </w:r>
          </w:p>
        </w:tc>
        <w:tc>
          <w:tcPr>
            <w:tcW w:w="3220" w:type="dxa"/>
            <w:vAlign w:val="bottom"/>
          </w:tcPr>
          <w:p>
            <w:pPr>
              <w:spacing w:after="0"/>
              <w:rPr>
                <w:sz w:val="14"/>
                <w:szCs w:val="14"/>
                <w:color w:val="auto"/>
              </w:rPr>
            </w:pP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AB Gosta M. Skoglund</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Action Portables,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Advanced Environmental Technical Services L.L.C.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Affordable Recycling Systems,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Afvalstoffen Terminal Mocrdijk B.V.</w:t>
            </w:r>
          </w:p>
        </w:tc>
        <w:tc>
          <w:tcPr>
            <w:tcW w:w="32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Akron Regional Landfill,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Alabama Waste Disposal Solutions, L.L.C.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AL</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Alaska Landfills,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Alliance Sanitary Landfill,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All-Waste Recycling,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All-Waste Systems,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Amador County Environmental Services,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American Landfill Gas Co.</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American Landfill,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American Waste Control of New York,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Anchorage Refuse,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Anderson Landfill,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Anderson-Cottonwood Disposal Services,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Anthony Dally &amp; Sons,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APEX Waste Services,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ARB Enterprises,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Arden Landfill, Inc. (fka William H. Martin)</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Arrow Refuse,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Art Spert Disposal, LLC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Art-Jo Co.</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Aseo S.A.</w:t>
            </w:r>
          </w:p>
        </w:tc>
        <w:tc>
          <w:tcPr>
            <w:tcW w:w="32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Atascadero Waste Alternatives,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Atlantic of New York,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Atlantic Transportation Services,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Atlantic Waste Collection, Inc.</w:t>
            </w:r>
          </w:p>
        </w:tc>
        <w:tc>
          <w:tcPr>
            <w:tcW w:w="3220" w:type="dxa"/>
            <w:vAlign w:val="bottom"/>
          </w:tcPr>
          <w:p>
            <w:pPr>
              <w:jc w:val="center"/>
              <w:ind w:left="1727"/>
              <w:spacing w:after="0"/>
              <w:rPr>
                <w:sz w:val="20"/>
                <w:szCs w:val="20"/>
                <w:color w:val="auto"/>
              </w:rPr>
            </w:pPr>
            <w:r>
              <w:rPr>
                <w:rFonts w:ascii="Courier New" w:cs="Courier New" w:eastAsia="Courier New" w:hAnsi="Courier New"/>
                <w:sz w:val="15"/>
                <w:szCs w:val="15"/>
                <w:color w:val="auto"/>
                <w:w w:val="99"/>
              </w:rPr>
              <w:t>DE</w:t>
            </w:r>
          </w:p>
        </w:tc>
      </w:tr>
    </w:tbl>
    <w:p>
      <w:pPr>
        <w:sectPr>
          <w:pgSz w:w="11900" w:h="16838" w:orient="portrait"/>
          <w:cols w:equalWidth="0" w:num="1">
            <w:col w:w="10219"/>
          </w:cols>
          <w:pgMar w:left="240" w:top="136"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2280" w:type="dxa"/>
            <w:vAlign w:val="bottom"/>
          </w:tcPr>
          <w:p>
            <w:pPr>
              <w:spacing w:after="0"/>
              <w:rPr>
                <w:sz w:val="14"/>
                <w:szCs w:val="14"/>
                <w:color w:val="auto"/>
              </w:rPr>
            </w:pPr>
          </w:p>
        </w:tc>
      </w:tr>
      <w:tr>
        <w:trPr>
          <w:trHeight w:val="848"/>
        </w:trPr>
        <w:tc>
          <w:tcPr>
            <w:tcW w:w="6340" w:type="dxa"/>
            <w:vAlign w:val="bottom"/>
          </w:tcPr>
          <w:p>
            <w:pPr>
              <w:spacing w:after="0"/>
              <w:rPr>
                <w:sz w:val="20"/>
                <w:szCs w:val="20"/>
                <w:color w:val="auto"/>
              </w:rPr>
            </w:pPr>
            <w:r>
              <w:rPr>
                <w:rFonts w:ascii="Courier New" w:cs="Courier New" w:eastAsia="Courier New" w:hAnsi="Courier New"/>
                <w:sz w:val="15"/>
                <w:szCs w:val="15"/>
                <w:color w:val="auto"/>
              </w:rPr>
              <w:t>Atlantic Waste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Automated Container Recovery,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Automated Recycling Technologies, Inc. (25%)</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Automated Salvage Transport,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Auxiwaste SA (FRANCE)</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FRANCE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Avenal Waste Alternatives,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AW Bryant Ltd.</w:t>
            </w:r>
          </w:p>
        </w:tc>
        <w:tc>
          <w:tcPr>
            <w:tcW w:w="2280" w:type="dxa"/>
            <w:vAlign w:val="bottom"/>
          </w:tcPr>
          <w:p>
            <w:pPr>
              <w:ind w:left="1240"/>
              <w:spacing w:after="0"/>
              <w:rPr>
                <w:sz w:val="20"/>
                <w:szCs w:val="20"/>
                <w:color w:val="auto"/>
              </w:rPr>
            </w:pPr>
            <w:r>
              <w:rPr>
                <w:rFonts w:ascii="Courier New" w:cs="Courier New" w:eastAsia="Courier New" w:hAnsi="Courier New"/>
                <w:sz w:val="15"/>
                <w:szCs w:val="15"/>
                <w:color w:val="auto"/>
              </w:rPr>
              <w:t>NEW ZEALAND</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Azusa Land Reclamation Company, Inc. (fka American Sheds)</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B&amp;E Cartage,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B&amp;L Disposal Co.</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 Holmes (Graded Paper) Ltd.</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B.C. Environmental Enterprises,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B.C.D.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Bad Bins Ltd.</w:t>
            </w:r>
          </w:p>
        </w:tc>
        <w:tc>
          <w:tcPr>
            <w:tcW w:w="2280" w:type="dxa"/>
            <w:vAlign w:val="bottom"/>
          </w:tcPr>
          <w:p>
            <w:pPr>
              <w:ind w:left="1240"/>
              <w:spacing w:after="0"/>
              <w:rPr>
                <w:sz w:val="20"/>
                <w:szCs w:val="20"/>
                <w:color w:val="auto"/>
              </w:rPr>
            </w:pPr>
            <w:r>
              <w:rPr>
                <w:rFonts w:ascii="Courier New" w:cs="Courier New" w:eastAsia="Courier New" w:hAnsi="Courier New"/>
                <w:sz w:val="15"/>
                <w:szCs w:val="15"/>
                <w:color w:val="auto"/>
              </w:rPr>
              <w:t>NEW ZEALAND</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Baltimore Environmental Recovery Group,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Baltimore Refuse Energy Systems Company, Limited Partnership</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Bayside of Marion,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Belpar Chemical Services,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Bensinger,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Big Valley Transport,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Bio-Energy Partners</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Biosolids Reuse Management (JV)</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Blandfill, Inc. (fka United Waste Landfill of UT)</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UT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Bluegrass Containment,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KY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Bolton Road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Boothscreek Sanitation,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Bosarge &amp; Edmonds Contractors,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MS</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Dba Robo</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Boudin's Waste &amp; Recycling,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MS</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Braddon Enterprises,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Brand Construction Services,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Brazoria County Recycling Center,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BCRC</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Brazoria County Recycling Center</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USA Brazoria County Landfill</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WRS Transfer Station</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Brem-Air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Brent Run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Bridgeport Resco Company L.P.</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Brushy Island Landfill, L.L.C.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Burnsville Sanitary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C&amp;D Sanitation and Recycling, LLC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CT</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C&amp;L Disposal Company,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Caire's CKC Enterprises,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Cal Sanitation Services,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ind w:left="880"/>
              <w:spacing w:after="0"/>
              <w:rPr>
                <w:sz w:val="20"/>
                <w:szCs w:val="20"/>
                <w:color w:val="auto"/>
              </w:rPr>
            </w:pPr>
            <w:r>
              <w:rPr>
                <w:rFonts w:ascii="Courier New" w:cs="Courier New" w:eastAsia="Courier New" w:hAnsi="Courier New"/>
                <w:sz w:val="15"/>
                <w:szCs w:val="15"/>
                <w:color w:val="auto"/>
              </w:rPr>
              <w:t>A-1 Sanitation</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Cal Sierra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Cal Sierra Transfer,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bl>
    <w:p>
      <w:pPr>
        <w:sectPr>
          <w:pgSz w:w="11900" w:h="16838" w:orient="portrait"/>
          <w:cols w:equalWidth="0" w:num="1">
            <w:col w:w="10219"/>
          </w:cols>
          <w:pgMar w:left="240" w:top="283"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Asbestos Monofill,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w:t>
      </w:r>
    </w:p>
    <w:p>
      <w:pPr>
        <w:spacing w:after="0" w:line="5" w:lineRule="exact"/>
        <w:rPr>
          <w:sz w:val="20"/>
          <w:szCs w:val="20"/>
          <w:color w:val="auto"/>
        </w:rPr>
      </w:pPr>
    </w:p>
    <w:p>
      <w:pPr>
        <w:sectPr>
          <w:pgSz w:w="11900" w:h="16838" w:orient="portrait"/>
          <w:cols w:equalWidth="0" w:num="2">
            <w:col w:w="7200" w:space="720"/>
            <w:col w:w="2299"/>
          </w:cols>
          <w:pgMar w:left="240" w:top="28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CAM</w:t>
      </w:r>
    </w:p>
    <w:p>
      <w:pPr>
        <w:sectPr>
          <w:pgSz w:w="11900" w:h="16838" w:orient="portrait"/>
          <w:cols w:equalWidth="0" w:num="1">
            <w:col w:w="10219"/>
          </w:cols>
          <w:pgMar w:left="240" w:top="28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Waste Recycling Systems, Inc.</w:t>
      </w:r>
    </w:p>
    <w:p>
      <w:pPr>
        <w:spacing w:after="0"/>
        <w:rPr>
          <w:sz w:val="20"/>
          <w:szCs w:val="20"/>
          <w:color w:val="auto"/>
        </w:rPr>
      </w:pPr>
      <w:r>
        <w:rPr>
          <w:rFonts w:ascii="Courier New" w:cs="Courier New" w:eastAsia="Courier New" w:hAnsi="Courier New"/>
          <w:sz w:val="15"/>
          <w:szCs w:val="15"/>
          <w:color w:val="auto"/>
        </w:rPr>
        <w:t>California Waste Systems, Inc.</w:t>
      </w:r>
    </w:p>
    <w:p>
      <w:pPr>
        <w:spacing w:after="0"/>
        <w:rPr>
          <w:sz w:val="20"/>
          <w:szCs w:val="20"/>
          <w:color w:val="auto"/>
        </w:rPr>
      </w:pPr>
      <w:r>
        <w:rPr>
          <w:rFonts w:ascii="Courier New" w:cs="Courier New" w:eastAsia="Courier New" w:hAnsi="Courier New"/>
          <w:sz w:val="15"/>
          <w:szCs w:val="15"/>
          <w:color w:val="auto"/>
        </w:rPr>
        <w:t>Campbell Wells Norm Corporation</w:t>
      </w:r>
    </w:p>
    <w:p>
      <w:pPr>
        <w:spacing w:after="0" w:line="238" w:lineRule="auto"/>
        <w:rPr>
          <w:sz w:val="20"/>
          <w:szCs w:val="20"/>
          <w:color w:val="auto"/>
        </w:rPr>
      </w:pPr>
      <w:r>
        <w:rPr>
          <w:rFonts w:ascii="Courier New" w:cs="Courier New" w:eastAsia="Courier New" w:hAnsi="Courier New"/>
          <w:sz w:val="15"/>
          <w:szCs w:val="15"/>
          <w:color w:val="auto"/>
        </w:rPr>
        <w:t>Canadian Waste Services Holdings, Inc.</w:t>
      </w:r>
    </w:p>
    <w:p>
      <w:pPr>
        <w:ind w:left="780"/>
        <w:spacing w:after="0"/>
        <w:rPr>
          <w:sz w:val="20"/>
          <w:szCs w:val="20"/>
          <w:color w:val="auto"/>
        </w:rPr>
      </w:pPr>
      <w:r>
        <w:rPr>
          <w:rFonts w:ascii="Courier New" w:cs="Courier New" w:eastAsia="Courier New" w:hAnsi="Courier New"/>
          <w:sz w:val="15"/>
          <w:szCs w:val="15"/>
          <w:color w:val="auto"/>
        </w:rPr>
        <w:t>Canadian Waste Services, Inc.</w:t>
      </w:r>
    </w:p>
    <w:p>
      <w:pPr>
        <w:ind w:left="1580"/>
        <w:spacing w:after="0"/>
        <w:rPr>
          <w:sz w:val="20"/>
          <w:szCs w:val="20"/>
          <w:color w:val="auto"/>
        </w:rPr>
      </w:pPr>
      <w:r>
        <w:rPr>
          <w:rFonts w:ascii="Courier New" w:cs="Courier New" w:eastAsia="Courier New" w:hAnsi="Courier New"/>
          <w:sz w:val="15"/>
          <w:szCs w:val="15"/>
          <w:color w:val="auto"/>
        </w:rPr>
        <w:t>635952 Ontario Inc.</w:t>
      </w:r>
    </w:p>
    <w:p>
      <w:pPr>
        <w:ind w:left="1580"/>
        <w:spacing w:after="0" w:line="238" w:lineRule="auto"/>
        <w:rPr>
          <w:sz w:val="20"/>
          <w:szCs w:val="20"/>
          <w:color w:val="auto"/>
        </w:rPr>
      </w:pPr>
      <w:r>
        <w:rPr>
          <w:rFonts w:ascii="Courier New" w:cs="Courier New" w:eastAsia="Courier New" w:hAnsi="Courier New"/>
          <w:sz w:val="15"/>
          <w:szCs w:val="15"/>
          <w:color w:val="auto"/>
        </w:rPr>
        <w:t>1263404 Ontario Inc.</w:t>
      </w:r>
    </w:p>
    <w:p>
      <w:pPr>
        <w:ind w:left="1580"/>
        <w:spacing w:after="0"/>
        <w:rPr>
          <w:sz w:val="20"/>
          <w:szCs w:val="20"/>
          <w:color w:val="auto"/>
        </w:rPr>
      </w:pPr>
      <w:r>
        <w:rPr>
          <w:rFonts w:ascii="Courier New" w:cs="Courier New" w:eastAsia="Courier New" w:hAnsi="Courier New"/>
          <w:sz w:val="15"/>
          <w:szCs w:val="15"/>
          <w:color w:val="auto"/>
        </w:rPr>
        <w:t>3368084 Canada Inc.</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Arthur Richer &amp; Fils Inc.</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Bestan Inc.</w:t>
      </w:r>
    </w:p>
    <w:p>
      <w:pPr>
        <w:ind w:left="1580"/>
        <w:spacing w:after="0"/>
        <w:rPr>
          <w:sz w:val="20"/>
          <w:szCs w:val="20"/>
          <w:color w:val="auto"/>
        </w:rPr>
      </w:pPr>
      <w:r>
        <w:rPr>
          <w:rFonts w:ascii="Courier New" w:cs="Courier New" w:eastAsia="Courier New" w:hAnsi="Courier New"/>
          <w:sz w:val="15"/>
          <w:szCs w:val="15"/>
          <w:color w:val="auto"/>
        </w:rPr>
        <w:t>Key Disposal, LTD.</w:t>
      </w:r>
    </w:p>
    <w:p>
      <w:pPr>
        <w:ind w:left="1580"/>
        <w:spacing w:after="0"/>
        <w:rPr>
          <w:sz w:val="20"/>
          <w:szCs w:val="20"/>
          <w:color w:val="auto"/>
        </w:rPr>
      </w:pPr>
      <w:r>
        <w:rPr>
          <w:rFonts w:ascii="Courier New" w:cs="Courier New" w:eastAsia="Courier New" w:hAnsi="Courier New"/>
          <w:sz w:val="15"/>
          <w:szCs w:val="15"/>
          <w:color w:val="auto"/>
        </w:rPr>
        <w:t>Intersan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CA</w:t>
      </w:r>
    </w:p>
    <w:p>
      <w:pPr>
        <w:spacing w:after="0"/>
        <w:rPr>
          <w:sz w:val="20"/>
          <w:szCs w:val="20"/>
          <w:color w:val="auto"/>
        </w:rPr>
      </w:pPr>
      <w:r>
        <w:rPr>
          <w:rFonts w:ascii="Courier New" w:cs="Courier New" w:eastAsia="Courier New" w:hAnsi="Courier New"/>
          <w:sz w:val="15"/>
          <w:szCs w:val="15"/>
          <w:color w:val="auto"/>
        </w:rPr>
        <w:t>CA</w:t>
      </w:r>
    </w:p>
    <w:p>
      <w:pPr>
        <w:spacing w:after="0"/>
        <w:rPr>
          <w:sz w:val="20"/>
          <w:szCs w:val="20"/>
          <w:color w:val="auto"/>
        </w:rPr>
      </w:pPr>
      <w:r>
        <w:rPr>
          <w:rFonts w:ascii="Courier New" w:cs="Courier New" w:eastAsia="Courier New" w:hAnsi="Courier New"/>
          <w:sz w:val="15"/>
          <w:szCs w:val="15"/>
          <w:color w:val="auto"/>
        </w:rPr>
        <w:t>LA</w:t>
      </w:r>
    </w:p>
    <w:p>
      <w:pPr>
        <w:spacing w:after="0" w:line="238" w:lineRule="auto"/>
        <w:rPr>
          <w:sz w:val="20"/>
          <w:szCs w:val="20"/>
          <w:color w:val="auto"/>
        </w:rPr>
      </w:pPr>
      <w:r>
        <w:rPr>
          <w:rFonts w:ascii="Courier New" w:cs="Courier New" w:eastAsia="Courier New" w:hAnsi="Courier New"/>
          <w:sz w:val="15"/>
          <w:szCs w:val="15"/>
          <w:color w:val="auto"/>
        </w:rPr>
        <w:t>ON</w:t>
      </w:r>
    </w:p>
    <w:p>
      <w:pPr>
        <w:spacing w:after="0"/>
        <w:rPr>
          <w:sz w:val="20"/>
          <w:szCs w:val="20"/>
          <w:color w:val="auto"/>
        </w:rPr>
      </w:pPr>
      <w:r>
        <w:rPr>
          <w:rFonts w:ascii="Courier New" w:cs="Courier New" w:eastAsia="Courier New" w:hAnsi="Courier New"/>
          <w:sz w:val="15"/>
          <w:szCs w:val="15"/>
          <w:color w:val="auto"/>
        </w:rPr>
        <w:t>ON</w:t>
      </w:r>
    </w:p>
    <w:p>
      <w:pPr>
        <w:spacing w:after="0"/>
        <w:rPr>
          <w:sz w:val="20"/>
          <w:szCs w:val="20"/>
          <w:color w:val="auto"/>
        </w:rPr>
      </w:pPr>
      <w:r>
        <w:rPr>
          <w:rFonts w:ascii="Courier New" w:cs="Courier New" w:eastAsia="Courier New" w:hAnsi="Courier New"/>
          <w:sz w:val="15"/>
          <w:szCs w:val="15"/>
          <w:color w:val="auto"/>
        </w:rPr>
        <w:t>ON</w:t>
      </w:r>
    </w:p>
    <w:p>
      <w:pPr>
        <w:spacing w:after="0" w:line="238" w:lineRule="auto"/>
        <w:rPr>
          <w:sz w:val="20"/>
          <w:szCs w:val="20"/>
          <w:color w:val="auto"/>
        </w:rPr>
      </w:pPr>
      <w:r>
        <w:rPr>
          <w:rFonts w:ascii="Courier New" w:cs="Courier New" w:eastAsia="Courier New" w:hAnsi="Courier New"/>
          <w:sz w:val="15"/>
          <w:szCs w:val="15"/>
          <w:color w:val="auto"/>
        </w:rPr>
        <w:t>ON</w:t>
      </w:r>
    </w:p>
    <w:p>
      <w:pPr>
        <w:spacing w:after="0"/>
        <w:rPr>
          <w:sz w:val="20"/>
          <w:szCs w:val="20"/>
          <w:color w:val="auto"/>
        </w:rPr>
      </w:pPr>
      <w:r>
        <w:rPr>
          <w:rFonts w:ascii="Courier New" w:cs="Courier New" w:eastAsia="Courier New" w:hAnsi="Courier New"/>
          <w:sz w:val="15"/>
          <w:szCs w:val="15"/>
          <w:color w:val="auto"/>
        </w:rPr>
        <w:t>ON</w:t>
      </w:r>
    </w:p>
    <w:p>
      <w:pPr>
        <w:spacing w:after="0"/>
        <w:rPr>
          <w:sz w:val="20"/>
          <w:szCs w:val="20"/>
          <w:color w:val="auto"/>
        </w:rPr>
      </w:pPr>
      <w:r>
        <w:rPr>
          <w:rFonts w:ascii="Courier New" w:cs="Courier New" w:eastAsia="Courier New" w:hAnsi="Courier New"/>
          <w:sz w:val="15"/>
          <w:szCs w:val="15"/>
          <w:color w:val="auto"/>
        </w:rPr>
        <w:t>ON</w:t>
      </w:r>
    </w:p>
    <w:p>
      <w:pPr>
        <w:spacing w:after="0"/>
        <w:rPr>
          <w:sz w:val="20"/>
          <w:szCs w:val="20"/>
          <w:color w:val="auto"/>
        </w:rPr>
      </w:pPr>
      <w:r>
        <w:rPr>
          <w:rFonts w:ascii="Courier New" w:cs="Courier New" w:eastAsia="Courier New" w:hAnsi="Courier New"/>
          <w:sz w:val="15"/>
          <w:szCs w:val="15"/>
          <w:color w:val="auto"/>
        </w:rPr>
        <w: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CDN</w:t>
      </w:r>
    </w:p>
    <w:p>
      <w:pPr>
        <w:spacing w:after="0" w:line="7" w:lineRule="exact"/>
        <w:rPr>
          <w:sz w:val="20"/>
          <w:szCs w:val="20"/>
          <w:color w:val="auto"/>
        </w:rPr>
      </w:pPr>
    </w:p>
    <w:p>
      <w:pPr>
        <w:sectPr>
          <w:pgSz w:w="11900" w:h="16838" w:orient="portrait"/>
          <w:cols w:equalWidth="0" w:num="2">
            <w:col w:w="7200" w:space="720"/>
            <w:col w:w="2299"/>
          </w:cols>
          <w:pgMar w:left="240" w:top="289" w:right="1440" w:bottom="1440" w:gutter="0" w:footer="0" w:header="0"/>
          <w:type w:val="continuous"/>
        </w:sectPr>
      </w:pPr>
    </w:p>
    <w:p>
      <w:pPr>
        <w:ind w:left="2380"/>
        <w:spacing w:after="0" w:line="238" w:lineRule="auto"/>
        <w:rPr>
          <w:sz w:val="20"/>
          <w:szCs w:val="20"/>
          <w:color w:val="auto"/>
        </w:rPr>
      </w:pPr>
      <w:r>
        <w:rPr>
          <w:rFonts w:ascii="Courier New" w:cs="Courier New" w:eastAsia="Courier New" w:hAnsi="Courier New"/>
          <w:sz w:val="15"/>
          <w:szCs w:val="15"/>
          <w:color w:val="auto"/>
        </w:rPr>
        <w:t>Location Sanico Ltee</w:t>
      </w:r>
    </w:p>
    <w:p>
      <w:pPr>
        <w:ind w:left="2380"/>
        <w:spacing w:after="0"/>
        <w:rPr>
          <w:sz w:val="20"/>
          <w:szCs w:val="20"/>
          <w:color w:val="auto"/>
        </w:rPr>
      </w:pPr>
      <w:r>
        <w:rPr>
          <w:rFonts w:ascii="Courier New" w:cs="Courier New" w:eastAsia="Courier New" w:hAnsi="Courier New"/>
          <w:sz w:val="15"/>
          <w:szCs w:val="15"/>
          <w:color w:val="auto"/>
        </w:rPr>
        <w:t>Dechex Ltee</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Centre de Tri Transit (1) Inc./Transit</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Sorting Center (1) Inc.</w:t>
      </w:r>
    </w:p>
    <w:p>
      <w:pPr>
        <w:sectPr>
          <w:pgSz w:w="11900" w:h="16838" w:orient="portrait"/>
          <w:cols w:equalWidth="0" w:num="1">
            <w:col w:w="102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Canterbury Waste Services Ltd.</w:t>
      </w:r>
    </w:p>
    <w:p>
      <w:pPr>
        <w:spacing w:after="0"/>
        <w:rPr>
          <w:sz w:val="20"/>
          <w:szCs w:val="20"/>
          <w:color w:val="auto"/>
        </w:rPr>
      </w:pPr>
      <w:r>
        <w:rPr>
          <w:rFonts w:ascii="Courier New" w:cs="Courier New" w:eastAsia="Courier New" w:hAnsi="Courier New"/>
          <w:sz w:val="15"/>
          <w:szCs w:val="15"/>
          <w:color w:val="auto"/>
        </w:rPr>
        <w:t>Capital Sanitation Company</w:t>
      </w:r>
    </w:p>
    <w:p>
      <w:pPr>
        <w:spacing w:after="0" w:line="238" w:lineRule="auto"/>
        <w:rPr>
          <w:sz w:val="20"/>
          <w:szCs w:val="20"/>
          <w:color w:val="auto"/>
        </w:rPr>
      </w:pPr>
      <w:r>
        <w:rPr>
          <w:rFonts w:ascii="Courier New" w:cs="Courier New" w:eastAsia="Courier New" w:hAnsi="Courier New"/>
          <w:sz w:val="15"/>
          <w:szCs w:val="15"/>
          <w:color w:val="auto"/>
        </w:rPr>
        <w:t>Caramella-Ballardini,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Cardinal Ridge Development,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Carmel Marina Corporation</w:t>
      </w:r>
    </w:p>
    <w:p>
      <w:pPr>
        <w:spacing w:after="0"/>
        <w:rPr>
          <w:sz w:val="20"/>
          <w:szCs w:val="20"/>
          <w:color w:val="auto"/>
        </w:rPr>
      </w:pPr>
      <w:r>
        <w:rPr>
          <w:rFonts w:ascii="Courier New" w:cs="Courier New" w:eastAsia="Courier New" w:hAnsi="Courier New"/>
          <w:sz w:val="15"/>
          <w:szCs w:val="15"/>
          <w:color w:val="auto"/>
        </w:rPr>
        <w:t>Carolina Grading, Inc.</w:t>
      </w:r>
    </w:p>
    <w:p>
      <w:pPr>
        <w:spacing w:after="0"/>
        <w:rPr>
          <w:sz w:val="20"/>
          <w:szCs w:val="20"/>
          <w:color w:val="auto"/>
        </w:rPr>
      </w:pPr>
      <w:r>
        <w:rPr>
          <w:rFonts w:ascii="Courier New" w:cs="Courier New" w:eastAsia="Courier New" w:hAnsi="Courier New"/>
          <w:sz w:val="15"/>
          <w:szCs w:val="15"/>
          <w:color w:val="auto"/>
        </w:rPr>
        <w:t>CDF Consolidated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ZEALAND</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NV</w:t>
      </w:r>
    </w:p>
    <w:p>
      <w:pPr>
        <w:ind w:left="340"/>
        <w:spacing w:after="0"/>
        <w:rPr>
          <w:sz w:val="20"/>
          <w:szCs w:val="20"/>
          <w:color w:val="auto"/>
        </w:rPr>
      </w:pPr>
      <w:r>
        <w:rPr>
          <w:rFonts w:ascii="Courier New" w:cs="Courier New" w:eastAsia="Courier New" w:hAnsi="Courier New"/>
          <w:sz w:val="15"/>
          <w:szCs w:val="15"/>
          <w:color w:val="auto"/>
        </w:rPr>
        <w:t>NV</w:t>
      </w:r>
    </w:p>
    <w:p>
      <w:pPr>
        <w:ind w:left="340"/>
        <w:spacing w:after="0"/>
        <w:rPr>
          <w:sz w:val="20"/>
          <w:szCs w:val="20"/>
          <w:color w:val="auto"/>
        </w:rPr>
      </w:pPr>
      <w:r>
        <w:rPr>
          <w:rFonts w:ascii="Courier New" w:cs="Courier New" w:eastAsia="Courier New" w:hAnsi="Courier New"/>
          <w:sz w:val="15"/>
          <w:szCs w:val="15"/>
          <w:color w:val="auto"/>
        </w:rPr>
        <w:t>OH</w:t>
      </w:r>
    </w:p>
    <w:p>
      <w:pPr>
        <w:ind w:left="340"/>
        <w:spacing w:after="0" w:line="238" w:lineRule="auto"/>
        <w:rPr>
          <w:sz w:val="20"/>
          <w:szCs w:val="20"/>
          <w:color w:val="auto"/>
        </w:rPr>
      </w:pPr>
      <w:r>
        <w:rPr>
          <w:rFonts w:ascii="Courier New" w:cs="Courier New" w:eastAsia="Courier New" w:hAnsi="Courier New"/>
          <w:sz w:val="15"/>
          <w:szCs w:val="15"/>
          <w:color w:val="auto"/>
        </w:rPr>
        <w:t>CA</w:t>
      </w:r>
    </w:p>
    <w:p>
      <w:pPr>
        <w:ind w:left="340"/>
        <w:spacing w:after="0"/>
        <w:rPr>
          <w:sz w:val="20"/>
          <w:szCs w:val="20"/>
          <w:color w:val="auto"/>
        </w:rPr>
      </w:pPr>
      <w:r>
        <w:rPr>
          <w:rFonts w:ascii="Courier New" w:cs="Courier New" w:eastAsia="Courier New" w:hAnsi="Courier New"/>
          <w:sz w:val="15"/>
          <w:szCs w:val="15"/>
          <w:color w:val="auto"/>
        </w:rPr>
        <w:t>SC</w:t>
      </w:r>
    </w:p>
    <w:p>
      <w:pPr>
        <w:ind w:left="340"/>
        <w:spacing w:after="0"/>
        <w:rPr>
          <w:sz w:val="20"/>
          <w:szCs w:val="20"/>
          <w:color w:val="auto"/>
        </w:rPr>
      </w:pPr>
      <w:r>
        <w:rPr>
          <w:rFonts w:ascii="Courier New" w:cs="Courier New" w:eastAsia="Courier New" w:hAnsi="Courier New"/>
          <w:sz w:val="15"/>
          <w:szCs w:val="15"/>
          <w:color w:val="auto"/>
        </w:rPr>
        <w:t>IL</w:t>
      </w:r>
    </w:p>
    <w:p>
      <w:pPr>
        <w:spacing w:after="0" w:line="1" w:lineRule="exact"/>
        <w:rPr>
          <w:sz w:val="20"/>
          <w:szCs w:val="20"/>
          <w:color w:val="auto"/>
        </w:rPr>
      </w:pPr>
    </w:p>
    <w:p>
      <w:pPr>
        <w:sectPr>
          <w:pgSz w:w="11900" w:h="16838" w:orient="portrait"/>
          <w:cols w:equalWidth="0" w:num="2">
            <w:col w:w="6860" w:space="720"/>
            <w:col w:w="2639"/>
          </w:cols>
          <w:pgMar w:left="240" w:top="289" w:right="1440" w:bottom="1440" w:gutter="0" w:footer="0" w:header="0"/>
          <w:type w:val="continuous"/>
        </w:sectPr>
      </w:pPr>
    </w:p>
    <w:p>
      <w:pPr>
        <w:ind w:left="780"/>
        <w:spacing w:after="0" w:line="238" w:lineRule="auto"/>
        <w:rPr>
          <w:sz w:val="20"/>
          <w:szCs w:val="20"/>
          <w:color w:val="auto"/>
        </w:rPr>
      </w:pPr>
      <w:r>
        <w:rPr>
          <w:rFonts w:ascii="Courier New" w:cs="Courier New" w:eastAsia="Courier New" w:hAnsi="Courier New"/>
          <w:sz w:val="15"/>
          <w:szCs w:val="15"/>
          <w:color w:val="auto"/>
        </w:rPr>
        <w:t>Dba Rolling Kleen Disposal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Dba Southern Illinois Transfer Station</w:t>
      </w:r>
    </w:p>
    <w:p>
      <w:pPr>
        <w:sectPr>
          <w:pgSz w:w="11900" w:h="16838" w:orient="portrait"/>
          <w:cols w:equalWidth="0" w:num="1">
            <w:col w:w="10219"/>
          </w:cols>
          <w:pgMar w:left="240" w:top="28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Cedar Hammock Refuse Disposal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FL</w:t>
      </w:r>
    </w:p>
    <w:p>
      <w:pPr>
        <w:spacing w:after="0" w:line="1" w:lineRule="exact"/>
        <w:rPr>
          <w:sz w:val="20"/>
          <w:szCs w:val="20"/>
          <w:color w:val="auto"/>
        </w:rPr>
      </w:pPr>
    </w:p>
    <w:p>
      <w:pPr>
        <w:sectPr>
          <w:pgSz w:w="11900" w:h="16838" w:orient="portrait"/>
          <w:cols w:equalWidth="0" w:num="2">
            <w:col w:w="7200" w:space="720"/>
            <w:col w:w="2299"/>
          </w:cols>
          <w:pgMar w:left="240" w:top="289"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Waste Management of Manatee County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Waste Management of Sarasota County</w:t>
      </w:r>
    </w:p>
    <w:p>
      <w:pPr>
        <w:sectPr>
          <w:pgSz w:w="11900" w:h="16838" w:orient="portrait"/>
          <w:cols w:equalWidth="0" w:num="1">
            <w:col w:w="10219"/>
          </w:cols>
          <w:pgMar w:left="240" w:top="28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Cedar Ridge Landfill, Inc.</w:t>
      </w:r>
    </w:p>
    <w:p>
      <w:pPr>
        <w:spacing w:after="0"/>
        <w:rPr>
          <w:sz w:val="20"/>
          <w:szCs w:val="20"/>
          <w:color w:val="auto"/>
        </w:rPr>
      </w:pPr>
      <w:r>
        <w:rPr>
          <w:rFonts w:ascii="Courier New" w:cs="Courier New" w:eastAsia="Courier New" w:hAnsi="Courier New"/>
          <w:sz w:val="15"/>
          <w:szCs w:val="15"/>
          <w:color w:val="auto"/>
        </w:rPr>
        <w:t>Central Disposal Systems,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Missouri Landfill,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Ceriani Cave</w:t>
      </w:r>
    </w:p>
    <w:p>
      <w:pPr>
        <w:spacing w:after="0"/>
        <w:rPr>
          <w:sz w:val="20"/>
          <w:szCs w:val="20"/>
          <w:color w:val="auto"/>
        </w:rPr>
      </w:pPr>
      <w:r>
        <w:rPr>
          <w:rFonts w:ascii="Courier New" w:cs="Courier New" w:eastAsia="Courier New" w:hAnsi="Courier New"/>
          <w:sz w:val="15"/>
          <w:szCs w:val="15"/>
          <w:color w:val="auto"/>
        </w:rPr>
        <w:t>Chadwick Road Landfill, Inc.</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DE</w:t>
      </w:r>
    </w:p>
    <w:p>
      <w:pPr>
        <w:ind w:left="80"/>
        <w:spacing w:after="0"/>
        <w:rPr>
          <w:sz w:val="20"/>
          <w:szCs w:val="20"/>
          <w:color w:val="auto"/>
        </w:rPr>
      </w:pPr>
      <w:r>
        <w:rPr>
          <w:rFonts w:ascii="Courier New" w:cs="Courier New" w:eastAsia="Courier New" w:hAnsi="Courier New"/>
          <w:sz w:val="15"/>
          <w:szCs w:val="15"/>
          <w:color w:val="auto"/>
        </w:rPr>
        <w:t>IA</w:t>
      </w:r>
    </w:p>
    <w:p>
      <w:pPr>
        <w:ind w:left="80"/>
        <w:spacing w:after="0"/>
        <w:rPr>
          <w:sz w:val="20"/>
          <w:szCs w:val="20"/>
          <w:color w:val="auto"/>
        </w:rPr>
      </w:pPr>
      <w:r>
        <w:rPr>
          <w:rFonts w:ascii="Courier New" w:cs="Courier New" w:eastAsia="Courier New" w:hAnsi="Courier New"/>
          <w:sz w:val="15"/>
          <w:szCs w:val="15"/>
          <w:color w:val="auto"/>
        </w:rPr>
        <w:t>MO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ITALY</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GA</w:t>
      </w:r>
    </w:p>
    <w:p>
      <w:pPr>
        <w:spacing w:after="0" w:line="5" w:lineRule="exact"/>
        <w:rPr>
          <w:sz w:val="20"/>
          <w:szCs w:val="20"/>
          <w:color w:val="auto"/>
        </w:rPr>
      </w:pPr>
    </w:p>
    <w:p>
      <w:pPr>
        <w:sectPr>
          <w:pgSz w:w="11900" w:h="16838" w:orient="portrait"/>
          <w:cols w:equalWidth="0" w:num="2">
            <w:col w:w="7120" w:space="720"/>
            <w:col w:w="2379"/>
          </w:cols>
          <w:pgMar w:left="240" w:top="289"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Dba Chadwick Road Landfill</w:t>
      </w:r>
    </w:p>
    <w:p>
      <w:pPr>
        <w:sectPr>
          <w:pgSz w:w="11900" w:h="16838" w:orient="portrait"/>
          <w:cols w:equalWidth="0" w:num="1">
            <w:col w:w="10219"/>
          </w:cols>
          <w:pgMar w:left="240" w:top="28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Development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ectPr>
          <w:pgSz w:w="11900" w:h="16838" w:orient="portrait"/>
          <w:cols w:equalWidth="0" w:num="2">
            <w:col w:w="7200" w:space="720"/>
            <w:col w:w="2299"/>
          </w:cols>
          <w:pgMar w:left="240" w:top="28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Monroeville Landfill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North Huntington Hauling</w:t>
      </w:r>
    </w:p>
    <w:p>
      <w:pPr>
        <w:sectPr>
          <w:pgSz w:w="11900" w:h="16838" w:orient="portrait"/>
          <w:cols w:equalWidth="0" w:num="1">
            <w:col w:w="10219"/>
          </w:cols>
          <w:pgMar w:left="240" w:top="28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Enterprises, Inc.</w:t>
      </w:r>
    </w:p>
    <w:p>
      <w:pPr>
        <w:spacing w:after="0"/>
        <w:rPr>
          <w:sz w:val="20"/>
          <w:szCs w:val="20"/>
          <w:color w:val="auto"/>
        </w:rPr>
      </w:pPr>
      <w:r>
        <w:rPr>
          <w:rFonts w:ascii="Courier New" w:cs="Courier New" w:eastAsia="Courier New" w:hAnsi="Courier New"/>
          <w:sz w:val="15"/>
          <w:szCs w:val="15"/>
          <w:color w:val="auto"/>
        </w:rPr>
        <w:t>Chambers International, Inc.</w:t>
      </w:r>
    </w:p>
    <w:p>
      <w:pPr>
        <w:ind w:left="780"/>
        <w:spacing w:after="0"/>
        <w:rPr>
          <w:sz w:val="20"/>
          <w:szCs w:val="20"/>
          <w:color w:val="auto"/>
        </w:rPr>
      </w:pPr>
      <w:r>
        <w:rPr>
          <w:rFonts w:ascii="Courier New" w:cs="Courier New" w:eastAsia="Courier New" w:hAnsi="Courier New"/>
          <w:sz w:val="15"/>
          <w:szCs w:val="15"/>
          <w:color w:val="auto"/>
        </w:rPr>
        <w:t>Chambers Development Europe B.V.</w:t>
      </w:r>
    </w:p>
    <w:p>
      <w:pPr>
        <w:ind w:left="780"/>
        <w:spacing w:after="0" w:line="238" w:lineRule="auto"/>
        <w:rPr>
          <w:sz w:val="20"/>
          <w:szCs w:val="20"/>
          <w:color w:val="auto"/>
        </w:rPr>
      </w:pPr>
      <w:r>
        <w:rPr>
          <w:rFonts w:ascii="Courier New" w:cs="Courier New" w:eastAsia="Courier New" w:hAnsi="Courier New"/>
          <w:sz w:val="15"/>
          <w:szCs w:val="15"/>
          <w:color w:val="auto"/>
        </w:rPr>
        <w:t>Chambers Europe B.V.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Medical Technologies of South Carolina,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w:t>
      </w:r>
    </w:p>
    <w:p>
      <w:pPr>
        <w:spacing w:after="0" w:line="1" w:lineRule="exact"/>
        <w:rPr>
          <w:sz w:val="20"/>
          <w:szCs w:val="20"/>
          <w:color w:val="auto"/>
        </w:rPr>
      </w:pPr>
    </w:p>
    <w:p>
      <w:pPr>
        <w:sectPr>
          <w:pgSz w:w="11900" w:h="16838" w:orient="portrait"/>
          <w:cols w:equalWidth="0" w:num="2">
            <w:col w:w="7200" w:space="720"/>
            <w:col w:w="2299"/>
          </w:cols>
          <w:pgMar w:left="240" w:top="289"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MedTec</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Medical Technologies</w:t>
      </w:r>
    </w:p>
    <w:p>
      <w:pPr>
        <w:sectPr>
          <w:pgSz w:w="11900" w:h="16838" w:orient="portrait"/>
          <w:cols w:equalWidth="0" w:num="1">
            <w:col w:w="10219"/>
          </w:cols>
          <w:pgMar w:left="240" w:top="289"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Medical Technologies,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Chambers of Delaware, Inc.</w:t>
      </w:r>
    </w:p>
    <w:p>
      <w:pPr>
        <w:spacing w:after="0"/>
        <w:rPr>
          <w:sz w:val="20"/>
          <w:szCs w:val="20"/>
          <w:color w:val="auto"/>
        </w:rPr>
      </w:pPr>
      <w:r>
        <w:rPr>
          <w:rFonts w:ascii="Courier New" w:cs="Courier New" w:eastAsia="Courier New" w:hAnsi="Courier New"/>
          <w:sz w:val="15"/>
          <w:szCs w:val="15"/>
          <w:color w:val="auto"/>
        </w:rPr>
        <w:t>Chambers of Massachusetts, Inc.</w:t>
      </w:r>
    </w:p>
    <w:p>
      <w:pPr>
        <w:spacing w:after="0"/>
        <w:rPr>
          <w:sz w:val="20"/>
          <w:szCs w:val="20"/>
          <w:color w:val="auto"/>
        </w:rPr>
      </w:pPr>
      <w:r>
        <w:rPr>
          <w:rFonts w:ascii="Courier New" w:cs="Courier New" w:eastAsia="Courier New" w:hAnsi="Courier New"/>
          <w:sz w:val="15"/>
          <w:szCs w:val="15"/>
          <w:color w:val="auto"/>
        </w:rPr>
        <w:t>Chambers of Mississippi, Inc.</w:t>
      </w:r>
    </w:p>
    <w:p>
      <w:pPr>
        <w:spacing w:after="0" w:line="238" w:lineRule="auto"/>
        <w:rPr>
          <w:sz w:val="20"/>
          <w:szCs w:val="20"/>
          <w:color w:val="auto"/>
        </w:rPr>
      </w:pPr>
      <w:r>
        <w:rPr>
          <w:rFonts w:ascii="Courier New" w:cs="Courier New" w:eastAsia="Courier New" w:hAnsi="Courier New"/>
          <w:sz w:val="15"/>
          <w:szCs w:val="15"/>
          <w:color w:val="auto"/>
        </w:rPr>
        <w:t>Chambers of New Jersey, Inc.</w:t>
      </w:r>
    </w:p>
    <w:p>
      <w:pPr>
        <w:spacing w:after="0"/>
        <w:rPr>
          <w:sz w:val="20"/>
          <w:szCs w:val="20"/>
          <w:color w:val="auto"/>
        </w:rPr>
      </w:pPr>
      <w:r>
        <w:rPr>
          <w:rFonts w:ascii="Courier New" w:cs="Courier New" w:eastAsia="Courier New" w:hAnsi="Courier New"/>
          <w:sz w:val="15"/>
          <w:szCs w:val="15"/>
          <w:color w:val="auto"/>
        </w:rPr>
        <w:t>Chambers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w:t>
      </w:r>
    </w:p>
    <w:p>
      <w:pPr>
        <w:spacing w:after="0"/>
        <w:rPr>
          <w:sz w:val="20"/>
          <w:szCs w:val="20"/>
          <w:color w:val="auto"/>
        </w:rPr>
      </w:pPr>
      <w:r>
        <w:rPr>
          <w:rFonts w:ascii="Courier New" w:cs="Courier New" w:eastAsia="Courier New" w:hAnsi="Courier New"/>
          <w:sz w:val="15"/>
          <w:szCs w:val="15"/>
          <w:color w:val="auto"/>
        </w:rPr>
        <w:t>DE</w:t>
      </w:r>
    </w:p>
    <w:p>
      <w:pPr>
        <w:spacing w:after="0"/>
        <w:rPr>
          <w:sz w:val="20"/>
          <w:szCs w:val="20"/>
          <w:color w:val="auto"/>
        </w:rPr>
      </w:pPr>
      <w:r>
        <w:rPr>
          <w:rFonts w:ascii="Courier New" w:cs="Courier New" w:eastAsia="Courier New" w:hAnsi="Courier New"/>
          <w:sz w:val="15"/>
          <w:szCs w:val="15"/>
          <w:color w:val="auto"/>
        </w:rPr>
        <w:t>MA</w:t>
      </w:r>
    </w:p>
    <w:p>
      <w:pPr>
        <w:spacing w:after="0" w:line="238" w:lineRule="auto"/>
        <w:rPr>
          <w:sz w:val="20"/>
          <w:szCs w:val="20"/>
          <w:color w:val="auto"/>
        </w:rPr>
      </w:pPr>
      <w:r>
        <w:rPr>
          <w:rFonts w:ascii="Courier New" w:cs="Courier New" w:eastAsia="Courier New" w:hAnsi="Courier New"/>
          <w:sz w:val="15"/>
          <w:szCs w:val="15"/>
          <w:color w:val="auto"/>
        </w:rPr>
        <w:t>MS</w:t>
      </w:r>
    </w:p>
    <w:p>
      <w:pPr>
        <w:spacing w:after="0"/>
        <w:rPr>
          <w:sz w:val="20"/>
          <w:szCs w:val="20"/>
          <w:color w:val="auto"/>
        </w:rPr>
      </w:pPr>
      <w:r>
        <w:rPr>
          <w:rFonts w:ascii="Courier New" w:cs="Courier New" w:eastAsia="Courier New" w:hAnsi="Courier New"/>
          <w:sz w:val="15"/>
          <w:szCs w:val="15"/>
          <w:color w:val="auto"/>
        </w:rPr>
        <w:t>NJ</w:t>
      </w:r>
    </w:p>
    <w:p>
      <w:pPr>
        <w:spacing w:after="0"/>
        <w:rPr>
          <w:sz w:val="20"/>
          <w:szCs w:val="20"/>
          <w:color w:val="auto"/>
        </w:rPr>
      </w:pPr>
      <w:r>
        <w:rPr>
          <w:rFonts w:ascii="Courier New" w:cs="Courier New" w:eastAsia="Courier New" w:hAnsi="Courier New"/>
          <w:sz w:val="15"/>
          <w:szCs w:val="15"/>
          <w:color w:val="auto"/>
        </w:rPr>
        <w:t>NY</w:t>
      </w:r>
    </w:p>
    <w:p>
      <w:pPr>
        <w:sectPr>
          <w:pgSz w:w="11900" w:h="16838" w:orient="portrait"/>
          <w:cols w:equalWidth="0" w:num="2">
            <w:col w:w="7200" w:space="720"/>
            <w:col w:w="2299"/>
          </w:cols>
          <w:pgMar w:left="240" w:top="289" w:right="1440"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2120" w:type="dxa"/>
            <w:vAlign w:val="bottom"/>
          </w:tcPr>
          <w:p>
            <w:pPr>
              <w:spacing w:after="0"/>
              <w:rPr>
                <w:sz w:val="14"/>
                <w:szCs w:val="14"/>
                <w:color w:val="auto"/>
              </w:rPr>
            </w:pPr>
          </w:p>
        </w:tc>
      </w:tr>
      <w:tr>
        <w:trPr>
          <w:trHeight w:val="848"/>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de Mexico, S.A. de C.V.</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MEXICO</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Ltd.</w:t>
            </w:r>
          </w:p>
        </w:tc>
        <w:tc>
          <w:tcPr>
            <w:tcW w:w="2120" w:type="dxa"/>
            <w:vAlign w:val="bottom"/>
          </w:tcPr>
          <w:p>
            <w:pPr>
              <w:ind w:left="1160"/>
              <w:spacing w:after="0"/>
              <w:rPr>
                <w:sz w:val="20"/>
                <w:szCs w:val="20"/>
                <w:color w:val="auto"/>
              </w:rPr>
            </w:pPr>
            <w:r>
              <w:rPr>
                <w:rFonts w:ascii="Courier New" w:cs="Courier New" w:eastAsia="Courier New" w:hAnsi="Courier New"/>
                <w:sz w:val="15"/>
                <w:szCs w:val="15"/>
                <w:color w:val="auto"/>
                <w:w w:val="94"/>
              </w:rPr>
              <w:t>NEW ZEALAND</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of Indiana, L.L.C.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of New Jersey,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of Pennsylvania,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of the Northwest,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WA</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Chemical Waste Management,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Trade Waste Incineration</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Chem-Nuclear Systems, LLC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Cheshire Sanitation,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NH</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Harris Trucking</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Tri-State Rubbish</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Chesser Island Road Landfill,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Chiquita Canyon Landfill, Inc. (fka Laidlaw W. S. (Chiquita)</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CID Landfill,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CID MRRF,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CID Refuse Service,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Disposal Services,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Landfill, Inc. of Florida</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Landfill, Inc. of Hastings</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 Services of West Michigan</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Express</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Hastings Sanitary Service</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Lubbers Resource Systems</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Landfill, Inc. of Lapeer</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Pioneer Rock Landfill</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Landfill, Inc. of Panama City</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Landfill, Inc. of Saginaw</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Saginaw Valley Landfill</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Inc. of Arecibo</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Inc. of Mid-Michigan</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CES-Saginaw</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CES- West Branch</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Express</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Inc. of Northern Michigan</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Express</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Inc. of Romulus</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Express</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Seagate Recycling</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Seagate Sanitation Services</w:t>
            </w:r>
          </w:p>
        </w:tc>
        <w:tc>
          <w:tcPr>
            <w:tcW w:w="2120" w:type="dxa"/>
            <w:vAlign w:val="bottom"/>
          </w:tcPr>
          <w:p>
            <w:pPr>
              <w:spacing w:after="0"/>
              <w:rPr>
                <w:sz w:val="14"/>
                <w:szCs w:val="14"/>
                <w:color w:val="auto"/>
              </w:rPr>
            </w:pP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Services, Inc. of Waters</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Environmental, Inc.</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City Management Corporation</w:t>
            </w:r>
          </w:p>
        </w:tc>
        <w:tc>
          <w:tcPr>
            <w:tcW w:w="212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Adam Refuse</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Brent Run</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CES - Montrose</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Disposal System</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 Contracting</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 Services East</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 Services of Montrose</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Environmental Services of Joilet</w:t>
            </w:r>
          </w:p>
        </w:tc>
        <w:tc>
          <w:tcPr>
            <w:tcW w:w="2120" w:type="dxa"/>
            <w:vAlign w:val="bottom"/>
          </w:tcPr>
          <w:p>
            <w:pPr>
              <w:spacing w:after="0"/>
              <w:rPr>
                <w:sz w:val="14"/>
                <w:szCs w:val="14"/>
                <w:color w:val="auto"/>
              </w:rPr>
            </w:pPr>
          </w:p>
        </w:tc>
      </w:tr>
      <w:tr>
        <w:trPr>
          <w:trHeight w:val="170"/>
        </w:trPr>
        <w:tc>
          <w:tcPr>
            <w:tcW w:w="6420" w:type="dxa"/>
            <w:vAlign w:val="bottom"/>
          </w:tcPr>
          <w:p>
            <w:pPr>
              <w:ind w:left="780"/>
              <w:spacing w:after="0"/>
              <w:rPr>
                <w:sz w:val="20"/>
                <w:szCs w:val="20"/>
                <w:color w:val="auto"/>
              </w:rPr>
            </w:pPr>
            <w:r>
              <w:rPr>
                <w:rFonts w:ascii="Courier New" w:cs="Courier New" w:eastAsia="Courier New" w:hAnsi="Courier New"/>
                <w:sz w:val="15"/>
                <w:szCs w:val="15"/>
                <w:color w:val="auto"/>
              </w:rPr>
              <w:t>City Equipment Company</w:t>
            </w:r>
          </w:p>
        </w:tc>
        <w:tc>
          <w:tcPr>
            <w:tcW w:w="212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320" w:type="dxa"/>
            <w:vAlign w:val="bottom"/>
          </w:tcPr>
          <w:p>
            <w:pPr>
              <w:spacing w:after="0"/>
              <w:rPr>
                <w:sz w:val="14"/>
                <w:szCs w:val="14"/>
                <w:color w:val="auto"/>
              </w:rPr>
            </w:pPr>
          </w:p>
        </w:tc>
      </w:tr>
      <w:tr>
        <w:trPr>
          <w:trHeight w:val="848"/>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Express</w:t>
            </w:r>
          </w:p>
        </w:tc>
        <w:tc>
          <w:tcPr>
            <w:tcW w:w="2320" w:type="dxa"/>
            <w:vAlign w:val="bottom"/>
          </w:tcPr>
          <w:p>
            <w:pPr>
              <w:spacing w:after="0"/>
              <w:rPr>
                <w:sz w:val="24"/>
                <w:szCs w:val="2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Liquid Treatment and Processing</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Municipal Services</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Recycling Center</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Sand &amp; Landfill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City Waste Systems</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D&amp;J Refuse Company</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G&amp;G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Gary's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J.L. Smith Refuse Service</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M&amp;M Contracting of Michigan</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M&amp;M Holding Company, Inc.</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Metro Waste Systems</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Michigan City Management Corporation</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Moore's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People's Garbage</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People's Garbage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People's Garbage Disposal of Midland/Gladwin</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Pollard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Premier Steel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Raska Disposal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Seymour Road Demolition</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Seymour Road Landfill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Soave-Volpe Hauling</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Trashbusters Transfer Station, Ltd.</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United Machinery Movers and Erectors</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Universal Waste &amp; Transit</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Whitefeather Development Company</w:t>
            </w:r>
          </w:p>
        </w:tc>
        <w:tc>
          <w:tcPr>
            <w:tcW w:w="232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Clarfield Recycling Ltd.</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Clayton-Ward Company,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Clearview Environmental Landfill,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MS</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Cleburne Landfill Company Corp.</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AL</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Cleburne Landfill Corporation</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Clements Waste Services,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Cloverdale Disposal,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CNS Holdings,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CNSI Sub,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Coast Waste Management,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Cocopah Landfill, Inc. (fka Southern Sanitation,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Codemonte Srl</w:t>
            </w:r>
          </w:p>
        </w:tc>
        <w:tc>
          <w:tcPr>
            <w:tcW w:w="2320" w:type="dxa"/>
            <w:vAlign w:val="bottom"/>
          </w:tcPr>
          <w:p>
            <w:pPr>
              <w:ind w:left="1540"/>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Colorado Landfill,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Columbia County Drop Off Box,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Forest Grove Disposal Service</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AC Trucking</w:t>
            </w:r>
          </w:p>
        </w:tc>
        <w:tc>
          <w:tcPr>
            <w:tcW w:w="232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Colusa Solid Waste &amp; Recycling,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Condusa Srl</w:t>
            </w:r>
          </w:p>
        </w:tc>
        <w:tc>
          <w:tcPr>
            <w:tcW w:w="2320" w:type="dxa"/>
            <w:vAlign w:val="bottom"/>
          </w:tcPr>
          <w:p>
            <w:pPr>
              <w:ind w:left="1540"/>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Connecticut Valley Sanitary Waste Disposal,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Conservation Services,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CO</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Container Recycling Alliance, L.P.</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Contractor Container Corporation</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Copper Mountain Landfill, Inc. (fka Copper State Recycling)</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AZ</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Corgest Srl</w:t>
            </w:r>
          </w:p>
        </w:tc>
        <w:tc>
          <w:tcPr>
            <w:tcW w:w="2320" w:type="dxa"/>
            <w:vAlign w:val="bottom"/>
          </w:tcPr>
          <w:p>
            <w:pPr>
              <w:ind w:left="1540"/>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Corning Disposal Service,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bl>
    <w:p>
      <w:pPr>
        <w:sectPr>
          <w:pgSz w:w="11900" w:h="16838" w:orient="portrait"/>
          <w:cols w:equalWidth="0" w:num="1">
            <w:col w:w="10219"/>
          </w:cols>
          <w:pgMar w:left="240" w:top="283" w:right="1440"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6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1800" w:type="dxa"/>
            <w:vAlign w:val="bottom"/>
          </w:tcPr>
          <w:p>
            <w:pPr>
              <w:spacing w:after="0"/>
              <w:rPr>
                <w:sz w:val="14"/>
                <w:szCs w:val="14"/>
                <w:color w:val="auto"/>
              </w:rPr>
            </w:pPr>
          </w:p>
        </w:tc>
      </w:tr>
      <w:tr>
        <w:trPr>
          <w:trHeight w:val="848"/>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Corti Fillippo Spa</w:t>
            </w:r>
          </w:p>
        </w:tc>
        <w:tc>
          <w:tcPr>
            <w:tcW w:w="1800" w:type="dxa"/>
            <w:vAlign w:val="bottom"/>
          </w:tcPr>
          <w:p>
            <w:pPr>
              <w:ind w:left="1280"/>
              <w:spacing w:after="0"/>
              <w:rPr>
                <w:sz w:val="20"/>
                <w:szCs w:val="20"/>
                <w:color w:val="auto"/>
              </w:rPr>
            </w:pPr>
            <w:r>
              <w:rPr>
                <w:rFonts w:ascii="Courier New" w:cs="Courier New" w:eastAsia="Courier New" w:hAnsi="Courier New"/>
                <w:sz w:val="15"/>
                <w:szCs w:val="15"/>
                <w:color w:val="auto"/>
              </w:rPr>
              <w:t>ITALY</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Coshocton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OH</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Cougar Landfill, Inc. (fka Cougar Holdings)</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TX</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Countryside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IL</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County-Wide Disposal,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CA</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Cunningham Properties Limited</w:t>
            </w:r>
          </w:p>
        </w:tc>
        <w:tc>
          <w:tcPr>
            <w:tcW w:w="1800" w:type="dxa"/>
            <w:vAlign w:val="bottom"/>
          </w:tcPr>
          <w:p>
            <w:pPr>
              <w:ind w:left="1180"/>
              <w:spacing w:after="0"/>
              <w:rPr>
                <w:sz w:val="20"/>
                <w:szCs w:val="20"/>
                <w:color w:val="auto"/>
              </w:rPr>
            </w:pPr>
            <w:r>
              <w:rPr>
                <w:rFonts w:ascii="Courier New" w:cs="Courier New" w:eastAsia="Courier New" w:hAnsi="Courier New"/>
                <w:sz w:val="15"/>
                <w:szCs w:val="15"/>
                <w:color w:val="auto"/>
                <w:w w:val="95"/>
              </w:rPr>
              <w:t>ONTARIO</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Cuyahoga Landfill, Inc. (fka CRSL)</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CWM Cement,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CWM Chemical Services, L.L.C.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CWM Resource Recovery,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OH</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D&amp;D Container Services Company,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UT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Dafter Sanitary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MI</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Dakota Landfill, Inc. (fka Big Dipper Enterprises)</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ND</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Dakota Resource Recovery,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MN</w:t>
            </w:r>
          </w:p>
        </w:tc>
      </w:tr>
      <w:tr>
        <w:trPr>
          <w:trHeight w:val="170"/>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United Waste Transfer</w:t>
            </w:r>
          </w:p>
        </w:tc>
        <w:tc>
          <w:tcPr>
            <w:tcW w:w="180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Dauphin Meadows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PA</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Davie Disposal Systems,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NE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Decker Disposal,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FL</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Deep Valley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Deer Track Park Landfill, Inc. (fka Sanifill of WI,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Advance Service Corp.</w:t>
            </w:r>
          </w:p>
        </w:tc>
        <w:tc>
          <w:tcPr>
            <w:tcW w:w="1800" w:type="dxa"/>
            <w:vAlign w:val="bottom"/>
          </w:tcPr>
          <w:p>
            <w:pPr>
              <w:spacing w:after="0"/>
              <w:rPr>
                <w:sz w:val="14"/>
                <w:szCs w:val="14"/>
                <w:color w:val="auto"/>
              </w:rPr>
            </w:pP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DeLand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Delaware Recyclable Products,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Deponie Bentheim Entsorgung Verwaltungsgeskellscaft mbH</w:t>
            </w:r>
          </w:p>
        </w:tc>
        <w:tc>
          <w:tcPr>
            <w:tcW w:w="1800" w:type="dxa"/>
            <w:vAlign w:val="bottom"/>
          </w:tcPr>
          <w:p>
            <w:pPr>
              <w:ind w:left="118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Dickinson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Disposal Service,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NV</w:t>
            </w:r>
          </w:p>
        </w:tc>
      </w:tr>
      <w:tr>
        <w:trPr>
          <w:trHeight w:val="170"/>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Disposal Services Medical Waste</w:t>
            </w:r>
          </w:p>
        </w:tc>
        <w:tc>
          <w:tcPr>
            <w:tcW w:w="180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Disposal Service,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WV</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Diversified Scientific Services,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TN</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Domenick Pucillo Disposal,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NJ</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Donno Company,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NY</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Drake's Sanitation,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AK</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Duluth Waste Marketing,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MN</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Durachem Limited Partnership</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MD</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Eager Beaver Sanitary Service,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OR</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Earthcorp, L.L.C.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Earthmovers Landfill, L.L.C.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 Columbia C&amp;D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SC</w:t>
            </w:r>
          </w:p>
        </w:tc>
      </w:tr>
      <w:tr>
        <w:trPr>
          <w:trHeight w:val="170"/>
        </w:trPr>
        <w:tc>
          <w:tcPr>
            <w:tcW w:w="6560" w:type="dxa"/>
            <w:vAlign w:val="bottom"/>
          </w:tcPr>
          <w:p>
            <w:pPr>
              <w:ind w:left="780"/>
              <w:spacing w:after="0"/>
              <w:rPr>
                <w:sz w:val="20"/>
                <w:szCs w:val="20"/>
                <w:color w:val="auto"/>
              </w:rPr>
            </w:pPr>
            <w:r>
              <w:rPr>
                <w:rFonts w:ascii="Courier New" w:cs="Courier New" w:eastAsia="Courier New" w:hAnsi="Courier New"/>
                <w:sz w:val="15"/>
                <w:szCs w:val="15"/>
                <w:color w:val="auto"/>
              </w:rPr>
              <w:t>(fka TNT Sands, Inc.)</w:t>
            </w:r>
          </w:p>
        </w:tc>
        <w:tc>
          <w:tcPr>
            <w:tcW w:w="1800" w:type="dxa"/>
            <w:vAlign w:val="bottom"/>
          </w:tcPr>
          <w:p>
            <w:pPr>
              <w:spacing w:after="0"/>
              <w:rPr>
                <w:sz w:val="14"/>
                <w:szCs w:val="14"/>
                <w:color w:val="auto"/>
              </w:rPr>
            </w:pP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 Liverpool Landfill,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OH</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Container Corporation</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Environmental Services of Florida,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FL</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Environmental Services of Indiana,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Environmental Services,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of Georgia, Inc. (formerly Pearless Waste Industries)</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Recycling of NJ,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Eastern Transfer of New York, Inc.</w:t>
            </w:r>
          </w:p>
        </w:tc>
        <w:tc>
          <w:tcPr>
            <w:tcW w:w="1800" w:type="dxa"/>
            <w:vAlign w:val="bottom"/>
          </w:tcPr>
          <w:p>
            <w:pPr>
              <w:ind w:left="1360"/>
              <w:spacing w:after="0"/>
              <w:rPr>
                <w:sz w:val="20"/>
                <w:szCs w:val="20"/>
                <w:color w:val="auto"/>
              </w:rPr>
            </w:pPr>
            <w:r>
              <w:rPr>
                <w:rFonts w:ascii="Courier New" w:cs="Courier New" w:eastAsia="Courier New" w:hAnsi="Courier New"/>
                <w:sz w:val="15"/>
                <w:szCs w:val="15"/>
                <w:color w:val="auto"/>
              </w:rPr>
              <w:t>DE</w:t>
            </w:r>
          </w:p>
        </w:tc>
      </w:tr>
    </w:tbl>
    <w:p>
      <w:pPr>
        <w:sectPr>
          <w:pgSz w:w="11900" w:h="16838" w:orient="portrait"/>
          <w:cols w:equalWidth="0" w:num="1">
            <w:col w:w="10219"/>
          </w:cols>
          <w:pgMar w:left="240" w:top="283" w:right="1440"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2560" w:type="dxa"/>
            <w:vAlign w:val="bottom"/>
          </w:tcPr>
          <w:p>
            <w:pPr>
              <w:spacing w:after="0"/>
              <w:rPr>
                <w:sz w:val="14"/>
                <w:szCs w:val="14"/>
                <w:color w:val="auto"/>
              </w:rPr>
            </w:pPr>
          </w:p>
        </w:tc>
      </w:tr>
      <w:tr>
        <w:trPr>
          <w:trHeight w:val="848"/>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Bethlehem,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LI,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New York,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NJ,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Pennsylvania,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Eastern Waste of West Virginia,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 Waste,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 West Corporation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MT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Ecoadda</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Ecocamuna Spa</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Ecocentro s.p.a.</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Eco-Consult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Ecol S.A.</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Ecologia meridoionale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Ecologica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Ecology Systems,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Ecolombardia 21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Ecopi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Ecoserve Limited</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Ecoservice Srl</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Ecoservizi S.p.A.</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Ecovision B.V.</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EESI Charter,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Egdemere Development,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Eksjo Rehallning AB</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 Coqui de San Juan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 Coqui Landfill Company,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 Coqui Waste Disposal,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 Coqui Waste Disposal,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5980" w:type="dxa"/>
            <w:vAlign w:val="bottom"/>
          </w:tcPr>
          <w:p>
            <w:pPr>
              <w:ind w:left="1580"/>
              <w:spacing w:after="0"/>
              <w:rPr>
                <w:sz w:val="20"/>
                <w:szCs w:val="20"/>
                <w:color w:val="auto"/>
              </w:rPr>
            </w:pPr>
            <w:r>
              <w:rPr>
                <w:rFonts w:ascii="Courier New" w:cs="Courier New" w:eastAsia="Courier New" w:hAnsi="Courier New"/>
                <w:sz w:val="15"/>
                <w:szCs w:val="15"/>
                <w:color w:val="auto"/>
              </w:rPr>
              <w:t>EC Waste,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 Dorado Disposal Service,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Elk River Landfill,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Elme Transport AB</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EMICA S.r.1.</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EMIG Trailer Sales,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Empire Wrecking Corporation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Envirofil,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Enviroland, Incorporated</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Environmental Control, Inc.</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NM</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Environmental Management Systems, Inc. (MI)</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Sumpter II Corp.</w:t>
            </w:r>
          </w:p>
        </w:tc>
        <w:tc>
          <w:tcPr>
            <w:tcW w:w="256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Environmental Technologies China Ltd.</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Environmental Transfer Corp.</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Environmental Transfer Corporation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Enviropace Ltd.</w:t>
            </w:r>
          </w:p>
        </w:tc>
        <w:tc>
          <w:tcPr>
            <w:tcW w:w="2560" w:type="dxa"/>
            <w:vAlign w:val="bottom"/>
          </w:tcPr>
          <w:p>
            <w:pPr>
              <w:jc w:val="center"/>
              <w:ind w:left="152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Equipment Credit Corporation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ERC Landfill, Inc. (fka Environmental Restoration)</w:t>
            </w:r>
          </w:p>
        </w:tc>
        <w:tc>
          <w:tcPr>
            <w:tcW w:w="25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9"/>
              </w:rPr>
              <w:t>OH</w:t>
            </w:r>
          </w:p>
        </w:tc>
      </w:tr>
    </w:tbl>
    <w:p>
      <w:pPr>
        <w:sectPr>
          <w:pgSz w:w="11900" w:h="16838" w:orient="portrait"/>
          <w:cols w:equalWidth="0" w:num="1">
            <w:col w:w="10219"/>
          </w:cols>
          <w:pgMar w:left="240" w:top="283" w:right="1440"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2100" w:type="dxa"/>
            <w:vAlign w:val="bottom"/>
          </w:tcPr>
          <w:p>
            <w:pPr>
              <w:spacing w:after="0"/>
              <w:rPr>
                <w:sz w:val="14"/>
                <w:szCs w:val="14"/>
                <w:color w:val="auto"/>
              </w:rPr>
            </w:pPr>
          </w:p>
        </w:tc>
      </w:tr>
      <w:tr>
        <w:trPr>
          <w:trHeight w:val="848"/>
        </w:trPr>
        <w:tc>
          <w:tcPr>
            <w:tcW w:w="6520" w:type="dxa"/>
            <w:vAlign w:val="bottom"/>
          </w:tcPr>
          <w:p>
            <w:pPr>
              <w:spacing w:after="0"/>
              <w:rPr>
                <w:sz w:val="20"/>
                <w:szCs w:val="20"/>
                <w:color w:val="auto"/>
              </w:rPr>
            </w:pPr>
            <w:r>
              <w:rPr>
                <w:rFonts w:ascii="Courier New" w:cs="Courier New" w:eastAsia="Courier New" w:hAnsi="Courier New"/>
                <w:sz w:val="15"/>
                <w:szCs w:val="15"/>
                <w:color w:val="auto"/>
              </w:rPr>
              <w:t>ESG Entsorgungswirtschaft Soest GmbH</w:t>
            </w:r>
          </w:p>
        </w:tc>
        <w:tc>
          <w:tcPr>
            <w:tcW w:w="210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Esposito Srl</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Ever Ready Drop Box</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Evergreen Landfill,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Farmer's Landfill,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Feather River Disposal,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Fernley Disposal,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Churchill County Refuse Service</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Fernley Sanitation</w:t>
            </w:r>
          </w:p>
        </w:tc>
        <w:tc>
          <w:tcPr>
            <w:tcW w:w="210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FFF,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Fibre Fuel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First Waste Ltd. (Guernsey)</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Fourth Avenue Holdings</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Frank Stamato &amp; Co.</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Freeth &amp; Brocks Bins Ltd.</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Front Range Landfill, Inc. (fka Sanifill of CO)</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Best Trash</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City Disposal</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ERD Landfill</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Franklin Street Transfer</w:t>
            </w:r>
          </w:p>
        </w:tc>
        <w:tc>
          <w:tcPr>
            <w:tcW w:w="210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Frontier Environmental,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Future-Tech Environmental Services,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G.C. Environmental,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G.I. Industries,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UT</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G.S.A. Scarl Srl</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GA Landfills,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Gallia Landfill,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Garnet of Maryland,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Gebr. Van Vliet B.V.</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Gedis Srl</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General Nuclear Systems,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General Sanitation Corporation</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Georgia Waste Systems,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B.J. Recycling and Disposal Facility</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Chapman Waste Disposal</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Rolling Hills Recycling and Disposal Facility</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Augusta- Aiken</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Atlanta</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Macon</w:t>
            </w:r>
          </w:p>
        </w:tc>
        <w:tc>
          <w:tcPr>
            <w:tcW w:w="210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GES Gesallschaft zur Entdorgung von Sekundaerrohstoffen mbH</w:t>
            </w:r>
          </w:p>
        </w:tc>
        <w:tc>
          <w:tcPr>
            <w:tcW w:w="210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Gesam Gestione Servizi Ambientali S.p.A.</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Gestion Des Rebuts D.M.P.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QUEBEC</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WMI Mauricie Bois- Franc</w:t>
            </w:r>
          </w:p>
        </w:tc>
        <w:tc>
          <w:tcPr>
            <w:tcW w:w="2100" w:type="dxa"/>
            <w:vAlign w:val="bottom"/>
          </w:tcPr>
          <w:p>
            <w:pPr>
              <w:spacing w:after="0"/>
              <w:rPr>
                <w:sz w:val="14"/>
                <w:szCs w:val="1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WMI Parc Hirondelles</w:t>
            </w:r>
          </w:p>
        </w:tc>
        <w:tc>
          <w:tcPr>
            <w:tcW w:w="2100" w:type="dxa"/>
            <w:vAlign w:val="bottom"/>
          </w:tcPr>
          <w:p>
            <w:pPr>
              <w:spacing w:after="0"/>
              <w:rPr>
                <w:sz w:val="14"/>
                <w:szCs w:val="14"/>
                <w:color w:val="auto"/>
              </w:rPr>
            </w:pP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Gestioni Ambientali, Srl</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GI Industries,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UT</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Glegg Industries, Inc.</w:t>
            </w:r>
          </w:p>
        </w:tc>
        <w:tc>
          <w:tcPr>
            <w:tcW w:w="210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ONTARIO</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Glenn County Disposal Service,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Glen's Sanitary Landfill,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Graham Road Recycling &amp; Disposal Facility, Inc. (Sanifill of WA)</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WA</w:t>
            </w:r>
          </w:p>
        </w:tc>
      </w:tr>
    </w:tbl>
    <w:p>
      <w:pPr>
        <w:sectPr>
          <w:pgSz w:w="11900" w:h="16838" w:orient="portrait"/>
          <w:cols w:equalWidth="0" w:num="1">
            <w:col w:w="10219"/>
          </w:cols>
          <w:pgMar w:left="240" w:top="283" w:right="1440"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4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2980" w:type="dxa"/>
            <w:vAlign w:val="bottom"/>
          </w:tcPr>
          <w:p>
            <w:pPr>
              <w:spacing w:after="0"/>
              <w:rPr>
                <w:sz w:val="14"/>
                <w:szCs w:val="14"/>
                <w:color w:val="auto"/>
              </w:rPr>
            </w:pPr>
          </w:p>
        </w:tc>
      </w:tr>
      <w:tr>
        <w:trPr>
          <w:trHeight w:val="848"/>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Grand Blanc Landfill,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Grand Central Sanitary Landfill,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Greater Manchester Sites Ltd.</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Green Valley Landfill Limited</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Greenfield WMI Transfer Limited</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Greenhills Landfill Restoration Limited</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Grupo WMX, S.A. De C.V.</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MEXICO</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Guang Jia Environmental Protection Co. Ltd.</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Guyan Transfer and Sanitation Service,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H.B.J.J., Incorporated</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H.S.S.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Ham Lake Haulers,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Hamm's Sanitation,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Harford Disposal,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Harper Employment Services,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Harris Sanitation,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Harwood Landfill, Inc. (fka PST Reclamation)</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Hedco Landfill Limited</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Hillsboro Landfill,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Hillside Maintenance Corporation</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Hite Construction,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Hollander Industriediensten Amsterdam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Hollister Disposal,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Holyoke Sanitary Landfill,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Hoot Landfill, L.L.C.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Hudson Jersey Sanitation Co.</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Ibka Miljoservice A/S</w:t>
            </w:r>
          </w:p>
        </w:tc>
        <w:tc>
          <w:tcPr>
            <w:tcW w:w="2980" w:type="dxa"/>
            <w:vAlign w:val="bottom"/>
          </w:tcPr>
          <w:p>
            <w:pPr>
              <w:jc w:val="center"/>
              <w:ind w:left="1767"/>
              <w:spacing w:after="0"/>
              <w:rPr>
                <w:sz w:val="20"/>
                <w:szCs w:val="20"/>
                <w:color w:val="auto"/>
              </w:rPr>
            </w:pPr>
            <w:r>
              <w:rPr>
                <w:rFonts w:ascii="Courier New" w:cs="Courier New" w:eastAsia="Courier New" w:hAnsi="Courier New"/>
                <w:sz w:val="15"/>
                <w:szCs w:val="15"/>
                <w:color w:val="auto"/>
                <w:w w:val="98"/>
              </w:rPr>
              <w:t>DENMARK</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Ichochema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Icopower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Icosloop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Icotech</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Icova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Icova Maltha Glasracylcing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IGM S.p.A.</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 Landfills, L.L.C.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Independent Disposal Services,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Independent Sanitation Company</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5640" w:type="dxa"/>
            <w:vAlign w:val="bottom"/>
          </w:tcPr>
          <w:p>
            <w:pPr>
              <w:ind w:left="780"/>
              <w:spacing w:after="0"/>
              <w:rPr>
                <w:sz w:val="20"/>
                <w:szCs w:val="20"/>
                <w:color w:val="auto"/>
              </w:rPr>
            </w:pPr>
            <w:r>
              <w:rPr>
                <w:rFonts w:ascii="Courier New" w:cs="Courier New" w:eastAsia="Courier New" w:hAnsi="Courier New"/>
                <w:sz w:val="15"/>
                <w:szCs w:val="15"/>
                <w:color w:val="auto"/>
              </w:rPr>
              <w:t>Incline Sanitation</w:t>
            </w:r>
          </w:p>
        </w:tc>
        <w:tc>
          <w:tcPr>
            <w:tcW w:w="2980" w:type="dxa"/>
            <w:vAlign w:val="bottom"/>
          </w:tcPr>
          <w:p>
            <w:pPr>
              <w:spacing w:after="0"/>
              <w:rPr>
                <w:sz w:val="14"/>
                <w:szCs w:val="14"/>
                <w:color w:val="auto"/>
              </w:rPr>
            </w:pP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Interport Paper Company Limited</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Interstate Recycling Corporation</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IRA S.r.1.</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 Bar J Land,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NE</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J&amp;S Sanitation,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 van Loenen en Zonen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Jaarstveld Groen En Milieu B.V.</w:t>
            </w:r>
          </w:p>
        </w:tc>
        <w:tc>
          <w:tcPr>
            <w:tcW w:w="2980" w:type="dxa"/>
            <w:vAlign w:val="bottom"/>
          </w:tcPr>
          <w:p>
            <w:pPr>
              <w:jc w:val="center"/>
              <w:ind w:left="178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Jahner Sanitation, Inc.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ND</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Jay County Landfill, L.L.C.</w:t>
            </w:r>
          </w:p>
        </w:tc>
        <w:tc>
          <w:tcPr>
            <w:tcW w:w="2980" w:type="dxa"/>
            <w:vAlign w:val="bottom"/>
          </w:tcPr>
          <w:p>
            <w:pPr>
              <w:jc w:val="center"/>
              <w:ind w:left="1687"/>
              <w:spacing w:after="0"/>
              <w:rPr>
                <w:sz w:val="20"/>
                <w:szCs w:val="20"/>
                <w:color w:val="auto"/>
              </w:rPr>
            </w:pPr>
            <w:r>
              <w:rPr>
                <w:rFonts w:ascii="Courier New" w:cs="Courier New" w:eastAsia="Courier New" w:hAnsi="Courier New"/>
                <w:sz w:val="15"/>
                <w:szCs w:val="15"/>
                <w:color w:val="auto"/>
                <w:w w:val="99"/>
              </w:rPr>
              <w:t>IN</w:t>
            </w:r>
          </w:p>
        </w:tc>
      </w:tr>
    </w:tbl>
    <w:p>
      <w:pPr>
        <w:sectPr>
          <w:pgSz w:w="11900" w:h="16838" w:orient="portrait"/>
          <w:cols w:equalWidth="0" w:num="1">
            <w:col w:w="10219"/>
          </w:cols>
          <w:pgMar w:left="240" w:top="283" w:right="1440"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6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848"/>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Jefferson</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County</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Landfill, L.L.C.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John B. &amp;</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Sons,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John Smith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Johnson Canyon Road Disposal Site,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Jolon Road Landfill Corporation</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Jones Sanitation, L.L.C.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Junker Sanitation Services,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78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of Minnesota</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Jydsk Milijoservice A/S</w:t>
            </w:r>
          </w:p>
        </w:tc>
        <w:tc>
          <w:tcPr>
            <w:tcW w:w="220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8"/>
              </w:rPr>
              <w:t>DENMARK</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 and W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KAB-WMI Sdn. Bhd</w:t>
            </w:r>
          </w:p>
        </w:tc>
        <w:tc>
          <w:tcPr>
            <w:tcW w:w="4980" w:type="dxa"/>
            <w:vAlign w:val="bottom"/>
          </w:tcPr>
          <w:p>
            <w:pPr>
              <w:spacing w:after="0"/>
              <w:rPr>
                <w:sz w:val="14"/>
                <w:szCs w:val="14"/>
                <w:color w:val="auto"/>
              </w:rPr>
            </w:pP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MALAYSIA</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Kahle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Keene Road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Kelley Run Hauling,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Kelly Run</w:t>
            </w:r>
          </w:p>
        </w:tc>
        <w:tc>
          <w:tcPr>
            <w:tcW w:w="56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Sanitation,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(Middle East) Limited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CYPRUS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Africa (Botswana) Partnership</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BOTSWANA</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Africa (Malawi) Partnership</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MALAWI</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Building Services Limited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Generation &amp; Industrial Limited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Information Systems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International Ltd.</w:t>
            </w:r>
          </w:p>
        </w:tc>
        <w:tc>
          <w:tcPr>
            <w:tcW w:w="2200" w:type="dxa"/>
            <w:vAlign w:val="bottom"/>
          </w:tcPr>
          <w:p>
            <w:pPr>
              <w:jc w:val="center"/>
              <w:ind w:left="100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Malaysia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Overseas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Power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Quality Engineering</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Systems Control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Kennedy &amp;</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w w:val="99"/>
              </w:rPr>
              <w:t>Donkin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Transportation Ltd.</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Ken's Pickup Service,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78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United Waste Systems of Northern Michigan</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Kershaw County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SC</w:t>
            </w:r>
          </w:p>
        </w:tc>
      </w:tr>
      <w:tr>
        <w:trPr>
          <w:trHeight w:val="170"/>
        </w:trPr>
        <w:tc>
          <w:tcPr>
            <w:tcW w:w="78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(fka USA Waste Kershaw County, Landfill, Inc.)</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Kimmins Recycling Corporation</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King George Landfill, Inc. (fka Garnet of VA)</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VA</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Klamath Disposal,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Klok Containers B.V.</w:t>
            </w:r>
          </w:p>
        </w:tc>
        <w:tc>
          <w:tcPr>
            <w:tcW w:w="2200" w:type="dxa"/>
            <w:vAlign w:val="bottom"/>
          </w:tcPr>
          <w:p>
            <w:pPr>
              <w:jc w:val="center"/>
              <w:ind w:left="10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Knutson Material</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Recovery Facility,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Knutson Services,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7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Knutson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Kleen Sweep</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L&amp;K Debris Box Service</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780" w:type="dxa"/>
            <w:vAlign w:val="bottom"/>
          </w:tcPr>
          <w:p>
            <w:pPr>
              <w:spacing w:after="0"/>
              <w:rPr>
                <w:sz w:val="14"/>
                <w:szCs w:val="14"/>
                <w:color w:val="auto"/>
              </w:rPr>
            </w:pPr>
          </w:p>
        </w:tc>
        <w:tc>
          <w:tcPr>
            <w:tcW w:w="5640" w:type="dxa"/>
            <w:vAlign w:val="bottom"/>
            <w:gridSpan w:val="2"/>
          </w:tcPr>
          <w:p>
            <w:pPr>
              <w:spacing w:after="0"/>
              <w:rPr>
                <w:sz w:val="20"/>
                <w:szCs w:val="20"/>
                <w:color w:val="auto"/>
              </w:rPr>
            </w:pPr>
            <w:r>
              <w:rPr>
                <w:rFonts w:ascii="Courier New" w:cs="Courier New" w:eastAsia="Courier New" w:hAnsi="Courier New"/>
                <w:sz w:val="15"/>
                <w:szCs w:val="15"/>
                <w:color w:val="auto"/>
              </w:rPr>
              <w:t>L &amp; K Disposal</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L&amp;M Landfill,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Laidlaw Waste Systems (Valley View), L.L.C.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gridSpan w:val="2"/>
          </w:tcPr>
          <w:p>
            <w:pPr>
              <w:spacing w:after="0"/>
              <w:rPr>
                <w:sz w:val="20"/>
                <w:szCs w:val="20"/>
                <w:color w:val="auto"/>
              </w:rPr>
            </w:pPr>
            <w:r>
              <w:rPr>
                <w:rFonts w:ascii="Courier New" w:cs="Courier New" w:eastAsia="Courier New" w:hAnsi="Courier New"/>
                <w:sz w:val="15"/>
                <w:szCs w:val="15"/>
                <w:color w:val="auto"/>
                <w:w w:val="98"/>
              </w:rPr>
              <w:t>Land Reclamation</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Company,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7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Kestrel</w:t>
            </w:r>
          </w:p>
        </w:tc>
        <w:tc>
          <w:tcPr>
            <w:tcW w:w="4980" w:type="dxa"/>
            <w:vAlign w:val="bottom"/>
          </w:tcPr>
          <w:p>
            <w:pPr>
              <w:ind w:left="40"/>
              <w:spacing w:after="0"/>
              <w:rPr>
                <w:sz w:val="20"/>
                <w:szCs w:val="20"/>
                <w:color w:val="auto"/>
              </w:rPr>
            </w:pPr>
            <w:r>
              <w:rPr>
                <w:rFonts w:ascii="Courier New" w:cs="Courier New" w:eastAsia="Courier New" w:hAnsi="Courier New"/>
                <w:sz w:val="15"/>
                <w:szCs w:val="15"/>
                <w:color w:val="auto"/>
              </w:rPr>
              <w:t>Hawk Park Landfill</w:t>
            </w:r>
          </w:p>
        </w:tc>
        <w:tc>
          <w:tcPr>
            <w:tcW w:w="220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Landfill of Union County, L.L.C.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Landfill Services of Charleston, Inc. (fka WVA Waste Services)</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Landfill Systems, Inc.</w:t>
            </w:r>
          </w:p>
        </w:tc>
        <w:tc>
          <w:tcPr>
            <w:tcW w:w="22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NM</w:t>
            </w:r>
          </w:p>
        </w:tc>
      </w:tr>
    </w:tbl>
    <w:p>
      <w:pPr>
        <w:sectPr>
          <w:pgSz w:w="11900" w:h="16838" w:orient="portrait"/>
          <w:cols w:equalWidth="0" w:num="1">
            <w:col w:w="10219"/>
          </w:cols>
          <w:pgMar w:left="240" w:top="283" w:right="1440"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800" w:type="dxa"/>
            <w:vAlign w:val="bottom"/>
          </w:tcPr>
          <w:p>
            <w:pPr>
              <w:spacing w:after="0"/>
              <w:rPr>
                <w:sz w:val="14"/>
                <w:szCs w:val="14"/>
                <w:color w:val="auto"/>
              </w:rPr>
            </w:pPr>
          </w:p>
        </w:tc>
      </w:tr>
      <w:tr>
        <w:trPr>
          <w:trHeight w:val="848"/>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Landfill Systems</w:t>
            </w:r>
          </w:p>
        </w:tc>
        <w:tc>
          <w:tcPr>
            <w:tcW w:w="1800" w:type="dxa"/>
            <w:vAlign w:val="bottom"/>
          </w:tcPr>
          <w:p>
            <w:pPr>
              <w:spacing w:after="0"/>
              <w:rPr>
                <w:sz w:val="24"/>
                <w:szCs w:val="2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Larry's Sanitary Service,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Lassen Waste Lines,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Lassen Waste Systems,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Laurel Highlands Landfill,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Laurel Ridge Landfill, L.L.C.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LCS Services,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LCS Landfill</w:t>
            </w:r>
          </w:p>
        </w:tc>
        <w:tc>
          <w:tcPr>
            <w:tcW w:w="1800" w:type="dxa"/>
            <w:vAlign w:val="bottom"/>
          </w:tcPr>
          <w:p>
            <w:pPr>
              <w:spacing w:after="0"/>
              <w:rPr>
                <w:sz w:val="14"/>
                <w:szCs w:val="14"/>
                <w:color w:val="auto"/>
              </w:rPr>
            </w:pPr>
          </w:p>
        </w:tc>
      </w:tr>
      <w:tr>
        <w:trPr>
          <w:trHeight w:val="170"/>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North Mountain Landfill</w:t>
            </w:r>
          </w:p>
        </w:tc>
        <w:tc>
          <w:tcPr>
            <w:tcW w:w="1800" w:type="dxa"/>
            <w:vAlign w:val="bottom"/>
          </w:tcPr>
          <w:p>
            <w:pPr>
              <w:spacing w:after="0"/>
              <w:rPr>
                <w:sz w:val="14"/>
                <w:szCs w:val="1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Leroy Brown Landfill, Inc. (fka Envirofil of IL)</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Lewis Road Disposal Site,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LFG Production (Partnership)</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LG-Garnet of Maryland JV</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DC</w:t>
            </w:r>
          </w:p>
        </w:tc>
      </w:tr>
      <w:tr>
        <w:trPr>
          <w:trHeight w:val="170"/>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(LG Industries, Inc. owns 50 % and LG-Garnet of Maryland Joint</w:t>
            </w:r>
          </w:p>
        </w:tc>
        <w:tc>
          <w:tcPr>
            <w:tcW w:w="1800" w:type="dxa"/>
            <w:vAlign w:val="bottom"/>
          </w:tcPr>
          <w:p>
            <w:pPr>
              <w:spacing w:after="0"/>
              <w:rPr>
                <w:sz w:val="14"/>
                <w:szCs w:val="14"/>
                <w:color w:val="auto"/>
              </w:rPr>
            </w:pPr>
          </w:p>
        </w:tc>
      </w:tr>
      <w:tr>
        <w:trPr>
          <w:trHeight w:val="170"/>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Venture owns 50%)</w:t>
            </w:r>
          </w:p>
        </w:tc>
        <w:tc>
          <w:tcPr>
            <w:tcW w:w="1800" w:type="dxa"/>
            <w:vAlign w:val="bottom"/>
          </w:tcPr>
          <w:p>
            <w:pPr>
              <w:spacing w:after="0"/>
              <w:rPr>
                <w:sz w:val="14"/>
                <w:szCs w:val="14"/>
                <w:color w:val="auto"/>
              </w:rPr>
            </w:pPr>
          </w:p>
        </w:tc>
      </w:tr>
      <w:tr>
        <w:trPr>
          <w:trHeight w:val="170"/>
        </w:trPr>
        <w:tc>
          <w:tcPr>
            <w:tcW w:w="6820" w:type="dxa"/>
            <w:vAlign w:val="bottom"/>
          </w:tcPr>
          <w:p>
            <w:pPr>
              <w:ind w:left="780"/>
              <w:spacing w:after="0"/>
              <w:rPr>
                <w:sz w:val="20"/>
                <w:szCs w:val="20"/>
                <w:color w:val="auto"/>
              </w:rPr>
            </w:pPr>
            <w:r>
              <w:rPr>
                <w:rFonts w:ascii="Courier New" w:cs="Courier New" w:eastAsia="Courier New" w:hAnsi="Courier New"/>
                <w:sz w:val="15"/>
                <w:szCs w:val="15"/>
                <w:color w:val="auto"/>
              </w:rPr>
              <w:t>DC U line Transfer</w:t>
            </w:r>
          </w:p>
        </w:tc>
        <w:tc>
          <w:tcPr>
            <w:tcW w:w="1800" w:type="dxa"/>
            <w:vAlign w:val="bottom"/>
          </w:tcPr>
          <w:p>
            <w:pPr>
              <w:spacing w:after="0"/>
              <w:rPr>
                <w:sz w:val="14"/>
                <w:szCs w:val="14"/>
                <w:color w:val="auto"/>
              </w:rPr>
            </w:pP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Liberty Landfill, L.L.C.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Liquid Waste Management,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Living Earth Joint Venture Company Ltd.</w:t>
            </w:r>
          </w:p>
        </w:tc>
        <w:tc>
          <w:tcPr>
            <w:tcW w:w="18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Ljungby Renhallning &amp; Transport AB</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Ljusne Renhallnings AB</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Local Sanitation of Rowan County, L.L.C.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Lo-Cost Waste Disposal, Inc.</w:t>
            </w:r>
          </w:p>
        </w:tc>
        <w:tc>
          <w:tcPr>
            <w:tcW w:w="180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8"/>
              </w:rPr>
              <w:t>ALBERTA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Lodi Sanitary City Disposal Co.,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Group,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Buchanan County,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Kansas City,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Livingston County,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Mercer County I,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Mercer County,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Mid-Missouri,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Ocean County,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Pettis County,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Longview of St. Joseph,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MO</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Loristan Services Limited</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M&amp;O Waste Management Limited Partnership</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M.P.S. Medical Package Service srl</w:t>
            </w:r>
          </w:p>
        </w:tc>
        <w:tc>
          <w:tcPr>
            <w:tcW w:w="18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M.S.T.S. , Limited Partnership</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M.S.T.S.,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Maack Enterprises</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Mahoning Landfill,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Malardalens Tankservice AB</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Manliba SA</w:t>
            </w:r>
          </w:p>
        </w:tc>
        <w:tc>
          <w:tcPr>
            <w:tcW w:w="18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Maplewood Landfill, Inc. (fka Chambers Energy)</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VA</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Marangi Brothers, Inc.</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Mashor &amp; Reym Charters Sdn. Bhd Brunei</w:t>
            </w:r>
          </w:p>
        </w:tc>
        <w:tc>
          <w:tcPr>
            <w:tcW w:w="18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Mashor Reym Sdn Shd Malaysia</w:t>
            </w:r>
          </w:p>
        </w:tc>
        <w:tc>
          <w:tcPr>
            <w:tcW w:w="1800" w:type="dxa"/>
            <w:vAlign w:val="bottom"/>
          </w:tcPr>
          <w:p>
            <w:pPr>
              <w:jc w:val="center"/>
              <w:ind w:left="6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Mashr &amp; Reym Charters Sdn Bhd</w:t>
            </w:r>
          </w:p>
        </w:tc>
        <w:tc>
          <w:tcPr>
            <w:tcW w:w="1800" w:type="dxa"/>
            <w:vAlign w:val="bottom"/>
          </w:tcPr>
          <w:p>
            <w:pPr>
              <w:jc w:val="center"/>
              <w:ind w:left="507"/>
              <w:spacing w:after="0"/>
              <w:rPr>
                <w:sz w:val="20"/>
                <w:szCs w:val="20"/>
                <w:color w:val="auto"/>
              </w:rPr>
            </w:pPr>
            <w:r>
              <w:rPr>
                <w:rFonts w:ascii="Courier New" w:cs="Courier New" w:eastAsia="Courier New" w:hAnsi="Courier New"/>
                <w:sz w:val="15"/>
                <w:szCs w:val="15"/>
                <w:color w:val="auto"/>
                <w:w w:val="99"/>
              </w:rPr>
              <w:t>BRUNEI</w:t>
            </w:r>
          </w:p>
        </w:tc>
      </w:tr>
    </w:tbl>
    <w:p>
      <w:pPr>
        <w:sectPr>
          <w:pgSz w:w="11900" w:h="16838" w:orient="portrait"/>
          <w:cols w:equalWidth="0" w:num="1">
            <w:col w:w="10219"/>
          </w:cols>
          <w:pgMar w:left="240" w:top="283" w:right="1440"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2640" w:type="dxa"/>
            <w:vAlign w:val="bottom"/>
          </w:tcPr>
          <w:p>
            <w:pPr>
              <w:spacing w:after="0"/>
              <w:rPr>
                <w:sz w:val="14"/>
                <w:szCs w:val="14"/>
                <w:color w:val="auto"/>
              </w:rPr>
            </w:pPr>
          </w:p>
        </w:tc>
      </w:tr>
      <w:tr>
        <w:trPr>
          <w:trHeight w:val="848"/>
        </w:trPr>
        <w:tc>
          <w:tcPr>
            <w:tcW w:w="5980" w:type="dxa"/>
            <w:vAlign w:val="bottom"/>
          </w:tcPr>
          <w:p>
            <w:pPr>
              <w:spacing w:after="0"/>
              <w:rPr>
                <w:sz w:val="20"/>
                <w:szCs w:val="20"/>
                <w:color w:val="auto"/>
              </w:rPr>
            </w:pPr>
            <w:r>
              <w:rPr>
                <w:rFonts w:ascii="Courier New" w:cs="Courier New" w:eastAsia="Courier New" w:hAnsi="Courier New"/>
                <w:sz w:val="15"/>
                <w:szCs w:val="15"/>
                <w:color w:val="auto"/>
              </w:rPr>
              <w:t>Massachusetts Refusetech,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McDaniel Landfill,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ND</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McGinnes Industrial Maintenance Corp.</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Meadowfill Landfill,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Megastock, Ltd.</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Michigan Environs,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United  Waste Systems of Menominee</w:t>
            </w:r>
          </w:p>
        </w:tc>
        <w:tc>
          <w:tcPr>
            <w:tcW w:w="264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Mid Valley Portable Storage,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Middle Island Enterprises,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Middlemass Holdings Pty Limited</w:t>
            </w:r>
          </w:p>
        </w:tc>
        <w:tc>
          <w:tcPr>
            <w:tcW w:w="2640" w:type="dxa"/>
            <w:vAlign w:val="bottom"/>
          </w:tcPr>
          <w:p>
            <w:pPr>
              <w:jc w:val="center"/>
              <w:ind w:left="144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Middlemass Industrial Services Pty Limited</w:t>
            </w:r>
          </w:p>
        </w:tc>
        <w:tc>
          <w:tcPr>
            <w:tcW w:w="2640" w:type="dxa"/>
            <w:vAlign w:val="bottom"/>
          </w:tcPr>
          <w:p>
            <w:pPr>
              <w:jc w:val="center"/>
              <w:ind w:left="144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Midwest Transport,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WI</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Minneapolis Refuse, Incorporated (23.826%-owned)</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Missouri Disposal Partners, L.P.</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M-L Commercial Garbage Service,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M-Land Corp</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Monmouth Processing Company</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Moor Refuse,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Mountain Indemnity Insurance Company</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VT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Mountainview Landfill, Inc. (fka Chambers of MD)</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MSTS. Lizenz GmbH</w:t>
            </w:r>
          </w:p>
        </w:tc>
        <w:tc>
          <w:tcPr>
            <w:tcW w:w="264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Mull Entsorgung West GmbH &amp; Co. KG</w:t>
            </w:r>
          </w:p>
        </w:tc>
        <w:tc>
          <w:tcPr>
            <w:tcW w:w="264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Mull Entsorgung West Verwaltungs GmbH</w:t>
            </w:r>
          </w:p>
        </w:tc>
        <w:tc>
          <w:tcPr>
            <w:tcW w:w="264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Municipal Waste and Service Corp.</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Napa Garbage Service,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Napa Valley Disposal Service,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Nassjo Renhallning AB</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National Guaranty Insurance Company</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VT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National Seal Company</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Neal Road Landfill Corporation</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Neotec Srl</w:t>
            </w:r>
          </w:p>
        </w:tc>
        <w:tc>
          <w:tcPr>
            <w:tcW w:w="2640" w:type="dxa"/>
            <w:vAlign w:val="bottom"/>
          </w:tcPr>
          <w:p>
            <w:pPr>
              <w:jc w:val="center"/>
              <w:ind w:left="144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Nevada City Garbage Service,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Nevada County Transfer,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New England CR,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New Milford Landfill, L.L.C.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NH/VT Energy Recovery Corporation</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NH</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Nichols Sanitation,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Lake Placid Sanitation</w:t>
            </w:r>
          </w:p>
        </w:tc>
        <w:tc>
          <w:tcPr>
            <w:tcW w:w="264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 Broward County Resource Recovery Project,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 Broward Holdings,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 Hennepin Recycling &amp; Transfer Corporation</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 Valley Disposal Service,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Northeast Hauling Company,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Northeast Waste Systems,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CT</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Northern Recycling,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Northwestern Landfill, Inc.</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Norwaste Limited</w:t>
            </w:r>
          </w:p>
        </w:tc>
        <w:tc>
          <w:tcPr>
            <w:tcW w:w="26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6"/>
              </w:rPr>
              <w:t>UNITED KINGDOM</w:t>
            </w:r>
          </w:p>
        </w:tc>
      </w:tr>
    </w:tbl>
    <w:p>
      <w:pPr>
        <w:sectPr>
          <w:pgSz w:w="11900" w:h="16838" w:orient="portrait"/>
          <w:cols w:equalWidth="0" w:num="1">
            <w:col w:w="10219"/>
          </w:cols>
          <w:pgMar w:left="240" w:top="283" w:right="1440"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2420" w:type="dxa"/>
            <w:vAlign w:val="bottom"/>
          </w:tcPr>
          <w:p>
            <w:pPr>
              <w:spacing w:after="0"/>
              <w:rPr>
                <w:sz w:val="14"/>
                <w:szCs w:val="14"/>
                <w:color w:val="auto"/>
              </w:rPr>
            </w:pPr>
          </w:p>
        </w:tc>
      </w:tr>
      <w:tr>
        <w:trPr>
          <w:trHeight w:val="848"/>
        </w:trPr>
        <w:tc>
          <w:tcPr>
            <w:tcW w:w="6200" w:type="dxa"/>
            <w:vAlign w:val="bottom"/>
          </w:tcPr>
          <w:p>
            <w:pPr>
              <w:spacing w:after="0"/>
              <w:rPr>
                <w:sz w:val="20"/>
                <w:szCs w:val="20"/>
                <w:color w:val="auto"/>
              </w:rPr>
            </w:pPr>
            <w:r>
              <w:rPr>
                <w:rFonts w:ascii="Courier New" w:cs="Courier New" w:eastAsia="Courier New" w:hAnsi="Courier New"/>
                <w:sz w:val="15"/>
                <w:szCs w:val="15"/>
                <w:color w:val="auto"/>
              </w:rPr>
              <w:t>Norwaste,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NRT Realty Corp.</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NSC Corporation</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NSC Sales Corp</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VA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Nu-Way Live Oak Landfill, Inc. (fka Sanifill of CA)</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NYOFCO Holdings,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O.V.E.R. s.r.1.</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Oak Grove Landfill,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Oakridge Landfill, Inc. (fka Chambers Oakridge LF)</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SC</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Oakwood Landfill, Inc. (fka Pinewood Recycling)</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SC</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Ocean Combustion Service, B.V.</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OHM Corporation</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Oil &amp; Solvent Process Company</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Okeechobee Landfill, Inc. (fka Chambers W.S. of FL)</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Olney Sanitary System,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Olshan Demolishing Company,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Olson's Sanitation Service,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Olympic View Sanitary Landfill,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WA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Orange County Landfill, Inc. (fka Chambers Orange Co. LF)</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Ormsby Sanitary Landfill,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P.I.T.E.F. S.r.1.</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Environmental Partners</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Waste Alternatives,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Waste Management Holdings Pty. Limited.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Waste Management Ltd.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Waste Management Pte. Ltd.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8"/>
              </w:rPr>
              <w:t>SINGAPORE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Pacific Waste Management Pty Limited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Palo Alto Sanitation Company</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Paper Recycling International, L.P.</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Pappy,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Paradise Solid Waste Systems,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Pearl Delta WMI Limited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Peerless Landfill Company</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Peninsula Sanitation,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Penn Warner Club,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Pen-Rob,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AZ</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Penuelas Valley Landfill,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People's Landfill,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Peterson Demolition,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Phoenix Resources, Inc.</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Photodigit Ltd.</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Piacenza Amb. Srl.</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Pikes Point Transfer Station Ltd.</w:t>
            </w:r>
          </w:p>
        </w:tc>
        <w:tc>
          <w:tcPr>
            <w:tcW w:w="24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rPr>
              <w:t>Pilmuir Waste Disposal Limited</w:t>
            </w:r>
          </w:p>
        </w:tc>
        <w:tc>
          <w:tcPr>
            <w:tcW w:w="24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6"/>
              </w:rPr>
              <w:t>UNITED KINGDOM</w:t>
            </w:r>
          </w:p>
        </w:tc>
      </w:tr>
    </w:tbl>
    <w:p>
      <w:pPr>
        <w:sectPr>
          <w:pgSz w:w="11900" w:h="16838" w:orient="portrait"/>
          <w:cols w:equalWidth="0" w:num="1">
            <w:col w:w="10219"/>
          </w:cols>
          <w:pgMar w:left="240" w:top="283" w:right="1440"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2540" w:type="dxa"/>
            <w:vAlign w:val="bottom"/>
          </w:tcPr>
          <w:p>
            <w:pPr>
              <w:spacing w:after="0"/>
              <w:rPr>
                <w:sz w:val="14"/>
                <w:szCs w:val="14"/>
                <w:color w:val="auto"/>
              </w:rPr>
            </w:pPr>
          </w:p>
        </w:tc>
      </w:tr>
      <w:tr>
        <w:trPr>
          <w:trHeight w:val="848"/>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Bluff Landfill, Inc. (fka Sanifill/Pine Bluff LF)</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Grove Hauling,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Grove Landfill,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Grove Landfill,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Grove,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Ridge Landfill,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Pine Tree Acres,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S&amp;V Disposal</w:t>
            </w:r>
          </w:p>
        </w:tc>
        <w:tc>
          <w:tcPr>
            <w:tcW w:w="254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PPK Environmental &amp; Infrastructure Pty. Ltd.</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Practical Recycling Systems Ltd.</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Progesam Ecosistemi Srl</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PT Prtasada Painunah Limbah Industri</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8"/>
              </w:rPr>
              <w:t>INDONESIA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PT Waste Management Indonesia</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8"/>
              </w:rPr>
              <w:t>INDONESIA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Public Sanitary Service,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Pucillo and Companies Environmental Recovery,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Pulaski Grading,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KY</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Pullman Chimney of Canada Ltd.</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CANADA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Pullman Power Products Corporation</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Pullman Power Products International Corporation</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Pullman Power Products of Canada Limited</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CANADA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Pullman Power Products of Ohio,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PWMH Affiliates Superannuation Fund Pty Limited</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Quail Hollow Landfill,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 A Johnson (Hauliage) Ltd.</w:t>
            </w:r>
          </w:p>
        </w:tc>
        <w:tc>
          <w:tcPr>
            <w:tcW w:w="254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8"/>
              </w:rPr>
              <w:t>ENGLAND</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R&amp;A Bender,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R&amp;B Landfill, Inc. (fka Chambers R&amp;B LF)</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R.S.W. Recycling,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RA Johnson (Haulage) Ltd.</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Rail-Cycle L.P.</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Randers Omlast Aps</w:t>
            </w:r>
          </w:p>
        </w:tc>
        <w:tc>
          <w:tcPr>
            <w:tcW w:w="254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8"/>
              </w:rPr>
              <w:t>DENMARK</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RCC Fiber Company,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RCI Hudson,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United Waste Systems of Hudson</w:t>
            </w:r>
          </w:p>
        </w:tc>
        <w:tc>
          <w:tcPr>
            <w:tcW w:w="254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RECO Venture, L.P. (45%)</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Recuperi Piemontesi Srl</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Recycle &amp; Recover,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Recycle New Zealand Ltd.</w:t>
            </w:r>
          </w:p>
        </w:tc>
        <w:tc>
          <w:tcPr>
            <w:tcW w:w="2540" w:type="dxa"/>
            <w:vAlign w:val="bottom"/>
          </w:tcPr>
          <w:p>
            <w:pPr>
              <w:jc w:val="center"/>
              <w:ind w:left="134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Recycling Works,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Re-Cy-Co,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United Waste Transfer</w:t>
            </w:r>
          </w:p>
        </w:tc>
        <w:tc>
          <w:tcPr>
            <w:tcW w:w="254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Red Bluff Disposal,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Redwood Landfill,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Refuse Disposal,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Refuse Removal Systems,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Refuse Services,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Clay County Recycling and Disposal Facility</w:t>
            </w:r>
          </w:p>
        </w:tc>
        <w:tc>
          <w:tcPr>
            <w:tcW w:w="254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Jacksonville Waste Control</w:t>
            </w:r>
          </w:p>
        </w:tc>
        <w:tc>
          <w:tcPr>
            <w:tcW w:w="254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Refuse, Inc.</w:t>
            </w:r>
          </w:p>
        </w:tc>
        <w:tc>
          <w:tcPr>
            <w:tcW w:w="25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9"/>
              </w:rPr>
              <w:t>NV</w:t>
            </w:r>
          </w:p>
        </w:tc>
      </w:tr>
    </w:tbl>
    <w:p>
      <w:pPr>
        <w:sectPr>
          <w:pgSz w:w="11900" w:h="16838" w:orient="portrait"/>
          <w:cols w:equalWidth="0" w:num="1">
            <w:col w:w="10219"/>
          </w:cols>
          <w:pgMar w:left="240" w:top="283"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2240" w:type="dxa"/>
            <w:vAlign w:val="bottom"/>
          </w:tcPr>
          <w:p>
            <w:pPr>
              <w:spacing w:after="0"/>
              <w:rPr>
                <w:sz w:val="14"/>
                <w:szCs w:val="14"/>
                <w:color w:val="auto"/>
              </w:rPr>
            </w:pPr>
          </w:p>
        </w:tc>
      </w:tr>
      <w:tr>
        <w:trPr>
          <w:trHeight w:val="848"/>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Sage Street Transfer Station</w:t>
            </w:r>
          </w:p>
        </w:tc>
        <w:tc>
          <w:tcPr>
            <w:tcW w:w="2240" w:type="dxa"/>
            <w:vAlign w:val="bottom"/>
          </w:tcPr>
          <w:p>
            <w:pPr>
              <w:spacing w:after="0"/>
              <w:rPr>
                <w:sz w:val="24"/>
                <w:szCs w:val="24"/>
                <w:color w:val="auto"/>
              </w:rPr>
            </w:pP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Stead Street Transfer Station</w:t>
            </w:r>
          </w:p>
        </w:tc>
        <w:tc>
          <w:tcPr>
            <w:tcW w:w="2240" w:type="dxa"/>
            <w:vAlign w:val="bottom"/>
          </w:tcPr>
          <w:p>
            <w:pPr>
              <w:spacing w:after="0"/>
              <w:rPr>
                <w:sz w:val="14"/>
                <w:szCs w:val="1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Regin B.V.</w:t>
            </w:r>
          </w:p>
        </w:tc>
        <w:tc>
          <w:tcPr>
            <w:tcW w:w="2240" w:type="dxa"/>
            <w:vAlign w:val="bottom"/>
          </w:tcPr>
          <w:p>
            <w:pPr>
              <w:jc w:val="center"/>
              <w:ind w:left="10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Regional Recycling Corporation</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Regional Recycling,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REI Holdings,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Reliable Landfill, L.L.C.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Reliable Trash Hauling,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Remote Landfill Services,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Reno Disposal Co.</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Reno Sanitation Company</w:t>
            </w:r>
          </w:p>
        </w:tc>
        <w:tc>
          <w:tcPr>
            <w:tcW w:w="2240" w:type="dxa"/>
            <w:vAlign w:val="bottom"/>
          </w:tcPr>
          <w:p>
            <w:pPr>
              <w:spacing w:after="0"/>
              <w:rPr>
                <w:sz w:val="14"/>
                <w:szCs w:val="14"/>
                <w:color w:val="auto"/>
              </w:rPr>
            </w:pP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Sparks Sanitation</w:t>
            </w:r>
          </w:p>
        </w:tc>
        <w:tc>
          <w:tcPr>
            <w:tcW w:w="2240" w:type="dxa"/>
            <w:vAlign w:val="bottom"/>
          </w:tcPr>
          <w:p>
            <w:pPr>
              <w:spacing w:after="0"/>
              <w:rPr>
                <w:sz w:val="14"/>
                <w:szCs w:val="1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Renovadan Miljoservice A/S</w:t>
            </w:r>
          </w:p>
        </w:tc>
        <w:tc>
          <w:tcPr>
            <w:tcW w:w="224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8"/>
              </w:rPr>
              <w:t>DENMARK</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Rent-a-Weld (Wirral) Ltd.</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Resco Holdings,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Residential Services,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Residuals Processing,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Residuos Industriales Multiquim, S.A. de C.V.</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MEXICO</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Resource Control Composting,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Resource Control,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Reuter Recycling of Florida,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Reym B.V.</w:t>
            </w:r>
          </w:p>
        </w:tc>
        <w:tc>
          <w:tcPr>
            <w:tcW w:w="2240" w:type="dxa"/>
            <w:vAlign w:val="bottom"/>
          </w:tcPr>
          <w:p>
            <w:pPr>
              <w:jc w:val="center"/>
              <w:ind w:left="10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Reym GmbH</w:t>
            </w:r>
          </w:p>
        </w:tc>
        <w:tc>
          <w:tcPr>
            <w:tcW w:w="2240" w:type="dxa"/>
            <w:vAlign w:val="bottom"/>
          </w:tcPr>
          <w:p>
            <w:pPr>
              <w:jc w:val="center"/>
              <w:ind w:left="10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Richland County Landfill, Inc. (fka Chambers Richland Co. LF)</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SC</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Ridge Generating Station Limited Partnership</w:t>
            </w:r>
          </w:p>
        </w:tc>
        <w:tc>
          <w:tcPr>
            <w:tcW w:w="2240" w:type="dxa"/>
            <w:vAlign w:val="bottom"/>
          </w:tcPr>
          <w:p>
            <w:pPr>
              <w:spacing w:after="0"/>
              <w:rPr>
                <w:sz w:val="14"/>
                <w:szCs w:val="1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Ri-Eco S.r.1.</w:t>
            </w:r>
          </w:p>
        </w:tc>
        <w:tc>
          <w:tcPr>
            <w:tcW w:w="2240" w:type="dxa"/>
            <w:vAlign w:val="bottom"/>
          </w:tcPr>
          <w:p>
            <w:pPr>
              <w:jc w:val="center"/>
              <w:ind w:left="104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RIH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Riley Energy Systems of Lisbon Connecticut Corp.</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CT</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Riley Energy Systems of Lisbon Corporation</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RIS Risk Management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Riverbend Landfill,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OR</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Rolling Meadows Landfill, L.L.C.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Ross County Landfill,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Design &amp; Construction Corp</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Empire Returns Corp. of Monroe County,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of Broome,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of New Jersey,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of Pennsylvania,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of Philadelphia,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Plastics Corporation</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 Recycling Associates of North Carolina,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NC</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RRT-Recycle America,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RTS Landfill, Inc. (fka Sanifill of GA)</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Del Mar Virginia District</w:t>
            </w:r>
          </w:p>
        </w:tc>
        <w:tc>
          <w:tcPr>
            <w:tcW w:w="2240" w:type="dxa"/>
            <w:vAlign w:val="bottom"/>
          </w:tcPr>
          <w:p>
            <w:pPr>
              <w:spacing w:after="0"/>
              <w:rPr>
                <w:sz w:val="14"/>
                <w:szCs w:val="14"/>
                <w:color w:val="auto"/>
              </w:rPr>
            </w:pP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Plant Atkinson Transfer Station</w:t>
            </w:r>
          </w:p>
        </w:tc>
        <w:tc>
          <w:tcPr>
            <w:tcW w:w="2240" w:type="dxa"/>
            <w:vAlign w:val="bottom"/>
          </w:tcPr>
          <w:p>
            <w:pPr>
              <w:spacing w:after="0"/>
              <w:rPr>
                <w:sz w:val="14"/>
                <w:szCs w:val="14"/>
                <w:color w:val="auto"/>
              </w:rPr>
            </w:pP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South Side Sanitation</w:t>
            </w:r>
          </w:p>
        </w:tc>
        <w:tc>
          <w:tcPr>
            <w:tcW w:w="2240" w:type="dxa"/>
            <w:vAlign w:val="bottom"/>
          </w:tcPr>
          <w:p>
            <w:pPr>
              <w:spacing w:after="0"/>
              <w:rPr>
                <w:sz w:val="14"/>
                <w:szCs w:val="14"/>
                <w:color w:val="auto"/>
              </w:rPr>
            </w:pPr>
          </w:p>
        </w:tc>
      </w:tr>
      <w:tr>
        <w:trPr>
          <w:trHeight w:val="170"/>
        </w:trPr>
        <w:tc>
          <w:tcPr>
            <w:tcW w:w="6380" w:type="dxa"/>
            <w:vAlign w:val="bottom"/>
          </w:tcPr>
          <w:p>
            <w:pPr>
              <w:ind w:left="780"/>
              <w:spacing w:after="0"/>
              <w:rPr>
                <w:sz w:val="20"/>
                <w:szCs w:val="20"/>
                <w:color w:val="auto"/>
              </w:rPr>
            </w:pPr>
            <w:r>
              <w:rPr>
                <w:rFonts w:ascii="Courier New" w:cs="Courier New" w:eastAsia="Courier New" w:hAnsi="Courier New"/>
                <w:sz w:val="15"/>
                <w:szCs w:val="15"/>
                <w:color w:val="auto"/>
              </w:rPr>
              <w:t>Starr Tranfer Station</w:t>
            </w:r>
          </w:p>
        </w:tc>
        <w:tc>
          <w:tcPr>
            <w:tcW w:w="2240" w:type="dxa"/>
            <w:vAlign w:val="bottom"/>
          </w:tcPr>
          <w:p>
            <w:pPr>
              <w:spacing w:after="0"/>
              <w:rPr>
                <w:sz w:val="14"/>
                <w:szCs w:val="14"/>
                <w:color w:val="auto"/>
              </w:rPr>
            </w:pP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Rudolph Beck &amp; Sohne Aktiengesellschaft</w:t>
            </w:r>
          </w:p>
        </w:tc>
        <w:tc>
          <w:tcPr>
            <w:tcW w:w="224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8"/>
              </w:rPr>
              <w:t>AUSTRIA</w:t>
            </w:r>
          </w:p>
        </w:tc>
      </w:tr>
      <w:tr>
        <w:trPr>
          <w:trHeight w:val="170"/>
        </w:trPr>
        <w:tc>
          <w:tcPr>
            <w:tcW w:w="6380" w:type="dxa"/>
            <w:vAlign w:val="bottom"/>
          </w:tcPr>
          <w:p>
            <w:pPr>
              <w:spacing w:after="0"/>
              <w:rPr>
                <w:sz w:val="20"/>
                <w:szCs w:val="20"/>
                <w:color w:val="auto"/>
              </w:rPr>
            </w:pPr>
            <w:r>
              <w:rPr>
                <w:rFonts w:ascii="Courier New" w:cs="Courier New" w:eastAsia="Courier New" w:hAnsi="Courier New"/>
                <w:sz w:val="15"/>
                <w:szCs w:val="15"/>
                <w:color w:val="auto"/>
              </w:rPr>
              <w:t>Rural Dispos-all Service, Inc.</w:t>
            </w:r>
          </w:p>
        </w:tc>
        <w:tc>
          <w:tcPr>
            <w:tcW w:w="2240" w:type="dxa"/>
            <w:vAlign w:val="bottom"/>
          </w:tcPr>
          <w:p>
            <w:pPr>
              <w:jc w:val="center"/>
              <w:ind w:left="947"/>
              <w:spacing w:after="0"/>
              <w:rPr>
                <w:sz w:val="20"/>
                <w:szCs w:val="20"/>
                <w:color w:val="auto"/>
              </w:rPr>
            </w:pPr>
            <w:r>
              <w:rPr>
                <w:rFonts w:ascii="Courier New" w:cs="Courier New" w:eastAsia="Courier New" w:hAnsi="Courier New"/>
                <w:sz w:val="15"/>
                <w:szCs w:val="15"/>
                <w:color w:val="auto"/>
                <w:w w:val="99"/>
              </w:rPr>
              <w:t>CA</w:t>
            </w:r>
          </w:p>
        </w:tc>
      </w:tr>
    </w:tbl>
    <w:p>
      <w:pPr>
        <w:sectPr>
          <w:pgSz w:w="11900" w:h="16838" w:orient="portrait"/>
          <w:cols w:equalWidth="0" w:num="1">
            <w:col w:w="10219"/>
          </w:cols>
          <w:pgMar w:left="240" w:top="283" w:right="1440"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2320" w:type="dxa"/>
            <w:vAlign w:val="bottom"/>
          </w:tcPr>
          <w:p>
            <w:pPr>
              <w:spacing w:after="0"/>
              <w:rPr>
                <w:sz w:val="14"/>
                <w:szCs w:val="14"/>
                <w:color w:val="auto"/>
              </w:rPr>
            </w:pPr>
          </w:p>
        </w:tc>
      </w:tr>
      <w:tr>
        <w:trPr>
          <w:trHeight w:val="848"/>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Capital Corporation</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China Ltd</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Controldua, S.A. De C.V.</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MX</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Engineering &amp; Construction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Federal Environmental Services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Industrial Cleaning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International Holdings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International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JRP Pty Ltd.</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8"/>
              </w:rPr>
              <w:t>SINGAPORE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Limited</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North America Holdings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Remedial Services Holding Company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Rust Sweden Holdings A B</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S&amp;J Landfill, Limited Partnership</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S&amp;L Total Waste Systems,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S&amp;S Grading of Illinois,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S&amp;S Grading,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WV</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S.A.P.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S.A.R.I.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S.A.R.I.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S.A.S.P.I.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S.I.R.T.I.S. s.r.1.</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S.P.E.M.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S.V. Farming Corp.</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 Ge Ter Spa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Sacagica s.r.l.</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Sacramento Valley Environmental Waste Company</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Saframa S.A.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Sakab Batteri B</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Salinas Disposal Service,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Saline County Landfill,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IL</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Salutec, S.A.</w:t>
            </w:r>
          </w:p>
        </w:tc>
        <w:tc>
          <w:tcPr>
            <w:tcW w:w="2320" w:type="dxa"/>
            <w:vAlign w:val="bottom"/>
          </w:tcPr>
          <w:p>
            <w:pPr>
              <w:jc w:val="center"/>
              <w:ind w:left="112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Canada, Inc.</w:t>
            </w:r>
          </w:p>
        </w:tc>
        <w:tc>
          <w:tcPr>
            <w:tcW w:w="232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6"/>
              </w:rPr>
              <w:t>CDN</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de Mexico (US),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Sanifill de Mexico, S.A. de C.V.</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MX</w:t>
            </w:r>
          </w:p>
        </w:tc>
      </w:tr>
      <w:tr>
        <w:trPr>
          <w:trHeight w:val="170"/>
        </w:trPr>
        <w:tc>
          <w:tcPr>
            <w:tcW w:w="6300" w:type="dxa"/>
            <w:vAlign w:val="bottom"/>
          </w:tcPr>
          <w:p>
            <w:pPr>
              <w:ind w:left="1580"/>
              <w:spacing w:after="0"/>
              <w:rPr>
                <w:sz w:val="20"/>
                <w:szCs w:val="20"/>
                <w:color w:val="auto"/>
              </w:rPr>
            </w:pPr>
            <w:r>
              <w:rPr>
                <w:rFonts w:ascii="Courier New" w:cs="Courier New" w:eastAsia="Courier New" w:hAnsi="Courier New"/>
                <w:sz w:val="15"/>
                <w:szCs w:val="15"/>
                <w:color w:val="auto"/>
              </w:rPr>
              <w:t>AceVerde S.A. de C.V.</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MX</w:t>
            </w:r>
          </w:p>
        </w:tc>
      </w:tr>
      <w:tr>
        <w:trPr>
          <w:trHeight w:val="170"/>
        </w:trPr>
        <w:tc>
          <w:tcPr>
            <w:tcW w:w="6300" w:type="dxa"/>
            <w:vAlign w:val="bottom"/>
          </w:tcPr>
          <w:p>
            <w:pPr>
              <w:ind w:left="1580"/>
              <w:spacing w:after="0"/>
              <w:rPr>
                <w:sz w:val="20"/>
                <w:szCs w:val="20"/>
                <w:color w:val="auto"/>
              </w:rPr>
            </w:pPr>
            <w:r>
              <w:rPr>
                <w:rFonts w:ascii="Courier New" w:cs="Courier New" w:eastAsia="Courier New" w:hAnsi="Courier New"/>
                <w:sz w:val="15"/>
                <w:szCs w:val="15"/>
                <w:color w:val="auto"/>
              </w:rPr>
              <w:t>AceVerde Servicios, S.A. de C.V.</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MX</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Forest Products,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Florida,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Hawaii,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San Juan,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PR</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El Coqui de San Juan (JV Partnership) (PR) (50% by</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EC Inc. and 50% by Sanifill of San Juan, Inc.)</w:t>
            </w:r>
          </w:p>
        </w:tc>
        <w:tc>
          <w:tcPr>
            <w:tcW w:w="2320" w:type="dxa"/>
            <w:vAlign w:val="bottom"/>
          </w:tcPr>
          <w:p>
            <w:pPr>
              <w:spacing w:after="0"/>
              <w:rPr>
                <w:sz w:val="14"/>
                <w:szCs w:val="14"/>
                <w:color w:val="auto"/>
              </w:rPr>
            </w:pP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Tennessee Hauling,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Tennessee,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of Texas Hauling, Inc.</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Sanifill Power Corporation</w:t>
            </w:r>
          </w:p>
        </w:tc>
        <w:tc>
          <w:tcPr>
            <w:tcW w:w="2320" w:type="dxa"/>
            <w:vAlign w:val="bottom"/>
          </w:tcPr>
          <w:p>
            <w:pPr>
              <w:jc w:val="center"/>
              <w:ind w:left="10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RECO Ventures, L.P. (DE) (49% owned by Sanifill</w:t>
            </w:r>
          </w:p>
        </w:tc>
        <w:tc>
          <w:tcPr>
            <w:tcW w:w="2320" w:type="dxa"/>
            <w:vAlign w:val="bottom"/>
          </w:tcPr>
          <w:p>
            <w:pPr>
              <w:spacing w:after="0"/>
              <w:rPr>
                <w:sz w:val="14"/>
                <w:szCs w:val="14"/>
                <w:color w:val="auto"/>
              </w:rPr>
            </w:pPr>
          </w:p>
        </w:tc>
      </w:tr>
      <w:tr>
        <w:trPr>
          <w:trHeight w:val="170"/>
        </w:trPr>
        <w:tc>
          <w:tcPr>
            <w:tcW w:w="6300" w:type="dxa"/>
            <w:vAlign w:val="bottom"/>
          </w:tcPr>
          <w:p>
            <w:pPr>
              <w:ind w:left="780"/>
              <w:spacing w:after="0"/>
              <w:rPr>
                <w:sz w:val="20"/>
                <w:szCs w:val="20"/>
                <w:color w:val="auto"/>
              </w:rPr>
            </w:pPr>
            <w:r>
              <w:rPr>
                <w:rFonts w:ascii="Courier New" w:cs="Courier New" w:eastAsia="Courier New" w:hAnsi="Courier New"/>
                <w:sz w:val="15"/>
                <w:szCs w:val="15"/>
                <w:color w:val="auto"/>
              </w:rPr>
              <w:t>Power Corporation)</w:t>
            </w:r>
          </w:p>
        </w:tc>
        <w:tc>
          <w:tcPr>
            <w:tcW w:w="232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76" w:name="page177"/>
    <w:bookmarkEnd w:id="1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ind w:left="260"/>
              <w:spacing w:after="0"/>
              <w:rPr>
                <w:sz w:val="20"/>
                <w:szCs w:val="20"/>
                <w:color w:val="auto"/>
              </w:rPr>
            </w:pPr>
            <w:r>
              <w:rPr>
                <w:rFonts w:ascii="Courier New" w:cs="Courier New" w:eastAsia="Courier New" w:hAnsi="Courier New"/>
                <w:sz w:val="15"/>
                <w:szCs w:val="15"/>
                <w:color w:val="auto"/>
              </w:rPr>
              <w:t>17</w:t>
            </w:r>
          </w:p>
        </w:tc>
        <w:tc>
          <w:tcPr>
            <w:tcW w:w="2280" w:type="dxa"/>
            <w:vAlign w:val="bottom"/>
          </w:tcPr>
          <w:p>
            <w:pPr>
              <w:spacing w:after="0"/>
              <w:rPr>
                <w:sz w:val="14"/>
                <w:szCs w:val="14"/>
                <w:color w:val="auto"/>
              </w:rPr>
            </w:pPr>
          </w:p>
        </w:tc>
      </w:tr>
      <w:tr>
        <w:trPr>
          <w:trHeight w:val="848"/>
        </w:trPr>
        <w:tc>
          <w:tcPr>
            <w:tcW w:w="6340" w:type="dxa"/>
            <w:vAlign w:val="bottom"/>
          </w:tcPr>
          <w:p>
            <w:pPr>
              <w:spacing w:after="0"/>
              <w:rPr>
                <w:sz w:val="20"/>
                <w:szCs w:val="20"/>
                <w:color w:val="auto"/>
              </w:rPr>
            </w:pPr>
            <w:r>
              <w:rPr>
                <w:rFonts w:ascii="Courier New" w:cs="Courier New" w:eastAsia="Courier New" w:hAnsi="Courier New"/>
                <w:sz w:val="15"/>
                <w:szCs w:val="15"/>
                <w:color w:val="auto"/>
              </w:rPr>
              <w:t>Sanifill,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Frontier Recycling</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Orange Soil Cement</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Orange Transportation</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Orange Trucking</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Orange Waste Landfill</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Orange Waste Transfer Station</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Pine Ridge Landfill</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SC Holdings,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L&amp;D Landfill</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Sanitary Landfill</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SCA Services,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Mohawk Valley Sanitary Landfill</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SCS Contractors Ltd.</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Serecol Srl</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Servizi Piemonte S.r.1.</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SES Connecticut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SF,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Southern Services of TN, LLC (TN) (50% owned by</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SF, Inc.)</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Shade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Shereg Schleswig Holsteinische Entsorgung u. Recycling GmbH</w:t>
            </w:r>
          </w:p>
        </w:tc>
        <w:tc>
          <w:tcPr>
            <w:tcW w:w="2280" w:type="dxa"/>
            <w:vAlign w:val="bottom"/>
          </w:tcPr>
          <w:p>
            <w:pPr>
              <w:jc w:val="center"/>
              <w:ind w:left="106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Shore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VA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Shoreline Disposal,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SIE Srl</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Sierra Estrella Landfill, Inc. (fka USA of Pinal County) (D)</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AZ</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Signal Capital Sherman Station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Signal RESCO,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Sir-Mas Srl</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Skaraborgs Energi-Och Mijo AB</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SMC Smaltimenti Controllati S.p.a.</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Smyrna Landfill, Inc. (fka Chambers Smyrna LF)</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GA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Sofind Srl</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Solna Transport &amp; Renhallnning AB</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Sonoma Marin Waste Management,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Sonoma West Marin Recycling,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 Broward County Resource Recovery Project,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 Broward Holdings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 China WMI Transfer Limited</w:t>
            </w:r>
          </w:p>
        </w:tc>
        <w:tc>
          <w:tcPr>
            <w:tcW w:w="2280" w:type="dxa"/>
            <w:vAlign w:val="bottom"/>
          </w:tcPr>
          <w:p>
            <w:pPr>
              <w:jc w:val="center"/>
              <w:ind w:left="108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Southern Alleghenies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Altoona Transfer Station</w:t>
            </w:r>
          </w:p>
        </w:tc>
        <w:tc>
          <w:tcPr>
            <w:tcW w:w="2280" w:type="dxa"/>
            <w:vAlign w:val="bottom"/>
          </w:tcPr>
          <w:p>
            <w:pPr>
              <w:spacing w:after="0"/>
              <w:rPr>
                <w:sz w:val="14"/>
                <w:szCs w:val="14"/>
                <w:color w:val="auto"/>
              </w:rPr>
            </w:pPr>
          </w:p>
        </w:tc>
      </w:tr>
      <w:tr>
        <w:trPr>
          <w:trHeight w:val="170"/>
        </w:trPr>
        <w:tc>
          <w:tcPr>
            <w:tcW w:w="6340" w:type="dxa"/>
            <w:vAlign w:val="bottom"/>
          </w:tcPr>
          <w:p>
            <w:pPr>
              <w:ind w:left="780"/>
              <w:spacing w:after="0"/>
              <w:rPr>
                <w:sz w:val="20"/>
                <w:szCs w:val="20"/>
                <w:color w:val="auto"/>
              </w:rPr>
            </w:pPr>
            <w:r>
              <w:rPr>
                <w:rFonts w:ascii="Courier New" w:cs="Courier New" w:eastAsia="Courier New" w:hAnsi="Courier New"/>
                <w:sz w:val="15"/>
                <w:szCs w:val="15"/>
                <w:color w:val="auto"/>
              </w:rPr>
              <w:t>American Recycling</w:t>
            </w:r>
          </w:p>
        </w:tc>
        <w:tc>
          <w:tcPr>
            <w:tcW w:w="2280" w:type="dxa"/>
            <w:vAlign w:val="bottom"/>
          </w:tcPr>
          <w:p>
            <w:pPr>
              <w:spacing w:after="0"/>
              <w:rPr>
                <w:sz w:val="14"/>
                <w:szCs w:val="14"/>
                <w:color w:val="auto"/>
              </w:rPr>
            </w:pP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Southern Plains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OK</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Southern Services of TN, L.L.C.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Southern Services of TN, L.P. (50/50 w/Sanifill)</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Southern Waste Services, L.L.C.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Specialized Recycling Technologies</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Spruce Ridge Landfill,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Spruce Ridge,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340" w:type="dxa"/>
            <w:vAlign w:val="bottom"/>
          </w:tcPr>
          <w:p>
            <w:pPr>
              <w:spacing w:after="0"/>
              <w:rPr>
                <w:sz w:val="20"/>
                <w:szCs w:val="20"/>
                <w:color w:val="auto"/>
              </w:rPr>
            </w:pPr>
            <w:r>
              <w:rPr>
                <w:rFonts w:ascii="Courier New" w:cs="Courier New" w:eastAsia="Courier New" w:hAnsi="Courier New"/>
                <w:sz w:val="15"/>
                <w:szCs w:val="15"/>
                <w:color w:val="auto"/>
              </w:rPr>
              <w:t>Star Sanitation Services, Inc.</w:t>
            </w:r>
          </w:p>
        </w:tc>
        <w:tc>
          <w:tcPr>
            <w:tcW w:w="2280" w:type="dxa"/>
            <w:vAlign w:val="bottom"/>
          </w:tcPr>
          <w:p>
            <w:pPr>
              <w:jc w:val="center"/>
              <w:ind w:left="987"/>
              <w:spacing w:after="0"/>
              <w:rPr>
                <w:sz w:val="20"/>
                <w:szCs w:val="20"/>
                <w:color w:val="auto"/>
              </w:rPr>
            </w:pPr>
            <w:r>
              <w:rPr>
                <w:rFonts w:ascii="Courier New" w:cs="Courier New" w:eastAsia="Courier New" w:hAnsi="Courier New"/>
                <w:sz w:val="15"/>
                <w:szCs w:val="15"/>
                <w:color w:val="auto"/>
                <w:w w:val="99"/>
              </w:rPr>
              <w:t>AK</w:t>
            </w:r>
          </w:p>
        </w:tc>
      </w:tr>
    </w:tbl>
    <w:p>
      <w:pPr>
        <w:sectPr>
          <w:pgSz w:w="11900" w:h="16838" w:orient="portrait"/>
          <w:cols w:equalWidth="0" w:num="1">
            <w:col w:w="10219"/>
          </w:cols>
          <w:pgMar w:left="240" w:top="283" w:right="1440" w:bottom="1440" w:gutter="0" w:footer="0" w:header="0"/>
        </w:sectPr>
      </w:pPr>
    </w:p>
    <w:bookmarkStart w:id="177" w:name="page178"/>
    <w:bookmarkEnd w:id="1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18</w:t>
            </w:r>
          </w:p>
        </w:tc>
        <w:tc>
          <w:tcPr>
            <w:tcW w:w="2760" w:type="dxa"/>
            <w:vAlign w:val="bottom"/>
          </w:tcPr>
          <w:p>
            <w:pPr>
              <w:spacing w:after="0"/>
              <w:rPr>
                <w:sz w:val="14"/>
                <w:szCs w:val="14"/>
                <w:color w:val="auto"/>
              </w:rPr>
            </w:pPr>
          </w:p>
        </w:tc>
      </w:tr>
      <w:tr>
        <w:trPr>
          <w:trHeight w:val="848"/>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Stockton Scavengers Association</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Storey County Sanitation,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Strawser Disposal Services,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Suffolk Waste Systems,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Summit Environmental Group,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Summit Transport Group,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Sun Waste Alternatives,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Super Kwik,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Svensk Avfallskonvertering AB</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Swindell-Dressler Energy Supply Company</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Swindell-Dressler Leasing Company</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Sylvan &amp; Qvibelius AB</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Sylvans Kemiteknik AB</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 R. Walters Investments,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Tactical Management,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Techim S.r.1.</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The H. Sienknecht Company</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The Rust Engineering Company of Michigan</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The Woodlands of Van Buren,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Thoroughbred Leasing,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TMS Recycling,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Tonitown Landfill, L.L.C.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Town &amp; Country Refuse,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860" w:type="dxa"/>
            <w:vAlign w:val="bottom"/>
          </w:tcPr>
          <w:p>
            <w:pPr>
              <w:ind w:left="780"/>
              <w:spacing w:after="0"/>
              <w:rPr>
                <w:sz w:val="20"/>
                <w:szCs w:val="20"/>
                <w:color w:val="auto"/>
              </w:rPr>
            </w:pPr>
            <w:r>
              <w:rPr>
                <w:rFonts w:ascii="Courier New" w:cs="Courier New" w:eastAsia="Courier New" w:hAnsi="Courier New"/>
                <w:sz w:val="15"/>
                <w:szCs w:val="15"/>
                <w:color w:val="auto"/>
              </w:rPr>
              <w:t>Port-O-Let</w:t>
            </w:r>
          </w:p>
        </w:tc>
        <w:tc>
          <w:tcPr>
            <w:tcW w:w="2760" w:type="dxa"/>
            <w:vAlign w:val="bottom"/>
          </w:tcPr>
          <w:p>
            <w:pPr>
              <w:spacing w:after="0"/>
              <w:rPr>
                <w:sz w:val="14"/>
                <w:szCs w:val="14"/>
                <w:color w:val="auto"/>
              </w:rPr>
            </w:pP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 S.E. s.p.a.</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Trade &amp; Domestic Ltd.</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Trade Domestic (1997) Ltd.</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Trail Ridge Landfill,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Environmental,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Central Landfill,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Industries of Alabama,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AL</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Industries of Ohio,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Industries of Southeast,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Industries,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Transamerican Waste of Houston,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TX</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Transmetro SA</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Transportbedrijf Van Bliet B.V.</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Transpsro,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TransWaste,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LA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Trash Hunters of Tunica,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MS</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Trash Hunters,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MS</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Trepic SA</w:t>
            </w:r>
          </w:p>
        </w:tc>
        <w:tc>
          <w:tcPr>
            <w:tcW w:w="276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8"/>
              </w:rPr>
              <w:t>ARGENTINA</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Tri-County Sanitary Landfill, L.L.C.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Tri-State Recycling &amp; Fibers,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TVG Transport u. Verwertungsgesellschaft</w:t>
            </w:r>
          </w:p>
        </w:tc>
        <w:tc>
          <w:tcPr>
            <w:tcW w:w="2760" w:type="dxa"/>
            <w:vAlign w:val="bottom"/>
          </w:tcPr>
          <w:p>
            <w:pPr>
              <w:jc w:val="center"/>
              <w:ind w:left="154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Twin City Sanitation, Inc.</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Tyneside Waste Paper Co Ltd.</w:t>
            </w:r>
          </w:p>
        </w:tc>
        <w:tc>
          <w:tcPr>
            <w:tcW w:w="2760" w:type="dxa"/>
            <w:vAlign w:val="bottom"/>
          </w:tcPr>
          <w:p>
            <w:pPr>
              <w:jc w:val="center"/>
              <w:ind w:left="1467"/>
              <w:spacing w:after="0"/>
              <w:rPr>
                <w:sz w:val="20"/>
                <w:szCs w:val="20"/>
                <w:color w:val="auto"/>
              </w:rPr>
            </w:pPr>
            <w:r>
              <w:rPr>
                <w:rFonts w:ascii="Courier New" w:cs="Courier New" w:eastAsia="Courier New" w:hAnsi="Courier New"/>
                <w:sz w:val="15"/>
                <w:szCs w:val="15"/>
                <w:color w:val="auto"/>
                <w:w w:val="96"/>
              </w:rPr>
              <w:t>UNITED KINGDOM</w:t>
            </w:r>
          </w:p>
        </w:tc>
      </w:tr>
    </w:tbl>
    <w:p>
      <w:pPr>
        <w:sectPr>
          <w:pgSz w:w="11900" w:h="16838" w:orient="portrait"/>
          <w:cols w:equalWidth="0" w:num="1">
            <w:col w:w="10219"/>
          </w:cols>
          <w:pgMar w:left="240" w:top="283" w:right="1440"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848"/>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UK Waste Management Limited</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Ulster County Roll-Offs,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Ulster Sanitation, Inc.</w:t>
            </w:r>
          </w:p>
        </w:tc>
        <w:tc>
          <w:tcPr>
            <w:tcW w:w="3440" w:type="dxa"/>
            <w:vAlign w:val="bottom"/>
          </w:tcPr>
          <w:p>
            <w:pPr>
              <w:spacing w:after="0"/>
              <w:rPr>
                <w:sz w:val="14"/>
                <w:szCs w:val="14"/>
                <w:color w:val="auto"/>
              </w:rPr>
            </w:pP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Leasing,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Gardner,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Iowa,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IA</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Maine,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Minneapolis,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w w:val="98"/>
              </w:rPr>
              <w:t>United Waste Systems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Minnesota, Inc.</w:t>
            </w:r>
          </w:p>
        </w:tc>
        <w:tc>
          <w:tcPr>
            <w:tcW w:w="3120" w:type="dxa"/>
            <w:vAlign w:val="bottom"/>
          </w:tcPr>
          <w:p>
            <w:pPr>
              <w:jc w:val="center"/>
              <w:ind w:left="182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550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Bellaire Sanitation</w:t>
            </w:r>
          </w:p>
        </w:tc>
        <w:tc>
          <w:tcPr>
            <w:tcW w:w="3120" w:type="dxa"/>
            <w:vAlign w:val="bottom"/>
          </w:tcPr>
          <w:p>
            <w:pPr>
              <w:spacing w:after="0"/>
              <w:rPr>
                <w:sz w:val="14"/>
                <w:szCs w:val="14"/>
                <w:color w:val="auto"/>
              </w:rPr>
            </w:pPr>
          </w:p>
        </w:tc>
      </w:tr>
      <w:tr>
        <w:trPr>
          <w:trHeight w:val="170"/>
        </w:trPr>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Gallagher's</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Service</w:t>
            </w:r>
          </w:p>
        </w:tc>
        <w:tc>
          <w:tcPr>
            <w:tcW w:w="3120" w:type="dxa"/>
            <w:vAlign w:val="bottom"/>
          </w:tcPr>
          <w:p>
            <w:pPr>
              <w:spacing w:after="0"/>
              <w:rPr>
                <w:sz w:val="14"/>
                <w:szCs w:val="14"/>
                <w:color w:val="auto"/>
              </w:rPr>
            </w:pPr>
          </w:p>
        </w:tc>
      </w:tr>
    </w:tbl>
    <w:p>
      <w:pPr>
        <w:spacing w:after="0" w:line="5" w:lineRule="exact"/>
        <w:rPr>
          <w:sz w:val="20"/>
          <w:szCs w:val="20"/>
          <w:color w:val="auto"/>
        </w:rPr>
      </w:pPr>
    </w:p>
    <w:p>
      <w:pPr>
        <w:ind w:left="780" w:right="7839" w:firstLine="4"/>
        <w:spacing w:after="0" w:line="256" w:lineRule="auto"/>
        <w:tabs>
          <w:tab w:leader="none" w:pos="122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Young Rubbish Lake Sanitation</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Mike's Disposal and Recycling Service</w:t>
      </w:r>
    </w:p>
    <w:p>
      <w:pPr>
        <w:spacing w:after="0" w:line="4" w:lineRule="exact"/>
        <w:rPr>
          <w:rFonts w:ascii="Courier New" w:cs="Courier New" w:eastAsia="Courier New" w:hAnsi="Courier New"/>
          <w:sz w:val="14"/>
          <w:szCs w:val="14"/>
          <w:color w:val="auto"/>
        </w:rPr>
      </w:pPr>
    </w:p>
    <w:p>
      <w:pPr>
        <w:jc w:val="both"/>
        <w:ind w:left="780" w:right="917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UWS UWT</w:t>
      </w:r>
    </w:p>
    <w:tbl>
      <w:tblPr>
        <w:tblLayout w:type="fixed"/>
        <w:tblInd w:w="0" w:type="dxa"/>
        <w:tblCellMar>
          <w:top w:w="0" w:type="dxa"/>
          <w:left w:w="0" w:type="dxa"/>
          <w:bottom w:w="0" w:type="dxa"/>
          <w:right w:w="0" w:type="dxa"/>
        </w:tblCellMar>
      </w:tblPr>
      <w:tr>
        <w:trPr>
          <w:trHeight w:val="165"/>
        </w:trPr>
        <w:tc>
          <w:tcPr>
            <w:tcW w:w="1100" w:type="dxa"/>
            <w:vAlign w:val="bottom"/>
            <w:gridSpan w:val="2"/>
          </w:tcPr>
          <w:p>
            <w:pPr>
              <w:spacing w:after="0" w:line="165" w:lineRule="exact"/>
              <w:rPr>
                <w:sz w:val="20"/>
                <w:szCs w:val="20"/>
                <w:color w:val="auto"/>
              </w:rPr>
            </w:pPr>
            <w:r>
              <w:rPr>
                <w:rFonts w:ascii="Courier New" w:cs="Courier New" w:eastAsia="Courier New" w:hAnsi="Courier New"/>
                <w:sz w:val="15"/>
                <w:szCs w:val="15"/>
                <w:color w:val="auto"/>
                <w:w w:val="99"/>
              </w:rPr>
              <w:t>United Waste</w:t>
            </w:r>
          </w:p>
        </w:tc>
        <w:tc>
          <w:tcPr>
            <w:tcW w:w="576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Systems of Onaway, Inc.</w:t>
            </w:r>
          </w:p>
        </w:tc>
        <w:tc>
          <w:tcPr>
            <w:tcW w:w="1240" w:type="dxa"/>
            <w:vAlign w:val="bottom"/>
          </w:tcPr>
          <w:p>
            <w:pPr>
              <w:ind w:left="1060"/>
              <w:spacing w:after="0" w:line="165" w:lineRule="exact"/>
              <w:rPr>
                <w:sz w:val="20"/>
                <w:szCs w:val="20"/>
                <w:color w:val="auto"/>
              </w:rPr>
            </w:pPr>
            <w:r>
              <w:rPr>
                <w:rFonts w:ascii="Courier New" w:cs="Courier New" w:eastAsia="Courier New" w:hAnsi="Courier New"/>
                <w:sz w:val="15"/>
                <w:szCs w:val="15"/>
                <w:color w:val="auto"/>
                <w:w w:val="88"/>
              </w:rPr>
              <w:t>MI</w:t>
            </w:r>
          </w:p>
        </w:tc>
      </w:t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United Waste</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Systems of the Eastern UP,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MI</w:t>
            </w:r>
          </w:p>
        </w:tc>
      </w:t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United Waste</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Systems of Trinity County,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CA</w:t>
            </w:r>
          </w:p>
        </w:tc>
      </w:t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United Waste</w:t>
            </w:r>
          </w:p>
        </w:tc>
        <w:tc>
          <w:tcPr>
            <w:tcW w:w="5760" w:type="dxa"/>
            <w:vAlign w:val="bottom"/>
          </w:tcPr>
          <w:p>
            <w:pPr>
              <w:ind w:left="40"/>
              <w:spacing w:after="0"/>
              <w:rPr>
                <w:sz w:val="20"/>
                <w:szCs w:val="20"/>
                <w:color w:val="auto"/>
              </w:rPr>
            </w:pPr>
            <w:r>
              <w:rPr>
                <w:rFonts w:ascii="Courier New" w:cs="Courier New" w:eastAsia="Courier New" w:hAnsi="Courier New"/>
                <w:sz w:val="15"/>
                <w:szCs w:val="15"/>
                <w:color w:val="auto"/>
              </w:rPr>
              <w:t>Systems, Inc. (MI)</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MI</w:t>
            </w: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United Waste Systems, Inc. (MN)</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MN</w:t>
            </w: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Mike's Disposal &amp; Recycling Service</w:t>
            </w:r>
          </w:p>
        </w:tc>
        <w:tc>
          <w:tcPr>
            <w:tcW w:w="1240" w:type="dxa"/>
            <w:vAlign w:val="bottom"/>
          </w:tcPr>
          <w:p>
            <w:pPr>
              <w:spacing w:after="0"/>
              <w:rPr>
                <w:sz w:val="14"/>
                <w:szCs w:val="14"/>
                <w:color w:val="auto"/>
              </w:rPr>
            </w:pP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United Waste Transfer,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MN</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Universal</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Assurance Corporation</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VT</w:t>
            </w: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USA Crinc,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USA Landfills of Nevada,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NV</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South</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Hills Landfill,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PA</w:t>
            </w: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USA Valley Facility,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Arizona Landfill, Inc. (fka Sanifill of AZ)</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Geneva Landfill, Inc. (fka Sanifill of OH)</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OH</w:t>
            </w: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USA Waste of Ashtabula</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Hauling of Philadelphia,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Industrial Services,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TX</w:t>
            </w: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USA Environmental Services</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Landfill Operations and Transfer, Inc. (fka Sanifill...)</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TX</w:t>
            </w:r>
          </w:p>
        </w:tc>
      </w:tr>
      <w:tr>
        <w:trPr>
          <w:trHeight w:val="170"/>
        </w:trPr>
        <w:tc>
          <w:tcPr>
            <w:tcW w:w="6860" w:type="dxa"/>
            <w:vAlign w:val="bottom"/>
            <w:gridSpan w:val="3"/>
          </w:tcPr>
          <w:p>
            <w:pPr>
              <w:spacing w:after="0"/>
              <w:rPr>
                <w:sz w:val="20"/>
                <w:szCs w:val="20"/>
                <w:color w:val="auto"/>
              </w:rPr>
            </w:pPr>
            <w:r>
              <w:rPr>
                <w:rFonts w:ascii="Courier New" w:cs="Courier New" w:eastAsia="Courier New" w:hAnsi="Courier New"/>
                <w:sz w:val="15"/>
                <w:szCs w:val="15"/>
                <w:color w:val="auto"/>
              </w:rPr>
              <w:t>USA Waste- Management Resources, L.L.C.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NY</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Alaska,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California,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Connecticut,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DC, Inc. (fka LG Industries,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DC</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Illinois, Inc. (fka USA Illinois Newco)</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IL</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Kentucky, L.L.C.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Maryland, Inc. (fka Sanifill of MD)</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MD</w:t>
            </w: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A.R.D. Equipment, Inc.</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ARD Equipment Leasing Co., L.L.C.</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Debris Disposers, Ltd.</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Lowery's Trash Removal &amp; Services</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Massachusetts, Inc.</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MA</w:t>
            </w:r>
          </w:p>
        </w:tc>
      </w:tr>
      <w:tr>
        <w:trPr>
          <w:trHeight w:val="170"/>
        </w:trPr>
        <w:tc>
          <w:tcPr>
            <w:tcW w:w="78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Westcott Disposal</w:t>
            </w:r>
          </w:p>
        </w:tc>
        <w:tc>
          <w:tcPr>
            <w:tcW w:w="1240" w:type="dxa"/>
            <w:vAlign w:val="bottom"/>
          </w:tcPr>
          <w:p>
            <w:pPr>
              <w:spacing w:after="0"/>
              <w:rPr>
                <w:sz w:val="14"/>
                <w:szCs w:val="14"/>
                <w:color w:val="auto"/>
              </w:rPr>
            </w:pP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Michigan, Inc. (fka Phillips Env. (MI))</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MI</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USA Waste</w:t>
            </w:r>
          </w:p>
        </w:tc>
        <w:tc>
          <w:tcPr>
            <w:tcW w:w="6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of Minnesota, Inc. (fka Sanifill of MN Hauling)</w:t>
            </w:r>
          </w:p>
        </w:tc>
        <w:tc>
          <w:tcPr>
            <w:tcW w:w="1240" w:type="dxa"/>
            <w:vAlign w:val="bottom"/>
          </w:tcPr>
          <w:p>
            <w:pPr>
              <w:ind w:left="1060"/>
              <w:spacing w:after="0"/>
              <w:rPr>
                <w:sz w:val="20"/>
                <w:szCs w:val="20"/>
                <w:color w:val="auto"/>
              </w:rPr>
            </w:pPr>
            <w:r>
              <w:rPr>
                <w:rFonts w:ascii="Courier New" w:cs="Courier New" w:eastAsia="Courier New" w:hAnsi="Courier New"/>
                <w:sz w:val="15"/>
                <w:szCs w:val="15"/>
                <w:color w:val="auto"/>
                <w:w w:val="88"/>
              </w:rPr>
              <w:t>MN</w:t>
            </w:r>
          </w:p>
        </w:tc>
      </w:tr>
    </w:tbl>
    <w:p>
      <w:pPr>
        <w:sectPr>
          <w:pgSz w:w="11900" w:h="16838" w:orient="portrait"/>
          <w:cols w:equalWidth="0" w:num="1">
            <w:col w:w="10219"/>
          </w:cols>
          <w:pgMar w:left="240" w:top="283"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Kato Sanitation.Northwest Valley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Meeker County Transfer Station</w:t>
      </w:r>
    </w:p>
    <w:p>
      <w:pPr>
        <w:ind w:left="780"/>
        <w:spacing w:after="0"/>
        <w:rPr>
          <w:sz w:val="20"/>
          <w:szCs w:val="20"/>
          <w:color w:val="auto"/>
        </w:rPr>
      </w:pPr>
      <w:r>
        <w:rPr>
          <w:rFonts w:ascii="Courier New" w:cs="Courier New" w:eastAsia="Courier New" w:hAnsi="Courier New"/>
          <w:sz w:val="15"/>
          <w:szCs w:val="15"/>
          <w:color w:val="auto"/>
        </w:rPr>
        <w:t>West Side Hauling</w:t>
      </w:r>
    </w:p>
    <w:p>
      <w:pPr>
        <w:sectPr>
          <w:pgSz w:w="11900" w:h="16838" w:orient="portrait"/>
          <w:cols w:equalWidth="0" w:num="1">
            <w:col w:w="10219"/>
          </w:cols>
          <w:pgMar w:left="240" w:top="283"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Mississippi, Inc. (fka Chambers WS of 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of Montana, Inc. (fka Rozel Corp.)</w:t>
      </w:r>
    </w:p>
    <w:p>
      <w:pPr>
        <w:spacing w:after="0"/>
        <w:rPr>
          <w:sz w:val="20"/>
          <w:szCs w:val="20"/>
          <w:color w:val="auto"/>
        </w:rPr>
      </w:pPr>
      <w:r>
        <w:rPr>
          <w:rFonts w:ascii="Courier New" w:cs="Courier New" w:eastAsia="Courier New" w:hAnsi="Courier New"/>
          <w:sz w:val="15"/>
          <w:szCs w:val="15"/>
          <w:color w:val="auto"/>
        </w:rPr>
        <w:t>USA Waste of Nevada,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New Jersey, Inc. (fka Chambers WS of NJ)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MS</w:t>
      </w:r>
    </w:p>
    <w:p>
      <w:pPr>
        <w:spacing w:after="0" w:line="238" w:lineRule="auto"/>
        <w:rPr>
          <w:sz w:val="20"/>
          <w:szCs w:val="20"/>
          <w:color w:val="auto"/>
        </w:rPr>
      </w:pPr>
      <w:r>
        <w:rPr>
          <w:rFonts w:ascii="Courier New" w:cs="Courier New" w:eastAsia="Courier New" w:hAnsi="Courier New"/>
          <w:sz w:val="15"/>
          <w:szCs w:val="15"/>
          <w:color w:val="auto"/>
        </w:rPr>
        <w:t>MT</w:t>
      </w:r>
    </w:p>
    <w:p>
      <w:pPr>
        <w:spacing w:after="0"/>
        <w:rPr>
          <w:sz w:val="20"/>
          <w:szCs w:val="20"/>
          <w:color w:val="auto"/>
        </w:rPr>
      </w:pPr>
      <w:r>
        <w:rPr>
          <w:rFonts w:ascii="Courier New" w:cs="Courier New" w:eastAsia="Courier New" w:hAnsi="Courier New"/>
          <w:sz w:val="15"/>
          <w:szCs w:val="15"/>
          <w:color w:val="auto"/>
        </w:rPr>
        <w:t>DE</w:t>
      </w:r>
    </w:p>
    <w:p>
      <w:pPr>
        <w:spacing w:after="0"/>
        <w:rPr>
          <w:sz w:val="20"/>
          <w:szCs w:val="20"/>
          <w:color w:val="auto"/>
        </w:rPr>
      </w:pPr>
      <w:r>
        <w:rPr>
          <w:rFonts w:ascii="Courier New" w:cs="Courier New" w:eastAsia="Courier New" w:hAnsi="Courier New"/>
          <w:sz w:val="15"/>
          <w:szCs w:val="15"/>
          <w:color w:val="auto"/>
        </w:rPr>
        <w:t>NJ</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line="238" w:lineRule="auto"/>
        <w:rPr>
          <w:sz w:val="20"/>
          <w:szCs w:val="20"/>
          <w:color w:val="auto"/>
        </w:rPr>
      </w:pPr>
      <w:r>
        <w:rPr>
          <w:rFonts w:ascii="Courier New" w:cs="Courier New" w:eastAsia="Courier New" w:hAnsi="Courier New"/>
          <w:sz w:val="15"/>
          <w:szCs w:val="15"/>
          <w:color w:val="auto"/>
        </w:rPr>
        <w:t>Atlantic City Hauling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Bergen County Transfer Station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Burlington County Landfill</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New York City,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Marshall's Refuse, Inc.</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North Hempstead Transfer</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Ohio,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OH</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Johnson Disposal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Johnson Disposal Transfer &amp; Recycling Facility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Mound Transfer Station</w:t>
      </w:r>
    </w:p>
    <w:p>
      <w:pPr>
        <w:ind w:left="780"/>
        <w:spacing w:after="0"/>
        <w:rPr>
          <w:sz w:val="20"/>
          <w:szCs w:val="20"/>
          <w:color w:val="auto"/>
        </w:rPr>
      </w:pPr>
      <w:r>
        <w:rPr>
          <w:rFonts w:ascii="Courier New" w:cs="Courier New" w:eastAsia="Courier New" w:hAnsi="Courier New"/>
          <w:sz w:val="15"/>
          <w:szCs w:val="15"/>
          <w:color w:val="auto"/>
        </w:rPr>
        <w:t>Northern Ohio Waste Systems</w:t>
      </w:r>
    </w:p>
    <w:p>
      <w:pPr>
        <w:ind w:left="780"/>
        <w:spacing w:after="0"/>
        <w:rPr>
          <w:sz w:val="20"/>
          <w:szCs w:val="20"/>
          <w:color w:val="auto"/>
        </w:rPr>
      </w:pPr>
      <w:r>
        <w:rPr>
          <w:rFonts w:ascii="Courier New" w:cs="Courier New" w:eastAsia="Courier New" w:hAnsi="Courier New"/>
          <w:sz w:val="15"/>
          <w:szCs w:val="15"/>
          <w:color w:val="auto"/>
        </w:rPr>
        <w:t>Reliable Sanitation</w:t>
      </w:r>
    </w:p>
    <w:p>
      <w:pPr>
        <w:ind w:left="780"/>
        <w:spacing w:after="0" w:line="238" w:lineRule="auto"/>
        <w:rPr>
          <w:sz w:val="20"/>
          <w:szCs w:val="20"/>
          <w:color w:val="auto"/>
        </w:rPr>
      </w:pPr>
      <w:r>
        <w:rPr>
          <w:rFonts w:ascii="Courier New" w:cs="Courier New" w:eastAsia="Courier New" w:hAnsi="Courier New"/>
          <w:sz w:val="15"/>
          <w:szCs w:val="15"/>
          <w:color w:val="auto"/>
        </w:rPr>
        <w:t>Sanitary Commercial Services</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Oregon,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Alpine Disposal &amp; Recycling</w:t>
      </w:r>
    </w:p>
    <w:p>
      <w:pPr>
        <w:ind w:left="780"/>
        <w:spacing w:after="0" w:line="238" w:lineRule="auto"/>
        <w:rPr>
          <w:sz w:val="20"/>
          <w:szCs w:val="20"/>
          <w:color w:val="auto"/>
        </w:rPr>
      </w:pPr>
      <w:r>
        <w:rPr>
          <w:rFonts w:ascii="Courier New" w:cs="Courier New" w:eastAsia="Courier New" w:hAnsi="Courier New"/>
          <w:sz w:val="15"/>
          <w:szCs w:val="15"/>
          <w:color w:val="auto"/>
        </w:rPr>
        <w:t>Energy Reclamation</w:t>
      </w:r>
    </w:p>
    <w:p>
      <w:pPr>
        <w:ind w:left="780"/>
        <w:spacing w:after="0"/>
        <w:rPr>
          <w:sz w:val="20"/>
          <w:szCs w:val="20"/>
          <w:color w:val="auto"/>
        </w:rPr>
      </w:pPr>
      <w:r>
        <w:rPr>
          <w:rFonts w:ascii="Courier New" w:cs="Courier New" w:eastAsia="Courier New" w:hAnsi="Courier New"/>
          <w:sz w:val="15"/>
          <w:szCs w:val="15"/>
          <w:color w:val="auto"/>
        </w:rPr>
        <w:t>Forest Grove Transfer Station</w:t>
      </w:r>
    </w:p>
    <w:p>
      <w:pPr>
        <w:ind w:left="780"/>
        <w:spacing w:after="0"/>
        <w:rPr>
          <w:sz w:val="20"/>
          <w:szCs w:val="20"/>
          <w:color w:val="auto"/>
        </w:rPr>
      </w:pPr>
      <w:r>
        <w:rPr>
          <w:rFonts w:ascii="Courier New" w:cs="Courier New" w:eastAsia="Courier New" w:hAnsi="Courier New"/>
          <w:sz w:val="15"/>
          <w:szCs w:val="15"/>
          <w:color w:val="auto"/>
        </w:rPr>
        <w:t>Klamath Disposal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Metropolitan Disposal &amp; Recycling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Mt. Hood Refuse</w:t>
      </w:r>
    </w:p>
    <w:p>
      <w:pPr>
        <w:ind w:left="780"/>
        <w:spacing w:after="0"/>
        <w:rPr>
          <w:sz w:val="20"/>
          <w:szCs w:val="20"/>
          <w:color w:val="auto"/>
        </w:rPr>
      </w:pPr>
      <w:r>
        <w:rPr>
          <w:rFonts w:ascii="Courier New" w:cs="Courier New" w:eastAsia="Courier New" w:hAnsi="Courier New"/>
          <w:sz w:val="15"/>
          <w:szCs w:val="15"/>
          <w:color w:val="auto"/>
        </w:rPr>
        <w:t>Sandy Transfer Station</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Pennsylvania,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w:t>
      </w:r>
    </w:p>
    <w:p>
      <w:pPr>
        <w:spacing w:after="0" w:line="4"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Helmick's Sanitation and General Hauling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Kittinning Transfer Station</w:t>
      </w:r>
    </w:p>
    <w:p>
      <w:pPr>
        <w:ind w:left="780"/>
        <w:spacing w:after="0"/>
        <w:rPr>
          <w:sz w:val="20"/>
          <w:szCs w:val="20"/>
          <w:color w:val="auto"/>
        </w:rPr>
      </w:pPr>
      <w:r>
        <w:rPr>
          <w:rFonts w:ascii="Courier New" w:cs="Courier New" w:eastAsia="Courier New" w:hAnsi="Courier New"/>
          <w:sz w:val="15"/>
          <w:szCs w:val="15"/>
          <w:color w:val="auto"/>
        </w:rPr>
        <w:t>LeHigh Hauling</w:t>
      </w:r>
    </w:p>
    <w:p>
      <w:pPr>
        <w:ind w:left="780"/>
        <w:spacing w:after="0"/>
        <w:rPr>
          <w:sz w:val="20"/>
          <w:szCs w:val="20"/>
          <w:color w:val="auto"/>
        </w:rPr>
      </w:pPr>
      <w:r>
        <w:rPr>
          <w:rFonts w:ascii="Courier New" w:cs="Courier New" w:eastAsia="Courier New" w:hAnsi="Courier New"/>
          <w:sz w:val="15"/>
          <w:szCs w:val="15"/>
          <w:color w:val="auto"/>
        </w:rPr>
        <w:t>Mainline Sanitation</w:t>
      </w:r>
    </w:p>
    <w:p>
      <w:pPr>
        <w:ind w:left="780"/>
        <w:spacing w:after="0" w:line="238" w:lineRule="auto"/>
        <w:rPr>
          <w:sz w:val="20"/>
          <w:szCs w:val="20"/>
          <w:color w:val="auto"/>
        </w:rPr>
      </w:pPr>
      <w:r>
        <w:rPr>
          <w:rFonts w:ascii="Courier New" w:cs="Courier New" w:eastAsia="Courier New" w:hAnsi="Courier New"/>
          <w:sz w:val="15"/>
          <w:szCs w:val="15"/>
          <w:color w:val="auto"/>
        </w:rPr>
        <w:t>Tri-Valley Recycling</w:t>
      </w:r>
    </w:p>
    <w:p>
      <w:pPr>
        <w:ind w:left="780"/>
        <w:spacing w:after="0"/>
        <w:rPr>
          <w:sz w:val="20"/>
          <w:szCs w:val="20"/>
          <w:color w:val="auto"/>
        </w:rPr>
      </w:pPr>
      <w:r>
        <w:rPr>
          <w:rFonts w:ascii="Courier New" w:cs="Courier New" w:eastAsia="Courier New" w:hAnsi="Courier New"/>
          <w:sz w:val="15"/>
          <w:szCs w:val="15"/>
          <w:color w:val="auto"/>
        </w:rPr>
        <w:t>Tri-Valley Waste Systems</w:t>
      </w:r>
    </w:p>
    <w:p>
      <w:pPr>
        <w:ind w:left="780"/>
        <w:spacing w:after="0"/>
        <w:rPr>
          <w:sz w:val="20"/>
          <w:szCs w:val="20"/>
          <w:color w:val="auto"/>
        </w:rPr>
      </w:pPr>
      <w:r>
        <w:rPr>
          <w:rFonts w:ascii="Courier New" w:cs="Courier New" w:eastAsia="Courier New" w:hAnsi="Courier New"/>
          <w:sz w:val="15"/>
          <w:szCs w:val="15"/>
          <w:color w:val="auto"/>
        </w:rPr>
        <w:t>USA Waste of Harrisburg</w:t>
      </w:r>
    </w:p>
    <w:p>
      <w:pPr>
        <w:sectPr>
          <w:pgSz w:w="11900" w:h="16838" w:orient="portrait"/>
          <w:cols w:equalWidth="0" w:num="1">
            <w:col w:w="10219"/>
          </w:cols>
          <w:pgMar w:left="240" w:top="28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Rhode Island, Inc. (fka Chambers WS of RI)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of Tennessee, Inc. (fka Chambers of TN)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rPr>
          <w:sz w:val="20"/>
          <w:szCs w:val="20"/>
          <w:color w:val="auto"/>
        </w:rPr>
      </w:pPr>
      <w:r>
        <w:rPr>
          <w:rFonts w:ascii="Courier New" w:cs="Courier New" w:eastAsia="Courier New" w:hAnsi="Courier New"/>
          <w:sz w:val="15"/>
          <w:szCs w:val="15"/>
          <w:color w:val="auto"/>
        </w:rPr>
        <w:t>TN</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Nashville Hauling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Nashville Transfer</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of Texas Landfills,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of Virginia Landfills, Inc. (fka Sanifill of 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rPr>
          <w:sz w:val="20"/>
          <w:szCs w:val="20"/>
          <w:color w:val="auto"/>
        </w:rPr>
      </w:pPr>
      <w:r>
        <w:rPr>
          <w:rFonts w:ascii="Courier New" w:cs="Courier New" w:eastAsia="Courier New" w:hAnsi="Courier New"/>
          <w:sz w:val="15"/>
          <w:szCs w:val="15"/>
          <w:color w:val="auto"/>
        </w:rPr>
        <w:t>DE</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Bethel Landfill</w:t>
      </w:r>
    </w:p>
    <w:p>
      <w:pPr>
        <w:ind w:left="780"/>
        <w:spacing w:after="0" w:line="238" w:lineRule="auto"/>
        <w:rPr>
          <w:sz w:val="20"/>
          <w:szCs w:val="20"/>
          <w:color w:val="auto"/>
        </w:rPr>
      </w:pPr>
      <w:r>
        <w:rPr>
          <w:rFonts w:ascii="Courier New" w:cs="Courier New" w:eastAsia="Courier New" w:hAnsi="Courier New"/>
          <w:sz w:val="15"/>
          <w:szCs w:val="15"/>
          <w:color w:val="auto"/>
        </w:rPr>
        <w:t>Bushrod Disposal Service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James City County Transfer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Qualla Road Landfill</w:t>
      </w:r>
    </w:p>
    <w:p>
      <w:pPr>
        <w:sectPr>
          <w:pgSz w:w="11900" w:h="16838" w:orient="portrait"/>
          <w:cols w:equalWidth="0" w:num="1">
            <w:col w:w="1021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USA Waste of Virginia, Inc. (fka Chambers Devlp of VA)</w:t>
      </w:r>
    </w:p>
    <w:p>
      <w:pPr>
        <w:spacing w:after="0"/>
        <w:rPr>
          <w:sz w:val="20"/>
          <w:szCs w:val="20"/>
          <w:color w:val="auto"/>
        </w:rPr>
      </w:pPr>
      <w:r>
        <w:rPr>
          <w:rFonts w:ascii="Courier New" w:cs="Courier New" w:eastAsia="Courier New" w:hAnsi="Courier New"/>
          <w:sz w:val="15"/>
          <w:szCs w:val="15"/>
          <w:color w:val="auto"/>
        </w:rPr>
        <w:t>USA Waste of West Virginia, Inc. (fka Chambers of WVA)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Recycling of New Jersey, Inc. (fka Safety Recycling)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VA</w:t>
      </w:r>
    </w:p>
    <w:p>
      <w:pPr>
        <w:spacing w:after="0"/>
        <w:rPr>
          <w:sz w:val="20"/>
          <w:szCs w:val="20"/>
          <w:color w:val="auto"/>
        </w:rPr>
      </w:pPr>
      <w:r>
        <w:rPr>
          <w:rFonts w:ascii="Courier New" w:cs="Courier New" w:eastAsia="Courier New" w:hAnsi="Courier New"/>
          <w:sz w:val="15"/>
          <w:szCs w:val="15"/>
          <w:color w:val="auto"/>
        </w:rPr>
        <w:t>WV</w:t>
      </w:r>
    </w:p>
    <w:p>
      <w:pPr>
        <w:spacing w:after="0" w:line="238" w:lineRule="auto"/>
        <w:rPr>
          <w:sz w:val="20"/>
          <w:szCs w:val="20"/>
          <w:color w:val="auto"/>
        </w:rPr>
      </w:pPr>
      <w:r>
        <w:rPr>
          <w:rFonts w:ascii="Courier New" w:cs="Courier New" w:eastAsia="Courier New" w:hAnsi="Courier New"/>
          <w:sz w:val="15"/>
          <w:szCs w:val="15"/>
          <w:color w:val="auto"/>
        </w:rPr>
        <w:t>NJ</w:t>
      </w:r>
    </w:p>
    <w:p>
      <w:pPr>
        <w:spacing w:after="0" w:line="5"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Safety Recycling</w:t>
      </w:r>
    </w:p>
    <w:p>
      <w:pPr>
        <w:sectPr>
          <w:pgSz w:w="11900" w:h="16838" w:orient="portrait"/>
          <w:cols w:equalWidth="0" w:num="1">
            <w:col w:w="10219"/>
          </w:cols>
          <w:pgMar w:left="240" w:top="283"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North Carolina Landfills,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Anson Road Landfill</w:t>
      </w:r>
    </w:p>
    <w:p>
      <w:pPr>
        <w:spacing w:after="0" w:line="1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Coble Road Landfill</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of Nevada, Inc.</w:t>
      </w:r>
    </w:p>
    <w:p>
      <w:pPr>
        <w:spacing w:after="0"/>
        <w:rPr>
          <w:sz w:val="20"/>
          <w:szCs w:val="20"/>
          <w:color w:val="auto"/>
        </w:rPr>
      </w:pPr>
      <w:r>
        <w:rPr>
          <w:rFonts w:ascii="Courier New" w:cs="Courier New" w:eastAsia="Courier New" w:hAnsi="Courier New"/>
          <w:sz w:val="15"/>
          <w:szCs w:val="15"/>
          <w:color w:val="auto"/>
        </w:rPr>
        <w:t>USA Waste Services of NYC,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USA Waste Services of Western Illinois,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NV</w:t>
      </w:r>
    </w:p>
    <w:p>
      <w:pPr>
        <w:spacing w:after="0"/>
        <w:rPr>
          <w:sz w:val="20"/>
          <w:szCs w:val="20"/>
          <w:color w:val="auto"/>
        </w:rPr>
      </w:pPr>
      <w:r>
        <w:rPr>
          <w:rFonts w:ascii="Courier New" w:cs="Courier New" w:eastAsia="Courier New" w:hAnsi="Courier New"/>
          <w:sz w:val="15"/>
          <w:szCs w:val="15"/>
          <w:color w:val="auto"/>
        </w:rPr>
        <w:t>DE</w:t>
      </w:r>
    </w:p>
    <w:p>
      <w:pPr>
        <w:spacing w:after="0"/>
        <w:rPr>
          <w:sz w:val="20"/>
          <w:szCs w:val="20"/>
          <w:color w:val="auto"/>
        </w:rPr>
      </w:pPr>
      <w:r>
        <w:rPr>
          <w:rFonts w:ascii="Courier New" w:cs="Courier New" w:eastAsia="Courier New" w:hAnsi="Courier New"/>
          <w:sz w:val="15"/>
          <w:szCs w:val="15"/>
          <w:color w:val="auto"/>
        </w:rPr>
        <w:t>IL</w:t>
      </w:r>
    </w:p>
    <w:p>
      <w:pPr>
        <w:sectPr>
          <w:pgSz w:w="11900" w:h="16838" w:orient="portrait"/>
          <w:cols w:equalWidth="0" w:num="2">
            <w:col w:w="7200" w:space="720"/>
            <w:col w:w="2299"/>
          </w:cols>
          <w:pgMar w:left="240" w:top="283" w:right="1440"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170"/>
        </w:trPr>
        <w:tc>
          <w:tcPr>
            <w:tcW w:w="608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2460" w:type="dxa"/>
            <w:vAlign w:val="bottom"/>
          </w:tcPr>
          <w:p>
            <w:pPr>
              <w:spacing w:after="0"/>
              <w:rPr>
                <w:sz w:val="14"/>
                <w:szCs w:val="14"/>
                <w:color w:val="auto"/>
              </w:rPr>
            </w:pPr>
          </w:p>
        </w:tc>
      </w:tr>
      <w:tr>
        <w:trPr>
          <w:trHeight w:val="848"/>
        </w:trPr>
        <w:tc>
          <w:tcPr>
            <w:tcW w:w="6080" w:type="dxa"/>
            <w:vAlign w:val="bottom"/>
          </w:tcPr>
          <w:p>
            <w:pPr>
              <w:spacing w:after="0"/>
              <w:rPr>
                <w:sz w:val="20"/>
                <w:szCs w:val="20"/>
                <w:color w:val="auto"/>
              </w:rPr>
            </w:pPr>
            <w:r>
              <w:rPr>
                <w:rFonts w:ascii="Courier New" w:cs="Courier New" w:eastAsia="Courier New" w:hAnsi="Courier New"/>
                <w:sz w:val="15"/>
                <w:szCs w:val="15"/>
                <w:color w:val="auto"/>
              </w:rPr>
              <w:t>USA Waste Services-Hickory Hills, L.L.C.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USA Waste Transfer of New Jersey, Inc. (fka Ellesor)</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NJ</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USA Waste Transfer of Philadelphia,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UWS Barre,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UWS of Rhode Island,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RI</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Truk-Away of R.I.</w:t>
            </w:r>
          </w:p>
        </w:tc>
        <w:tc>
          <w:tcPr>
            <w:tcW w:w="24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UWS Transport,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Container Service</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Control</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Wasteco</w:t>
            </w:r>
          </w:p>
        </w:tc>
        <w:tc>
          <w:tcPr>
            <w:tcW w:w="24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V&amp;W Investments,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VAI  VA Projekt AS</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Valdenza Srl</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Valley Garbage Service,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WA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Van Len Recycling B.V.</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Van Loenen Millieu B.V.</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Van Loenen Transport en Verhuur B.V.</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Vanerborgs Stadbudsbyra AB</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VAR Projekt AS</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VE-Part S.r.1.</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7"/>
              </w:rPr>
              <w:t>ITALY</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Vern's Refuse Service,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ND</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Vinton county Sanitary Facility,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Vliko B.V.</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 van Loenen Beheer B.V.</w:t>
            </w:r>
          </w:p>
        </w:tc>
        <w:tc>
          <w:tcPr>
            <w:tcW w:w="2460" w:type="dxa"/>
            <w:vAlign w:val="bottom"/>
          </w:tcPr>
          <w:p>
            <w:pPr>
              <w:jc w:val="center"/>
              <w:ind w:left="142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W/W Risk Management,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Wallkill Recyclable Products,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Wallkill/Mid-Hudson Development Co., L.L.C.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NY</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Walters and Vann,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Winton Disposal</w:t>
            </w:r>
          </w:p>
        </w:tc>
        <w:tc>
          <w:tcPr>
            <w:tcW w:w="24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Warner Company</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Warner West</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Warner East</w:t>
            </w:r>
          </w:p>
        </w:tc>
        <w:tc>
          <w:tcPr>
            <w:tcW w:w="24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Warren Waste Transfer,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Wasco Landfill,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Washington Waste Hauling &amp; Recycling,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Mountain Group-Northwest Office</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Port-O-Let</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Recycle America</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Valley Topsoil</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Management-Northwest</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Ellensburg</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Greater Wenatchee</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Kennewick</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Seattle</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Spokane</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 Yakima</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Management-SnoKing</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Management-Rainier</w:t>
            </w:r>
          </w:p>
        </w:tc>
        <w:tc>
          <w:tcPr>
            <w:tcW w:w="2460" w:type="dxa"/>
            <w:vAlign w:val="bottom"/>
          </w:tcPr>
          <w:p>
            <w:pPr>
              <w:spacing w:after="0"/>
              <w:rPr>
                <w:sz w:val="14"/>
                <w:szCs w:val="14"/>
                <w:color w:val="auto"/>
              </w:rPr>
            </w:pPr>
          </w:p>
        </w:tc>
      </w:tr>
      <w:tr>
        <w:trPr>
          <w:trHeight w:val="170"/>
        </w:trPr>
        <w:tc>
          <w:tcPr>
            <w:tcW w:w="6080" w:type="dxa"/>
            <w:vAlign w:val="bottom"/>
          </w:tcPr>
          <w:p>
            <w:pPr>
              <w:ind w:left="780"/>
              <w:spacing w:after="0"/>
              <w:rPr>
                <w:sz w:val="20"/>
                <w:szCs w:val="20"/>
                <w:color w:val="auto"/>
              </w:rPr>
            </w:pPr>
            <w:r>
              <w:rPr>
                <w:rFonts w:ascii="Courier New" w:cs="Courier New" w:eastAsia="Courier New" w:hAnsi="Courier New"/>
                <w:sz w:val="15"/>
                <w:szCs w:val="15"/>
                <w:color w:val="auto"/>
              </w:rPr>
              <w:t>WMI Services</w:t>
            </w:r>
          </w:p>
        </w:tc>
        <w:tc>
          <w:tcPr>
            <w:tcW w:w="2460" w:type="dxa"/>
            <w:vAlign w:val="bottom"/>
          </w:tcPr>
          <w:p>
            <w:pPr>
              <w:spacing w:after="0"/>
              <w:rPr>
                <w:sz w:val="14"/>
                <w:szCs w:val="14"/>
                <w:color w:val="auto"/>
              </w:rPr>
            </w:pP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Washington Waste Systems,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WA</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Wasilla Refuse, Inc.</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Wass Entreprenad AB</w:t>
            </w:r>
          </w:p>
        </w:tc>
        <w:tc>
          <w:tcPr>
            <w:tcW w:w="2460" w:type="dxa"/>
            <w:vAlign w:val="bottom"/>
          </w:tcPr>
          <w:p>
            <w:pPr>
              <w:jc w:val="center"/>
              <w:ind w:left="1327"/>
              <w:spacing w:after="0"/>
              <w:rPr>
                <w:sz w:val="20"/>
                <w:szCs w:val="20"/>
                <w:color w:val="auto"/>
              </w:rPr>
            </w:pPr>
            <w:r>
              <w:rPr>
                <w:rFonts w:ascii="Courier New" w:cs="Courier New" w:eastAsia="Courier New" w:hAnsi="Courier New"/>
                <w:sz w:val="15"/>
                <w:szCs w:val="15"/>
                <w:color w:val="auto"/>
                <w:w w:val="99"/>
              </w:rPr>
              <w:t>SWEDEN</w:t>
            </w:r>
          </w:p>
        </w:tc>
      </w:tr>
    </w:tbl>
    <w:p>
      <w:pPr>
        <w:sectPr>
          <w:pgSz w:w="11900" w:h="16838" w:orient="portrait"/>
          <w:cols w:equalWidth="0" w:num="1">
            <w:col w:w="10219"/>
          </w:cols>
          <w:pgMar w:left="240" w:top="283"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Away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Environmental Waste Systems</w:t>
      </w:r>
    </w:p>
    <w:p>
      <w:pPr>
        <w:ind w:left="780"/>
        <w:spacing w:after="0"/>
        <w:rPr>
          <w:sz w:val="20"/>
          <w:szCs w:val="20"/>
          <w:color w:val="auto"/>
        </w:rPr>
      </w:pPr>
      <w:r>
        <w:rPr>
          <w:rFonts w:ascii="Courier New" w:cs="Courier New" w:eastAsia="Courier New" w:hAnsi="Courier New"/>
          <w:sz w:val="15"/>
          <w:szCs w:val="15"/>
          <w:color w:val="auto"/>
        </w:rPr>
        <w:t>LaGrange Transfer Station</w:t>
      </w:r>
    </w:p>
    <w:p>
      <w:pPr>
        <w:ind w:left="780"/>
        <w:spacing w:after="0" w:line="238" w:lineRule="auto"/>
        <w:rPr>
          <w:sz w:val="20"/>
          <w:szCs w:val="20"/>
          <w:color w:val="auto"/>
        </w:rPr>
      </w:pPr>
      <w:r>
        <w:rPr>
          <w:rFonts w:ascii="Courier New" w:cs="Courier New" w:eastAsia="Courier New" w:hAnsi="Courier New"/>
          <w:sz w:val="15"/>
          <w:szCs w:val="15"/>
          <w:color w:val="auto"/>
        </w:rPr>
        <w:t>Montgomery Transfer Station</w:t>
      </w:r>
    </w:p>
    <w:p>
      <w:pPr>
        <w:ind w:left="780"/>
        <w:spacing w:after="0"/>
        <w:rPr>
          <w:sz w:val="20"/>
          <w:szCs w:val="20"/>
          <w:color w:val="auto"/>
        </w:rPr>
      </w:pPr>
      <w:r>
        <w:rPr>
          <w:rFonts w:ascii="Courier New" w:cs="Courier New" w:eastAsia="Courier New" w:hAnsi="Courier New"/>
          <w:sz w:val="15"/>
          <w:szCs w:val="15"/>
          <w:color w:val="auto"/>
        </w:rPr>
        <w:t>Phenix City Transfer</w:t>
      </w:r>
    </w:p>
    <w:p>
      <w:pPr>
        <w:ind w:left="780"/>
        <w:spacing w:after="0"/>
        <w:rPr>
          <w:sz w:val="20"/>
          <w:szCs w:val="20"/>
          <w:color w:val="auto"/>
        </w:rPr>
      </w:pPr>
      <w:r>
        <w:rPr>
          <w:rFonts w:ascii="Courier New" w:cs="Courier New" w:eastAsia="Courier New" w:hAnsi="Courier New"/>
          <w:sz w:val="15"/>
          <w:szCs w:val="15"/>
          <w:color w:val="auto"/>
        </w:rPr>
        <w:t>Springhill Landfill</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Waste Management of Alabama- Central</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Waste Management of Alabama- East</w:t>
      </w:r>
    </w:p>
    <w:p>
      <w:pPr>
        <w:ind w:left="780"/>
        <w:spacing w:after="0"/>
        <w:rPr>
          <w:sz w:val="20"/>
          <w:szCs w:val="20"/>
          <w:color w:val="auto"/>
        </w:rPr>
      </w:pPr>
      <w:r>
        <w:rPr>
          <w:rFonts w:ascii="Courier New" w:cs="Courier New" w:eastAsia="Courier New" w:hAnsi="Courier New"/>
          <w:sz w:val="15"/>
          <w:szCs w:val="15"/>
          <w:color w:val="auto"/>
        </w:rPr>
        <w:t>Waste Management of Alabama- North</w:t>
      </w:r>
    </w:p>
    <w:p>
      <w:pPr>
        <w:ind w:left="780"/>
        <w:spacing w:after="0"/>
        <w:rPr>
          <w:sz w:val="20"/>
          <w:szCs w:val="20"/>
          <w:color w:val="auto"/>
        </w:rPr>
      </w:pPr>
      <w:r>
        <w:rPr>
          <w:rFonts w:ascii="Courier New" w:cs="Courier New" w:eastAsia="Courier New" w:hAnsi="Courier New"/>
          <w:sz w:val="15"/>
          <w:szCs w:val="15"/>
          <w:color w:val="auto"/>
        </w:rPr>
        <w:t>Waste Management of Alabama- South</w:t>
      </w:r>
    </w:p>
    <w:p>
      <w:pPr>
        <w:sectPr>
          <w:pgSz w:w="11900" w:h="16838" w:orient="portrait"/>
          <w:cols w:equalWidth="0" w:num="1">
            <w:col w:w="10219"/>
          </w:cols>
          <w:pgMar w:left="240" w:top="283" w:right="1440"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6520" w:type="dxa"/>
            <w:vAlign w:val="bottom"/>
            <w:gridSpan w:val="3"/>
          </w:tcPr>
          <w:p>
            <w:pPr>
              <w:spacing w:after="0" w:line="169" w:lineRule="exact"/>
              <w:rPr>
                <w:sz w:val="20"/>
                <w:szCs w:val="20"/>
                <w:color w:val="auto"/>
              </w:rPr>
            </w:pPr>
            <w:r>
              <w:rPr>
                <w:rFonts w:ascii="Courier New" w:cs="Courier New" w:eastAsia="Courier New" w:hAnsi="Courier New"/>
                <w:sz w:val="15"/>
                <w:szCs w:val="15"/>
                <w:color w:val="auto"/>
              </w:rPr>
              <w:t>Waste Clearance (Holdings) Limited</w:t>
            </w:r>
          </w:p>
        </w:tc>
        <w:tc>
          <w:tcPr>
            <w:tcW w:w="2100" w:type="dxa"/>
            <w:vAlign w:val="bottom"/>
          </w:tcPr>
          <w:p>
            <w:pPr>
              <w:jc w:val="center"/>
              <w:ind w:left="807"/>
              <w:spacing w:after="0" w:line="169" w:lineRule="exact"/>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Control Systems,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(Auckland) Ltd</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NEW ZEALAND</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(Land)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(Rock Common)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(Roxby)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(UK) Holdings Ltd.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(W.M.) Israel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ISRAEL</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Asia B.V.</w:t>
            </w:r>
          </w:p>
        </w:tc>
        <w:tc>
          <w:tcPr>
            <w:tcW w:w="4240" w:type="dxa"/>
            <w:vAlign w:val="bottom"/>
          </w:tcPr>
          <w:p>
            <w:pPr>
              <w:spacing w:after="0"/>
              <w:rPr>
                <w:sz w:val="14"/>
                <w:szCs w:val="14"/>
                <w:color w:val="auto"/>
              </w:rPr>
            </w:pP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Austria mbH</w:t>
            </w:r>
          </w:p>
        </w:tc>
        <w:tc>
          <w:tcPr>
            <w:tcW w:w="210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AUSTRIA</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Collection and Recycling,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American Waste Systems</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Empire Waste Management</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Great Western Reclamation</w:t>
            </w:r>
          </w:p>
        </w:tc>
        <w:tc>
          <w:tcPr>
            <w:tcW w:w="210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Recycle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America</w:t>
            </w:r>
          </w:p>
        </w:tc>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SAWDCO Collection</w:t>
            </w:r>
          </w:p>
        </w:tc>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Sunset Environment</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Valley Waste Management</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Inland Valley</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Sacramento</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San Gabriel/Pomona Valley</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Santa Cruz County</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the Central Valley</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Woodland</w:t>
            </w:r>
          </w:p>
        </w:tc>
        <w:tc>
          <w:tcPr>
            <w:tcW w:w="2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Czechoslovakia s.r.o.</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CZECHOSLOVAKIA</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 Mexico, S.A. de C.V.</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MEXICO</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Denmark A/S</w:t>
            </w:r>
          </w:p>
        </w:tc>
        <w:tc>
          <w:tcPr>
            <w:tcW w:w="210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8"/>
              </w:rPr>
              <w:t>DENMARK</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Development B.V.</w:t>
            </w:r>
          </w:p>
        </w:tc>
        <w:tc>
          <w:tcPr>
            <w:tcW w:w="210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Arizona,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Colorado,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CO</w:t>
            </w: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Central</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Weld Sanitary Landfill</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Colorado Springs</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Recycling 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County Line Recycling 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Denver/Arapahoe Disposal Site</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East Weld Sanitary Landfill</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North Weld Sanitary Landfill</w:t>
            </w:r>
          </w:p>
        </w:tc>
        <w:tc>
          <w:tcPr>
            <w:tcW w:w="2100" w:type="dxa"/>
            <w:vAlign w:val="bottom"/>
          </w:tcPr>
          <w:p>
            <w:pPr>
              <w:spacing w:after="0"/>
              <w:rPr>
                <w:sz w:val="14"/>
                <w:szCs w:val="14"/>
                <w:color w:val="auto"/>
              </w:rPr>
            </w:pP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of Colorado- Landfill Division</w:t>
            </w:r>
          </w:p>
        </w:tc>
        <w:tc>
          <w:tcPr>
            <w:tcW w:w="2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Maine,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ME</w:t>
            </w: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Disposal Services of Maine- Crossroads</w:t>
            </w:r>
          </w:p>
        </w:tc>
        <w:tc>
          <w:tcPr>
            <w:tcW w:w="2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Maryland,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22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Sandy Hill</w:t>
            </w:r>
          </w:p>
        </w:tc>
        <w:tc>
          <w:tcPr>
            <w:tcW w:w="424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Massachusetts,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4240" w:type="dxa"/>
            <w:vAlign w:val="bottom"/>
          </w:tcPr>
          <w:p>
            <w:pPr>
              <w:spacing w:after="0"/>
              <w:rPr>
                <w:sz w:val="20"/>
                <w:szCs w:val="20"/>
                <w:color w:val="auto"/>
              </w:rPr>
            </w:pPr>
            <w:r>
              <w:rPr>
                <w:rFonts w:ascii="Courier New" w:cs="Courier New" w:eastAsia="Courier New" w:hAnsi="Courier New"/>
                <w:sz w:val="15"/>
                <w:szCs w:val="15"/>
                <w:color w:val="auto"/>
              </w:rPr>
              <w:t>Services of Oregon,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bl>
    <w:p>
      <w:pPr>
        <w:ind w:left="780"/>
        <w:spacing w:after="0"/>
        <w:rPr>
          <w:sz w:val="20"/>
          <w:szCs w:val="20"/>
          <w:color w:val="auto"/>
        </w:rPr>
      </w:pPr>
      <w:r>
        <w:rPr>
          <w:rFonts w:ascii="Courier New" w:cs="Courier New" w:eastAsia="Courier New" w:hAnsi="Courier New"/>
          <w:sz w:val="15"/>
          <w:szCs w:val="15"/>
          <w:color w:val="auto"/>
        </w:rPr>
        <w:t>Columbia Ridge Landfill and Recycling Center</w:t>
      </w:r>
    </w:p>
    <w:p>
      <w:pPr>
        <w:sectPr>
          <w:pgSz w:w="11900" w:h="16838" w:orient="portrait"/>
          <w:cols w:equalWidth="0" w:num="1">
            <w:col w:w="10219"/>
          </w:cols>
          <w:pgMar w:left="240" w:top="283" w:right="1440" w:bottom="144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170"/>
        </w:trPr>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512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848"/>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Oregon Waste Systems</w:t>
            </w:r>
          </w:p>
        </w:tc>
        <w:tc>
          <w:tcPr>
            <w:tcW w:w="2060" w:type="dxa"/>
            <w:vAlign w:val="bottom"/>
          </w:tcPr>
          <w:p>
            <w:pPr>
              <w:spacing w:after="0"/>
              <w:rPr>
                <w:sz w:val="24"/>
                <w:szCs w:val="2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 Services of Pennsylvania,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PA</w:t>
            </w: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Burlington County Resource Recovery Facilities Complex</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G.R.O.W.S. Landfill</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Meadowlands Baler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Meadowland Recycling and Disposal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Northwest Sanitary Landfill</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Pottstown Landfill and Recycling Center</w:t>
            </w:r>
          </w:p>
        </w:tc>
        <w:tc>
          <w:tcPr>
            <w:tcW w:w="206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 Services of Virginia,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Middle Peninsula Landfill and Recycling Facility</w:t>
            </w:r>
          </w:p>
        </w:tc>
        <w:tc>
          <w:tcPr>
            <w:tcW w:w="206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 Services of Washington,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Greater</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Wenatchee Regional Landfill and Recycling Center</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Washington</w:t>
            </w:r>
          </w:p>
        </w:tc>
        <w:tc>
          <w:tcPr>
            <w:tcW w:w="206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Do Brasil, Ltda</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BRAZIL</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Environmental Services B.V.</w:t>
            </w:r>
          </w:p>
        </w:tc>
        <w:tc>
          <w:tcPr>
            <w:tcW w:w="206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Federal Services of Colorado,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Federal Services of Hanford,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Federal Services of Idaho,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Federal Services,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Financing Corp.</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Geotech,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GmbH &amp; Co. MVA Hamm oHG</w:t>
            </w:r>
          </w:p>
        </w:tc>
        <w:tc>
          <w:tcPr>
            <w:tcW w:w="206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Greece AAE</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GREECE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Holdings, Inc. (f/k/a Waste Management,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Inc., of Florida</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Atlantic Waste Management</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Broward</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Central</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Environmental Waste Systems</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Florida</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Environmental Waste</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Florida</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Disposal</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Florida</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Resource Management</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Gulf Coast Recycling and Disposal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Hillsborough Heights Recycling and Disposal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Medly Landfill &amp; Recycling Center</w:t>
            </w:r>
          </w:p>
        </w:tc>
        <w:tc>
          <w:tcPr>
            <w:tcW w:w="2060" w:type="dxa"/>
            <w:vAlign w:val="bottom"/>
          </w:tcPr>
          <w:p>
            <w:pPr>
              <w:spacing w:after="0"/>
              <w:rPr>
                <w:sz w:val="14"/>
                <w:szCs w:val="14"/>
                <w:color w:val="auto"/>
              </w:rPr>
            </w:pPr>
          </w:p>
        </w:tc>
      </w:tr>
      <w:tr>
        <w:trPr>
          <w:trHeight w:val="170"/>
        </w:trPr>
        <w:tc>
          <w:tcPr>
            <w:tcW w:w="1440" w:type="dxa"/>
            <w:vAlign w:val="bottom"/>
          </w:tcPr>
          <w:p>
            <w:pPr>
              <w:ind w:left="780"/>
              <w:spacing w:after="0"/>
              <w:rPr>
                <w:sz w:val="20"/>
                <w:szCs w:val="20"/>
                <w:color w:val="auto"/>
              </w:rPr>
            </w:pPr>
            <w:r>
              <w:rPr>
                <w:rFonts w:ascii="Courier New" w:cs="Courier New" w:eastAsia="Courier New" w:hAnsi="Courier New"/>
                <w:sz w:val="15"/>
                <w:szCs w:val="15"/>
                <w:color w:val="auto"/>
              </w:rPr>
              <w:t>Rubbish</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Gobbler</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Southeast recycling and Disposal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Southern Sanitation Service</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South Florida Service Center</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United Sanitation Recycling and Disposal Facility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Bay County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Collier County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Dade County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Monroe County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Pasco County</w:t>
            </w:r>
          </w:p>
        </w:tc>
        <w:tc>
          <w:tcPr>
            <w:tcW w:w="2060" w:type="dxa"/>
            <w:vAlign w:val="bottom"/>
          </w:tcPr>
          <w:p>
            <w:pPr>
              <w:spacing w:after="0"/>
              <w:rPr>
                <w:sz w:val="14"/>
                <w:szCs w:val="14"/>
                <w:color w:val="auto"/>
              </w:rPr>
            </w:pPr>
          </w:p>
        </w:tc>
      </w:tr>
      <w:tr>
        <w:trPr>
          <w:trHeight w:val="170"/>
        </w:trPr>
        <w:tc>
          <w:tcPr>
            <w:tcW w:w="65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Tampa</w:t>
            </w:r>
          </w:p>
        </w:tc>
        <w:tc>
          <w:tcPr>
            <w:tcW w:w="2060" w:type="dxa"/>
            <w:vAlign w:val="bottom"/>
          </w:tcPr>
          <w:p>
            <w:pPr>
              <w:spacing w:after="0"/>
              <w:rPr>
                <w:sz w:val="14"/>
                <w:szCs w:val="14"/>
                <w:color w:val="auto"/>
              </w:rPr>
            </w:pP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Industrial Services,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International</w:t>
            </w:r>
          </w:p>
        </w:tc>
        <w:tc>
          <w:tcPr>
            <w:tcW w:w="206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JAPAN</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International</w:t>
            </w:r>
          </w:p>
        </w:tc>
        <w:tc>
          <w:tcPr>
            <w:tcW w:w="206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6"/>
              </w:rPr>
              <w:t>SWITZERLAND</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International Services Limited</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International, Inc.</w:t>
            </w:r>
          </w:p>
        </w:tc>
        <w:tc>
          <w:tcPr>
            <w:tcW w:w="20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International, Ltd.</w:t>
            </w:r>
          </w:p>
        </w:tc>
        <w:tc>
          <w:tcPr>
            <w:tcW w:w="206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8"/>
              </w:rPr>
              <w:t>BERMUDA</w:t>
            </w:r>
          </w:p>
        </w:tc>
      </w:t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w w:val="98"/>
              </w:rPr>
              <w:t>Waste Management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Italia S.r.1.</w:t>
            </w:r>
          </w:p>
        </w:tc>
        <w:tc>
          <w:tcPr>
            <w:tcW w:w="2060" w:type="dxa"/>
            <w:vAlign w:val="bottom"/>
          </w:tcPr>
          <w:p>
            <w:pPr>
              <w:jc w:val="center"/>
              <w:ind w:left="867"/>
              <w:spacing w:after="0"/>
              <w:rPr>
                <w:sz w:val="20"/>
                <w:szCs w:val="20"/>
                <w:color w:val="auto"/>
              </w:rPr>
            </w:pPr>
            <w:r>
              <w:rPr>
                <w:rFonts w:ascii="Courier New" w:cs="Courier New" w:eastAsia="Courier New" w:hAnsi="Courier New"/>
                <w:sz w:val="15"/>
                <w:szCs w:val="15"/>
                <w:color w:val="auto"/>
                <w:w w:val="97"/>
              </w:rPr>
              <w:t>ITALY</w:t>
            </w:r>
          </w:p>
        </w:tc>
      </w:tr>
    </w:tbl>
    <w:p>
      <w:pPr>
        <w:sectPr>
          <w:pgSz w:w="11900" w:h="16838" w:orient="portrait"/>
          <w:cols w:equalWidth="0" w:num="1">
            <w:col w:w="10219"/>
          </w:cols>
          <w:pgMar w:left="240" w:top="283" w:right="1440"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678"/>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Waste Management Ltd.</w:t>
            </w:r>
          </w:p>
        </w:tc>
        <w:tc>
          <w:tcPr>
            <w:tcW w:w="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Waste Management N.Z. Ltd.</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ind w:left="1060"/>
              <w:spacing w:after="0"/>
              <w:rPr>
                <w:sz w:val="20"/>
                <w:szCs w:val="20"/>
                <w:color w:val="auto"/>
              </w:rPr>
            </w:pPr>
            <w:r>
              <w:rPr>
                <w:rFonts w:ascii="Courier New" w:cs="Courier New" w:eastAsia="Courier New" w:hAnsi="Courier New"/>
                <w:sz w:val="15"/>
                <w:szCs w:val="15"/>
                <w:color w:val="auto"/>
              </w:rPr>
              <w:t>NEW ZEALAND</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Nederland B.V.</w:t>
            </w:r>
          </w:p>
        </w:tc>
        <w:tc>
          <w:tcPr>
            <w:tcW w:w="2100" w:type="dxa"/>
            <w:vAlign w:val="bottom"/>
          </w:tcPr>
          <w:p>
            <w:pPr>
              <w:ind w:left="1060"/>
              <w:spacing w:after="0"/>
              <w:rPr>
                <w:sz w:val="20"/>
                <w:szCs w:val="20"/>
                <w:color w:val="auto"/>
              </w:rPr>
            </w:pPr>
            <w:r>
              <w:rPr>
                <w:rFonts w:ascii="Courier New" w:cs="Courier New" w:eastAsia="Courier New" w:hAnsi="Courier New"/>
                <w:sz w:val="15"/>
                <w:szCs w:val="15"/>
                <w:color w:val="auto"/>
              </w:rPr>
              <w:t>NETHERLANDS</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Alameda County,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Altamont Landfill and Resource Recovery Facility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Central Division</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Davis Street Station for Material Recovery and Transfer</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East Bay Disposal Co.</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Livermore Dublin</w:t>
            </w:r>
          </w:p>
        </w:tc>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Disposal</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Northern Division</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Recycle America of Northern California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Southern Division</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Sunnyvale Recycling</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Tri-Cities Recycling and Disposal Facility</w:t>
            </w:r>
          </w:p>
        </w:tc>
        <w:tc>
          <w:tcPr>
            <w:tcW w:w="210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Waste Management of Arizona,</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Asset Recovery Group</w:t>
            </w: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Butterfield Station</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Recycling and Disposal Facility</w:t>
            </w:r>
          </w:p>
        </w:tc>
        <w:tc>
          <w:tcPr>
            <w:tcW w:w="210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Industrial Services</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Division</w:t>
            </w:r>
          </w:p>
        </w:tc>
        <w:tc>
          <w:tcPr>
            <w:tcW w:w="210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Sky Harbor regional</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Transfer &amp; Recycling Center</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27th Avenue Recycling and Disposal Facility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Northern Arizona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Phoenix - North</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Phoenix - Recycle America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Phoenix - South</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Tucson</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Tucson - Recycle America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Verde Valley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Phoenix</w:t>
            </w:r>
          </w:p>
        </w:tc>
        <w:tc>
          <w:tcPr>
            <w:tcW w:w="210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Arkansas,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Brushy Island Recycling and Disposal Facility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Jefferson County</w:t>
            </w:r>
          </w:p>
        </w:tc>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Recycling 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Shannon Road Recycling 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Union County Recycling and Disposal Facility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Arkansas North</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Arkansas South</w:t>
            </w:r>
          </w:p>
        </w:tc>
        <w:tc>
          <w:tcPr>
            <w:tcW w:w="210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California,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Kirby Canyon recycling and Disposal Facility</w:t>
            </w:r>
          </w:p>
        </w:tc>
        <w:tc>
          <w:tcPr>
            <w:tcW w:w="210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Lancaster Recycling</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Simi Valley Recycling and Disposal Facility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Universal Refuse</w:t>
            </w:r>
          </w:p>
        </w:tc>
        <w:tc>
          <w:tcPr>
            <w:tcW w:w="4240" w:type="dxa"/>
            <w:vAlign w:val="bottom"/>
            <w:gridSpan w:val="2"/>
          </w:tcPr>
          <w:p>
            <w:pPr>
              <w:spacing w:after="0"/>
              <w:rPr>
                <w:sz w:val="20"/>
                <w:szCs w:val="20"/>
                <w:color w:val="auto"/>
              </w:rPr>
            </w:pPr>
            <w:r>
              <w:rPr>
                <w:rFonts w:ascii="Courier New" w:cs="Courier New" w:eastAsia="Courier New" w:hAnsi="Courier New"/>
                <w:sz w:val="15"/>
                <w:szCs w:val="15"/>
                <w:color w:val="auto"/>
              </w:rPr>
              <w:t>Removal of El Cajon</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Fresno County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Lancaster</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Los Angeles</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Los Angeles - South</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North County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San Diego</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San Fernando Valley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Santa Clara County</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the Desert</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WMI Services</w:t>
            </w:r>
          </w:p>
        </w:tc>
        <w:tc>
          <w:tcPr>
            <w:tcW w:w="2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Carolinas,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NC</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Piedmont Landfill and Recycling Center</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Asheville</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Carolinas</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Central Carolina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Eastern Carolina</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the Piedmont</w:t>
            </w:r>
          </w:p>
        </w:tc>
        <w:tc>
          <w:tcPr>
            <w:tcW w:w="210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3980" w:type="dxa"/>
            <w:vAlign w:val="bottom"/>
          </w:tcPr>
          <w:p>
            <w:pPr>
              <w:spacing w:after="0"/>
              <w:rPr>
                <w:sz w:val="20"/>
                <w:szCs w:val="20"/>
                <w:color w:val="auto"/>
              </w:rPr>
            </w:pPr>
            <w:r>
              <w:rPr>
                <w:rFonts w:ascii="Courier New" w:cs="Courier New" w:eastAsia="Courier New" w:hAnsi="Courier New"/>
                <w:sz w:val="15"/>
                <w:szCs w:val="15"/>
                <w:color w:val="auto"/>
              </w:rPr>
              <w:t>Raleigh/Durham</w:t>
            </w:r>
          </w:p>
        </w:tc>
        <w:tc>
          <w:tcPr>
            <w:tcW w:w="210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48"/>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Wilmington</w:t>
            </w:r>
          </w:p>
        </w:tc>
        <w:tc>
          <w:tcPr>
            <w:tcW w:w="1460" w:type="dxa"/>
            <w:vAlign w:val="bottom"/>
          </w:tcPr>
          <w:p>
            <w:pPr>
              <w:spacing w:after="0"/>
              <w:rPr>
                <w:sz w:val="24"/>
                <w:szCs w:val="2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the Triad</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Central Florida,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FL</w:t>
            </w: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Aluchua Waste Management</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Colorado,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CO</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Canon City Disposal</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and Recycling</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Colorado Springs</w:t>
            </w:r>
          </w:p>
        </w:tc>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Transfer Station</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Englewood Transfer Station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Port-O-Let</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Aurora</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Colorado - Aurora Facility</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Colorado - North Facility</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Colorado - Recycle Facility</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Colorado - South Facility</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Colorado Springs-Recycle America</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Denver</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Denver- Recycle America</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Processing Facility</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Northern Colorado</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Pueblo</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the Rockies</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WMI Medical Services</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Delaware,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Delaware- Wilmington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Delmarva</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Five Oaks Recycling and Disposal,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Florida Holding Co,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Waste Management of Georgia,</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GA</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Live Oak Landfill</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Superior Sanitation</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Landfill</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Savannah</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the Tennessee Valley</w:t>
            </w:r>
          </w:p>
        </w:tc>
        <w:tc>
          <w:tcPr>
            <w:tcW w:w="14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Waste Management of Grass</w:t>
            </w:r>
          </w:p>
        </w:tc>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Valley,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Hawaii,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HI</w:t>
            </w: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Waimanalo Gilch Recycling and Disposal Facility</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West Hawaii Landfill</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Idaho,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ID</w:t>
            </w: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Illinois,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Banner/Western Disposal Service</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Chain of Rocks Recycling and Disposal Facility</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CID</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DeKalb County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Durbin Paper Stock Company</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Five Oaks Recycling</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Greene Valley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Kankakee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Laraway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McLean County Disposal and recycling Services</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Milam Recycling and</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Disposal Facility</w:t>
            </w:r>
          </w:p>
        </w:tc>
        <w:tc>
          <w:tcPr>
            <w:tcW w:w="1460" w:type="dxa"/>
            <w:vAlign w:val="bottom"/>
          </w:tcPr>
          <w:p>
            <w:pPr>
              <w:spacing w:after="0"/>
              <w:rPr>
                <w:sz w:val="14"/>
                <w:szCs w:val="14"/>
                <w:color w:val="auto"/>
              </w:rPr>
            </w:pPr>
          </w:p>
        </w:tc>
      </w:tr>
    </w:tbl>
    <w:p>
      <w:pPr>
        <w:ind w:left="780"/>
        <w:spacing w:after="0"/>
        <w:rPr>
          <w:sz w:val="20"/>
          <w:szCs w:val="20"/>
          <w:color w:val="auto"/>
        </w:rPr>
      </w:pPr>
      <w:r>
        <w:rPr>
          <w:rFonts w:ascii="Courier New" w:cs="Courier New" w:eastAsia="Courier New" w:hAnsi="Courier New"/>
          <w:sz w:val="15"/>
          <w:szCs w:val="15"/>
          <w:color w:val="auto"/>
        </w:rPr>
        <w:t>Prairie Hill Recycling and Disposal Facility</w:t>
      </w:r>
    </w:p>
    <w:p>
      <w:pPr>
        <w:ind w:left="780"/>
        <w:spacing w:after="0"/>
        <w:rPr>
          <w:sz w:val="20"/>
          <w:szCs w:val="20"/>
          <w:color w:val="auto"/>
        </w:rPr>
      </w:pPr>
      <w:r>
        <w:rPr>
          <w:rFonts w:ascii="Courier New" w:cs="Courier New" w:eastAsia="Courier New" w:hAnsi="Courier New"/>
          <w:sz w:val="15"/>
          <w:szCs w:val="15"/>
          <w:color w:val="auto"/>
        </w:rPr>
        <w:t>Settler's Hill recycling and Disposal Facility</w:t>
      </w:r>
    </w:p>
    <w:p>
      <w:pPr>
        <w:ind w:left="780"/>
        <w:spacing w:after="0" w:line="238" w:lineRule="auto"/>
        <w:rPr>
          <w:sz w:val="20"/>
          <w:szCs w:val="20"/>
          <w:color w:val="auto"/>
        </w:rPr>
      </w:pPr>
      <w:r>
        <w:rPr>
          <w:rFonts w:ascii="Courier New" w:cs="Courier New" w:eastAsia="Courier New" w:hAnsi="Courier New"/>
          <w:sz w:val="15"/>
          <w:szCs w:val="15"/>
          <w:color w:val="auto"/>
        </w:rPr>
        <w:t>Tazewell Recycling and Disposal Facility</w:t>
      </w:r>
    </w:p>
    <w:p>
      <w:pPr>
        <w:ind w:left="780"/>
        <w:spacing w:after="0"/>
        <w:rPr>
          <w:sz w:val="20"/>
          <w:szCs w:val="20"/>
          <w:color w:val="auto"/>
        </w:rPr>
      </w:pPr>
      <w:r>
        <w:rPr>
          <w:rFonts w:ascii="Courier New" w:cs="Courier New" w:eastAsia="Courier New" w:hAnsi="Courier New"/>
          <w:sz w:val="15"/>
          <w:szCs w:val="15"/>
          <w:color w:val="auto"/>
        </w:rPr>
        <w:t>TCD Services</w:t>
      </w:r>
    </w:p>
    <w:p>
      <w:pPr>
        <w:ind w:left="780"/>
        <w:spacing w:after="0"/>
        <w:rPr>
          <w:sz w:val="20"/>
          <w:szCs w:val="20"/>
          <w:color w:val="auto"/>
        </w:rPr>
      </w:pPr>
      <w:r>
        <w:rPr>
          <w:rFonts w:ascii="Courier New" w:cs="Courier New" w:eastAsia="Courier New" w:hAnsi="Courier New"/>
          <w:sz w:val="15"/>
          <w:szCs w:val="15"/>
          <w:color w:val="auto"/>
        </w:rPr>
        <w:t>United Waste Systems</w:t>
      </w:r>
    </w:p>
    <w:p>
      <w:pPr>
        <w:ind w:left="780"/>
        <w:spacing w:after="0" w:line="238" w:lineRule="auto"/>
        <w:rPr>
          <w:sz w:val="20"/>
          <w:szCs w:val="20"/>
          <w:color w:val="auto"/>
        </w:rPr>
      </w:pPr>
      <w:r>
        <w:rPr>
          <w:rFonts w:ascii="Courier New" w:cs="Courier New" w:eastAsia="Courier New" w:hAnsi="Courier New"/>
          <w:sz w:val="15"/>
          <w:szCs w:val="15"/>
          <w:color w:val="auto"/>
        </w:rPr>
        <w:t>Waste Management- Metro</w:t>
      </w:r>
    </w:p>
    <w:p>
      <w:pPr>
        <w:ind w:left="780"/>
        <w:spacing w:after="0"/>
        <w:rPr>
          <w:sz w:val="20"/>
          <w:szCs w:val="20"/>
          <w:color w:val="auto"/>
        </w:rPr>
      </w:pPr>
      <w:r>
        <w:rPr>
          <w:rFonts w:ascii="Courier New" w:cs="Courier New" w:eastAsia="Courier New" w:hAnsi="Courier New"/>
          <w:sz w:val="15"/>
          <w:szCs w:val="15"/>
          <w:color w:val="auto"/>
        </w:rPr>
        <w:t>Waste Management- North</w:t>
      </w:r>
    </w:p>
    <w:p>
      <w:pPr>
        <w:sectPr>
          <w:pgSz w:w="11900" w:h="16838" w:orient="portrait"/>
          <w:cols w:equalWidth="0" w:num="1">
            <w:col w:w="10219"/>
          </w:cols>
          <w:pgMar w:left="240" w:top="283"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Waste Management- Northwest</w:t>
      </w:r>
    </w:p>
    <w:p>
      <w:pPr>
        <w:ind w:left="780"/>
        <w:spacing w:after="0"/>
        <w:rPr>
          <w:sz w:val="20"/>
          <w:szCs w:val="20"/>
          <w:color w:val="auto"/>
        </w:rPr>
      </w:pPr>
      <w:r>
        <w:rPr>
          <w:rFonts w:ascii="Courier New" w:cs="Courier New" w:eastAsia="Courier New" w:hAnsi="Courier New"/>
          <w:sz w:val="15"/>
          <w:szCs w:val="15"/>
          <w:color w:val="auto"/>
        </w:rPr>
        <w:t>Waste Management- West</w:t>
      </w:r>
    </w:p>
    <w:p>
      <w:pPr>
        <w:ind w:left="780"/>
        <w:spacing w:after="0"/>
        <w:rPr>
          <w:sz w:val="20"/>
          <w:szCs w:val="20"/>
          <w:color w:val="auto"/>
        </w:rPr>
      </w:pPr>
      <w:r>
        <w:rPr>
          <w:rFonts w:ascii="Courier New" w:cs="Courier New" w:eastAsia="Courier New" w:hAnsi="Courier New"/>
          <w:sz w:val="15"/>
          <w:szCs w:val="15"/>
          <w:color w:val="auto"/>
        </w:rPr>
        <w:t>Waste Management of Metro East</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Peoria</w:t>
      </w:r>
    </w:p>
    <w:p>
      <w:pPr>
        <w:ind w:left="780"/>
        <w:spacing w:after="0"/>
        <w:rPr>
          <w:sz w:val="20"/>
          <w:szCs w:val="20"/>
          <w:color w:val="auto"/>
        </w:rPr>
      </w:pPr>
      <w:r>
        <w:rPr>
          <w:rFonts w:ascii="Courier New" w:cs="Courier New" w:eastAsia="Courier New" w:hAnsi="Courier New"/>
          <w:sz w:val="15"/>
          <w:szCs w:val="15"/>
          <w:color w:val="auto"/>
        </w:rPr>
        <w:t>Waste Management of the South Suburbs</w:t>
      </w:r>
    </w:p>
    <w:tbl>
      <w:tblPr>
        <w:tblLayout w:type="fixed"/>
        <w:tblInd w:w="0" w:type="dxa"/>
        <w:tblCellMar>
          <w:top w:w="0" w:type="dxa"/>
          <w:left w:w="0" w:type="dxa"/>
          <w:bottom w:w="0" w:type="dxa"/>
          <w:right w:w="0" w:type="dxa"/>
        </w:tblCellMar>
      </w:tblPr>
      <w:tr>
        <w:trPr>
          <w:trHeight w:val="169"/>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Wheatland Prairie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Woodland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Indiana Holdings One,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Indiana Holdings Two,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Indiana LLC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Deercroft Recycling</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Glenwood Ridge Recycling and Disposal Facility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Oak Ridge recycling</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Prairie View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Superior Waste Systems</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Twin Bridges Recycling and Disposal Facility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Central Indiana</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Evansville</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Fort Wayne</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Indianapolis</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Indianapolis-Hamilton County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Transfer</w:t>
            </w: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Lafayette</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Muncie</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Northwest Indiana</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Warsaw</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Wheeler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Iowa,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IA</w:t>
            </w: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Solid Waste Systems</w:t>
            </w: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Kansas,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KS</w:t>
            </w: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Forest View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Rolling Meadows recycling &amp; Disposal facility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Solid Waste Systems</w:t>
            </w: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w w:val="96"/>
              </w:rPr>
              <w:t>Topeka Waste Systems</w:t>
            </w: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Wichita</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 Refuse Control</w:t>
            </w:r>
          </w:p>
        </w:tc>
        <w:tc>
          <w:tcPr>
            <w:tcW w:w="1280" w:type="dxa"/>
            <w:vAlign w:val="bottom"/>
          </w:tcPr>
          <w:p>
            <w:pPr>
              <w:spacing w:after="0"/>
              <w:rPr>
                <w:sz w:val="14"/>
                <w:szCs w:val="14"/>
                <w:color w:val="auto"/>
              </w:rPr>
            </w:pP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Waste Management of Kentucky</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Holdings,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Waste Management of Kentucky</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LLC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Blue Ridge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Kramer Lane Recycling and Disposal Facility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Lexington recycling</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Outer Loop recycling and Disposal Facility</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Kentucky - Gray Disposal</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Kentucky - Lexington</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Kentucky - Louisville</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Kentucky - Madison Disposal</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of</w:t>
            </w:r>
          </w:p>
        </w:tc>
        <w:tc>
          <w:tcPr>
            <w:tcW w:w="4280" w:type="dxa"/>
            <w:vAlign w:val="bottom"/>
          </w:tcPr>
          <w:p>
            <w:pPr>
              <w:spacing w:after="0"/>
              <w:rPr>
                <w:sz w:val="20"/>
                <w:szCs w:val="20"/>
                <w:color w:val="auto"/>
              </w:rPr>
            </w:pPr>
            <w:r>
              <w:rPr>
                <w:rFonts w:ascii="Courier New" w:cs="Courier New" w:eastAsia="Courier New" w:hAnsi="Courier New"/>
                <w:sz w:val="15"/>
                <w:szCs w:val="15"/>
                <w:color w:val="auto"/>
              </w:rPr>
              <w:t>Kentucky - Stevens Dispos-All</w:t>
            </w:r>
          </w:p>
        </w:tc>
        <w:tc>
          <w:tcPr>
            <w:tcW w:w="1280" w:type="dxa"/>
            <w:vAlign w:val="bottom"/>
          </w:tcPr>
          <w:p>
            <w:pPr>
              <w:spacing w:after="0"/>
              <w:rPr>
                <w:sz w:val="14"/>
                <w:szCs w:val="14"/>
                <w:color w:val="auto"/>
              </w:rPr>
            </w:pPr>
          </w:p>
        </w:tc>
      </w:tr>
      <w:tr>
        <w:trPr>
          <w:trHeight w:val="170"/>
        </w:trPr>
        <w:tc>
          <w:tcPr>
            <w:tcW w:w="2540" w:type="dxa"/>
            <w:vAlign w:val="bottom"/>
          </w:tcPr>
          <w:p>
            <w:pPr>
              <w:ind w:left="780"/>
              <w:spacing w:after="0"/>
              <w:rPr>
                <w:sz w:val="20"/>
                <w:szCs w:val="20"/>
                <w:color w:val="auto"/>
              </w:rPr>
            </w:pPr>
            <w:r>
              <w:rPr>
                <w:rFonts w:ascii="Courier New" w:cs="Courier New" w:eastAsia="Courier New" w:hAnsi="Courier New"/>
                <w:sz w:val="15"/>
                <w:szCs w:val="15"/>
                <w:color w:val="auto"/>
              </w:rPr>
              <w:t>Service</w:t>
            </w: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Leon County,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FL</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Louisiana Holdings One,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Louisiana Holdings Two, Inc.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of Louisiana LLC</w:t>
            </w:r>
          </w:p>
        </w:tc>
        <w:tc>
          <w:tcPr>
            <w:tcW w:w="1280" w:type="dxa"/>
            <w:vAlign w:val="bottom"/>
          </w:tcPr>
          <w:p>
            <w:pPr>
              <w:ind w:left="11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Acadiana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Acadia Parish Sanitary Landfill</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Alexandria Recycling and Disposal Facility</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American Waste and Pollution Control-Algiers Residential</w:t>
            </w:r>
          </w:p>
        </w:tc>
        <w:tc>
          <w:tcPr>
            <w:tcW w:w="1280" w:type="dxa"/>
            <w:vAlign w:val="bottom"/>
          </w:tcPr>
          <w:p>
            <w:pPr>
              <w:spacing w:after="0"/>
              <w:rPr>
                <w:sz w:val="14"/>
                <w:szCs w:val="14"/>
                <w:color w:val="auto"/>
              </w:rPr>
            </w:pPr>
          </w:p>
        </w:tc>
      </w:tr>
      <w:tr>
        <w:trPr>
          <w:trHeight w:val="170"/>
        </w:trPr>
        <w:tc>
          <w:tcPr>
            <w:tcW w:w="682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American Waste and Pollution Control- Eastern New</w:t>
            </w:r>
          </w:p>
        </w:tc>
        <w:tc>
          <w:tcPr>
            <w:tcW w:w="128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848"/>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Orleans Residential</w:t>
            </w:r>
          </w:p>
        </w:tc>
        <w:tc>
          <w:tcPr>
            <w:tcW w:w="4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American Waste and Pollution Control- Kelvin Recycling</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American Waste and Pollution Control- St. Bernard Parish</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Residential</w:t>
            </w:r>
          </w:p>
        </w:tc>
        <w:tc>
          <w:tcPr>
            <w:tcW w:w="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American Waste and Pollution Control- Slidell</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American Waste and Pollution Control- West Jefferson</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Residential</w:t>
            </w:r>
          </w:p>
        </w:tc>
        <w:tc>
          <w:tcPr>
            <w:tcW w:w="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Jefferson Davis Recycling and Disposal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Kelvin Recycling</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Magnolia Recycling 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Pelican Recycling 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Pelican State Environmental Services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Acadiana</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Baton Rouge</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the Bayous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Central Louisiana</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Lake Charles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New Orleans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Northeast Louisiana</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Northwest Louisiana</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the Pines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St. Landry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St. Tammany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South Louisiana</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Woodside Recycling 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Maine, Inc.</w:t>
            </w:r>
          </w:p>
        </w:tc>
        <w:tc>
          <w:tcPr>
            <w:tcW w:w="168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ME</w:t>
            </w: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Maine- Portland</w:t>
            </w:r>
          </w:p>
        </w:tc>
        <w:tc>
          <w:tcPr>
            <w:tcW w:w="168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Waste Management of Malaysia</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Sdn Bhd</w:t>
            </w:r>
          </w:p>
        </w:tc>
        <w:tc>
          <w:tcPr>
            <w:tcW w:w="168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7"/>
              </w:rPr>
              <w:t>MALAYSIA</w:t>
            </w: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Maryland, Inc.</w:t>
            </w:r>
          </w:p>
        </w:tc>
        <w:tc>
          <w:tcPr>
            <w:tcW w:w="168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Mobile Offices of Maryland</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Cambridge</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Greater Washington</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Maryland, Baltimore</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Southern Maryland</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WMI Medical Services</w:t>
            </w: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Maryland</w:t>
            </w:r>
          </w:p>
        </w:tc>
        <w:tc>
          <w:tcPr>
            <w:tcW w:w="168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Massachusetts, Inc.</w:t>
            </w:r>
          </w:p>
        </w:tc>
        <w:tc>
          <w:tcPr>
            <w:tcW w:w="168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MA</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Somerville Transfer</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Station</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Container Services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Boston- North</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Central Massachusetts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Massachusetts- Gloucester</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Massachusetts- South Shore</w:t>
            </w:r>
          </w:p>
        </w:tc>
        <w:tc>
          <w:tcPr>
            <w:tcW w:w="168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Michigan, Inc.</w:t>
            </w:r>
          </w:p>
        </w:tc>
        <w:tc>
          <w:tcPr>
            <w:tcW w:w="1680" w:type="dxa"/>
            <w:vAlign w:val="bottom"/>
          </w:tcPr>
          <w:p>
            <w:pPr>
              <w:jc w:val="center"/>
              <w:ind w:left="90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Autumn Hills Recycling 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Cedar Ridge Recycling and Disposal Facility</w:t>
            </w: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Eagle Valley Recycling and Disposal Facility</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Efficient Sanitation</w:t>
            </w: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Northern Oaks Recycling and Disposal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Recycle America-</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Metro Detroit</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Valley Rubbish</w:t>
            </w:r>
          </w:p>
        </w:tc>
        <w:tc>
          <w:tcPr>
            <w:tcW w:w="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Venice Park recycling and Disposal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Detroit- Residential</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Metro Detroit</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Michigan- Alma Transfer and</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Recycling Facility</w:t>
            </w:r>
          </w:p>
        </w:tc>
        <w:tc>
          <w:tcPr>
            <w:tcW w:w="4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Michigan- Area Disposal</w:t>
            </w:r>
          </w:p>
        </w:tc>
        <w:tc>
          <w:tcPr>
            <w:tcW w:w="168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848"/>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Burr Oak</w:t>
            </w:r>
          </w:p>
        </w:tc>
        <w:tc>
          <w:tcPr>
            <w:tcW w:w="1460" w:type="dxa"/>
            <w:vAlign w:val="bottom"/>
          </w:tcPr>
          <w:p>
            <w:pPr>
              <w:spacing w:after="0"/>
              <w:rPr>
                <w:sz w:val="24"/>
                <w:szCs w:val="2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Central</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Detroit East Recycling</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Transfer Facility</w:t>
            </w:r>
          </w:p>
        </w:tc>
        <w:tc>
          <w:tcPr>
            <w:tcW w:w="2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Detroit Transfer and</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Recycling Facility</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Detroit MRF/Transfer</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Dowagiac Transfer and</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Recycling Facility</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Holland</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Holland Transfer and</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Recycling Facility</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Mideast</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Mideast/Port Huron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Midwest</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Northern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Recycle</w:t>
            </w: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America/Grand Rapids</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Southwest</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Michigan- Western</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Westside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Eastern Michigan/ Northwest Ohio</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Woodland Meadows</w:t>
            </w:r>
          </w:p>
        </w:tc>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Minnesota,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MN</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Anoka Recycling and</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Dietman Sanitation &amp; Recycling</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Northern Waste Systems</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Recycle America of Minnesota</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Sun Prairie Recycling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Blaine</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LeSeur</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Rochester</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Savage</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St. Cloud</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Hastings</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Minnesota</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Mississippi,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MS</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Pecan Grove Landfill</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Pine Ridge Landfill</w:t>
            </w: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Plantation Oaks Landfill</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Prairie Bluff Landfill</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Central Mississippi- Jackson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Central Mississippi- Kosciusko</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Central Mississippi- Meridian</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Central Mississippi- Vicksburg</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Mississippi-Clarksdale</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 Columbus</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 Corinth</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 Greenville</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 Grenada</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North Mississippi- Tupelo</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South Mississippi- Gulfport</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South Mississippi- McComb</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South Mississippi- Natchez</w:t>
            </w:r>
          </w:p>
        </w:tc>
        <w:tc>
          <w:tcPr>
            <w:tcW w:w="146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00" w:type="dxa"/>
            <w:vAlign w:val="bottom"/>
          </w:tcPr>
          <w:p>
            <w:pPr>
              <w:spacing w:after="0"/>
              <w:rPr>
                <w:sz w:val="20"/>
                <w:szCs w:val="20"/>
                <w:color w:val="auto"/>
              </w:rPr>
            </w:pPr>
            <w:r>
              <w:rPr>
                <w:rFonts w:ascii="Courier New" w:cs="Courier New" w:eastAsia="Courier New" w:hAnsi="Courier New"/>
                <w:sz w:val="15"/>
                <w:szCs w:val="15"/>
                <w:color w:val="auto"/>
              </w:rPr>
              <w:t>South Mississippi- Pine Belt</w:t>
            </w:r>
          </w:p>
        </w:tc>
        <w:tc>
          <w:tcPr>
            <w:tcW w:w="1460" w:type="dxa"/>
            <w:vAlign w:val="bottom"/>
          </w:tcPr>
          <w:p>
            <w:pPr>
              <w:spacing w:after="0"/>
              <w:rPr>
                <w:sz w:val="14"/>
                <w:szCs w:val="14"/>
                <w:color w:val="auto"/>
              </w:rPr>
            </w:pPr>
          </w:p>
        </w:tc>
      </w:tr>
      <w:tr>
        <w:trPr>
          <w:trHeight w:val="170"/>
        </w:trPr>
        <w:tc>
          <w:tcPr>
            <w:tcW w:w="664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Missouri, Inc.</w:t>
            </w:r>
          </w:p>
        </w:tc>
        <w:tc>
          <w:tcPr>
            <w:tcW w:w="1460" w:type="dxa"/>
            <w:vAlign w:val="bottom"/>
          </w:tcPr>
          <w:p>
            <w:pPr>
              <w:ind w:left="128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Black Oak and Disposal Facility</w:t>
            </w:r>
          </w:p>
        </w:tc>
        <w:tc>
          <w:tcPr>
            <w:tcW w:w="1460" w:type="dxa"/>
            <w:vAlign w:val="bottom"/>
          </w:tcPr>
          <w:p>
            <w:pPr>
              <w:spacing w:after="0"/>
              <w:rPr>
                <w:sz w:val="14"/>
                <w:szCs w:val="14"/>
                <w:color w:val="auto"/>
              </w:rPr>
            </w:pPr>
          </w:p>
        </w:tc>
      </w:tr>
      <w:tr>
        <w:trPr>
          <w:trHeight w:val="170"/>
        </w:trPr>
        <w:tc>
          <w:tcPr>
            <w:tcW w:w="664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Environmental Industries</w:t>
            </w:r>
          </w:p>
        </w:tc>
        <w:tc>
          <w:tcPr>
            <w:tcW w:w="146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848"/>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Kahle Recycling and</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Disposal facility</w:t>
            </w:r>
          </w:p>
        </w:tc>
        <w:tc>
          <w:tcPr>
            <w:tcW w:w="1680" w:type="dxa"/>
            <w:vAlign w:val="bottom"/>
          </w:tcPr>
          <w:p>
            <w:pPr>
              <w:spacing w:after="0"/>
              <w:rPr>
                <w:sz w:val="24"/>
                <w:szCs w:val="2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Meramec Hauling</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Pezold Hauling</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Rumble Recycling</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Disposal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Kansas City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Springfield</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fo</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St. Loius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the Ozarks</w:t>
            </w:r>
          </w:p>
        </w:tc>
        <w:tc>
          <w:tcPr>
            <w:tcW w:w="168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Waste Management of Montana,</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Great Falls</w:t>
            </w:r>
          </w:p>
        </w:tc>
        <w:tc>
          <w:tcPr>
            <w:tcW w:w="168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Nebraska,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Douglas County Recycling and Disposal Facility</w:t>
            </w:r>
          </w:p>
        </w:tc>
        <w:tc>
          <w:tcPr>
            <w:tcW w:w="168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New Hampshire,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CT</w:t>
            </w: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Turnkey Recycling and Environmental Enterprises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Hampshire- Londonberry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Hampshire- New Hampton</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Hampshire- Rochester</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Hampshire- Peterborough</w:t>
            </w:r>
          </w:p>
        </w:tc>
        <w:tc>
          <w:tcPr>
            <w:tcW w:w="168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New Jersey,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Avenue A Transfer &amp;</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Recycling Center</w:t>
            </w:r>
          </w:p>
        </w:tc>
        <w:tc>
          <w:tcPr>
            <w:tcW w:w="1680" w:type="dxa"/>
            <w:vAlign w:val="bottom"/>
          </w:tcPr>
          <w:p>
            <w:pPr>
              <w:spacing w:after="0"/>
              <w:rPr>
                <w:sz w:val="14"/>
                <w:szCs w:val="14"/>
                <w:color w:val="auto"/>
              </w:rPr>
            </w:pP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Middle Martee Landfill</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Recycle America</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Camden</w:t>
            </w:r>
          </w:p>
        </w:tc>
        <w:tc>
          <w:tcPr>
            <w:tcW w:w="168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New Mexico,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NM</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Environmental Waste</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Equipment Company</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Hobbs Recycling and</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Disposal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Landfill Hauling</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Systems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Landfill Systems</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R&amp;B Rubbish Removal</w:t>
            </w: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Rio Rancho Recycling and Disposal Facility</w:t>
            </w:r>
          </w:p>
        </w:tc>
        <w:tc>
          <w:tcPr>
            <w:tcW w:w="1680" w:type="dxa"/>
            <w:vAlign w:val="bottom"/>
          </w:tcPr>
          <w:p>
            <w:pPr>
              <w:spacing w:after="0"/>
              <w:rPr>
                <w:sz w:val="14"/>
                <w:szCs w:val="14"/>
                <w:color w:val="auto"/>
              </w:rPr>
            </w:pP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San Juan Recycling and Disposal Facility</w:t>
            </w:r>
          </w:p>
        </w:tc>
        <w:tc>
          <w:tcPr>
            <w:tcW w:w="1680" w:type="dxa"/>
            <w:vAlign w:val="bottom"/>
          </w:tcPr>
          <w:p>
            <w:pPr>
              <w:spacing w:after="0"/>
              <w:rPr>
                <w:sz w:val="14"/>
                <w:szCs w:val="14"/>
                <w:color w:val="auto"/>
              </w:rPr>
            </w:pP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Seay Brothers Rolloff</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Tijeras Disposal</w:t>
            </w: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United Waste Systems</w:t>
            </w: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Albuquerque-Recycle America</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Processing Facility</w:t>
            </w:r>
          </w:p>
        </w:tc>
        <w:tc>
          <w:tcPr>
            <w:tcW w:w="3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Four Corners</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Southeast New Mexico</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the Southwest</w:t>
            </w:r>
          </w:p>
        </w:tc>
        <w:tc>
          <w:tcPr>
            <w:tcW w:w="1680" w:type="dxa"/>
            <w:vAlign w:val="bottom"/>
          </w:tcPr>
          <w:p>
            <w:pPr>
              <w:spacing w:after="0"/>
              <w:rPr>
                <w:sz w:val="14"/>
                <w:szCs w:val="14"/>
                <w:color w:val="auto"/>
              </w:rPr>
            </w:pPr>
          </w:p>
        </w:tc>
      </w:tr>
      <w:tr>
        <w:trPr>
          <w:trHeight w:val="170"/>
        </w:trPr>
        <w:tc>
          <w:tcPr>
            <w:tcW w:w="642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New York, L.L.C.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High Acres Landfill</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and Recycling Facility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Eastern New York</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Hudson Valley</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York-Albion</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York- Buffalo</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York- Rochester</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York- Syracuse</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New York- Utica</w:t>
            </w:r>
          </w:p>
        </w:tc>
        <w:tc>
          <w:tcPr>
            <w:tcW w:w="168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Southwestern New York</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WMI Services of New</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York</w:t>
            </w:r>
          </w:p>
        </w:tc>
        <w:tc>
          <w:tcPr>
            <w:tcW w:w="168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Waste Management of North</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America,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IL</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Waste Management of North</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Dakota, 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Northern Waste Systems</w:t>
            </w:r>
          </w:p>
        </w:tc>
        <w:tc>
          <w:tcPr>
            <w:tcW w:w="168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Waste Management of Ohio,</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w:t>
            </w:r>
          </w:p>
        </w:tc>
        <w:tc>
          <w:tcPr>
            <w:tcW w:w="1680" w:type="dxa"/>
            <w:vAlign w:val="bottom"/>
          </w:tcPr>
          <w:p>
            <w:pPr>
              <w:ind w:left="150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Countywide Recycling and Disposal Facility</w:t>
            </w:r>
          </w:p>
        </w:tc>
        <w:tc>
          <w:tcPr>
            <w:tcW w:w="1680" w:type="dxa"/>
            <w:vAlign w:val="bottom"/>
          </w:tcPr>
          <w:p>
            <w:pPr>
              <w:spacing w:after="0"/>
              <w:rPr>
                <w:sz w:val="14"/>
                <w:szCs w:val="14"/>
                <w:color w:val="auto"/>
              </w:rPr>
            </w:pPr>
          </w:p>
        </w:tc>
      </w:tr>
      <w:tr>
        <w:trPr>
          <w:trHeight w:val="170"/>
        </w:trPr>
        <w:tc>
          <w:tcPr>
            <w:tcW w:w="64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ELDA Recycling and Disposal Facility</w:t>
            </w:r>
          </w:p>
        </w:tc>
        <w:tc>
          <w:tcPr>
            <w:tcW w:w="168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Evergreen Recycling</w:t>
            </w:r>
          </w:p>
        </w:tc>
        <w:tc>
          <w:tcPr>
            <w:tcW w:w="3880" w:type="dxa"/>
            <w:vAlign w:val="bottom"/>
          </w:tcPr>
          <w:p>
            <w:pPr>
              <w:spacing w:after="0"/>
              <w:rPr>
                <w:sz w:val="20"/>
                <w:szCs w:val="20"/>
                <w:color w:val="auto"/>
              </w:rPr>
            </w:pPr>
            <w:r>
              <w:rPr>
                <w:rFonts w:ascii="Courier New" w:cs="Courier New" w:eastAsia="Courier New" w:hAnsi="Courier New"/>
                <w:sz w:val="15"/>
                <w:szCs w:val="15"/>
                <w:color w:val="auto"/>
              </w:rPr>
              <w:t>and Disposal Facility</w:t>
            </w:r>
          </w:p>
        </w:tc>
        <w:tc>
          <w:tcPr>
            <w:tcW w:w="1680" w:type="dxa"/>
            <w:vAlign w:val="bottom"/>
          </w:tcPr>
          <w:p>
            <w:pPr>
              <w:spacing w:after="0"/>
              <w:rPr>
                <w:sz w:val="14"/>
                <w:szCs w:val="14"/>
                <w:color w:val="auto"/>
              </w:rPr>
            </w:pPr>
          </w:p>
        </w:tc>
      </w:tr>
    </w:tbl>
    <w:p>
      <w:pPr>
        <w:ind w:left="780"/>
        <w:spacing w:after="0"/>
        <w:rPr>
          <w:sz w:val="20"/>
          <w:szCs w:val="20"/>
          <w:color w:val="auto"/>
        </w:rPr>
      </w:pPr>
      <w:r>
        <w:rPr>
          <w:rFonts w:ascii="Courier New" w:cs="Courier New" w:eastAsia="Courier New" w:hAnsi="Courier New"/>
          <w:sz w:val="15"/>
          <w:szCs w:val="15"/>
          <w:color w:val="auto"/>
        </w:rPr>
        <w:t>Herrick Valley Recycling and Disposal Facility</w:t>
      </w:r>
    </w:p>
    <w:p>
      <w:pPr>
        <w:sectPr>
          <w:pgSz w:w="11900" w:h="16838" w:orient="portrait"/>
          <w:cols w:equalWidth="0" w:num="1">
            <w:col w:w="10219"/>
          </w:cols>
          <w:pgMar w:left="240" w:top="283"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Lake County Recycling and Disposal Facility</w:t>
      </w:r>
    </w:p>
    <w:p>
      <w:pPr>
        <w:ind w:left="780"/>
        <w:spacing w:after="0"/>
        <w:rPr>
          <w:sz w:val="20"/>
          <w:szCs w:val="20"/>
          <w:color w:val="auto"/>
        </w:rPr>
      </w:pPr>
      <w:r>
        <w:rPr>
          <w:rFonts w:ascii="Courier New" w:cs="Courier New" w:eastAsia="Courier New" w:hAnsi="Courier New"/>
          <w:sz w:val="15"/>
          <w:szCs w:val="15"/>
          <w:color w:val="auto"/>
        </w:rPr>
        <w:t>Pinnacle Road Recycling and Disposal Facility</w:t>
      </w:r>
    </w:p>
    <w:p>
      <w:pPr>
        <w:ind w:left="780"/>
        <w:spacing w:after="0"/>
        <w:rPr>
          <w:sz w:val="20"/>
          <w:szCs w:val="20"/>
          <w:color w:val="auto"/>
        </w:rPr>
      </w:pPr>
      <w:r>
        <w:rPr>
          <w:rFonts w:ascii="Courier New" w:cs="Courier New" w:eastAsia="Courier New" w:hAnsi="Courier New"/>
          <w:sz w:val="15"/>
          <w:szCs w:val="15"/>
          <w:color w:val="auto"/>
        </w:rPr>
        <w:t>Seneca East Recycling and Disposal Facility</w:t>
      </w:r>
    </w:p>
    <w:p>
      <w:pPr>
        <w:ind w:left="780"/>
        <w:spacing w:after="0" w:line="238" w:lineRule="auto"/>
        <w:rPr>
          <w:sz w:val="20"/>
          <w:szCs w:val="20"/>
          <w:color w:val="auto"/>
        </w:rPr>
      </w:pPr>
      <w:r>
        <w:rPr>
          <w:rFonts w:ascii="Courier New" w:cs="Courier New" w:eastAsia="Courier New" w:hAnsi="Courier New"/>
          <w:sz w:val="15"/>
          <w:szCs w:val="15"/>
          <w:color w:val="auto"/>
        </w:rPr>
        <w:t>Stony Hollow Recycling and Disposal facility</w:t>
      </w:r>
    </w:p>
    <w:p>
      <w:pPr>
        <w:ind w:left="780"/>
        <w:spacing w:after="0"/>
        <w:rPr>
          <w:sz w:val="20"/>
          <w:szCs w:val="20"/>
          <w:color w:val="auto"/>
        </w:rPr>
      </w:pPr>
      <w:r>
        <w:rPr>
          <w:rFonts w:ascii="Courier New" w:cs="Courier New" w:eastAsia="Courier New" w:hAnsi="Courier New"/>
          <w:sz w:val="15"/>
          <w:szCs w:val="15"/>
          <w:color w:val="auto"/>
        </w:rPr>
        <w:t>Suburban Recycling and Disposal Facility</w:t>
      </w:r>
    </w:p>
    <w:p>
      <w:pPr>
        <w:ind w:left="780"/>
        <w:spacing w:after="0"/>
        <w:rPr>
          <w:sz w:val="20"/>
          <w:szCs w:val="20"/>
          <w:color w:val="auto"/>
        </w:rPr>
      </w:pPr>
      <w:r>
        <w:rPr>
          <w:rFonts w:ascii="Courier New" w:cs="Courier New" w:eastAsia="Courier New" w:hAnsi="Courier New"/>
          <w:sz w:val="15"/>
          <w:szCs w:val="15"/>
          <w:color w:val="auto"/>
        </w:rPr>
        <w:t>Waste Management of Ohio- Akron</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Ohio- Blaylock</w:t>
      </w:r>
    </w:p>
    <w:p>
      <w:pPr>
        <w:ind w:left="780"/>
        <w:spacing w:after="0"/>
        <w:rPr>
          <w:sz w:val="20"/>
          <w:szCs w:val="20"/>
          <w:color w:val="auto"/>
        </w:rPr>
      </w:pPr>
      <w:r>
        <w:rPr>
          <w:rFonts w:ascii="Courier New" w:cs="Courier New" w:eastAsia="Courier New" w:hAnsi="Courier New"/>
          <w:sz w:val="15"/>
          <w:szCs w:val="15"/>
          <w:color w:val="auto"/>
        </w:rPr>
        <w:t>Waste Management of Ohio- Cleveland Transfer and</w:t>
      </w:r>
    </w:p>
    <w:p>
      <w:pPr>
        <w:ind w:left="780"/>
        <w:spacing w:after="0"/>
        <w:rPr>
          <w:sz w:val="20"/>
          <w:szCs w:val="20"/>
          <w:color w:val="auto"/>
        </w:rPr>
      </w:pPr>
      <w:r>
        <w:rPr>
          <w:rFonts w:ascii="Courier New" w:cs="Courier New" w:eastAsia="Courier New" w:hAnsi="Courier New"/>
          <w:sz w:val="15"/>
          <w:szCs w:val="15"/>
          <w:color w:val="auto"/>
        </w:rPr>
        <w:t>Recycling Facility</w:t>
      </w:r>
    </w:p>
    <w:p>
      <w:pPr>
        <w:ind w:left="780"/>
        <w:spacing w:after="0"/>
        <w:rPr>
          <w:sz w:val="20"/>
          <w:szCs w:val="20"/>
          <w:color w:val="auto"/>
        </w:rPr>
      </w:pPr>
      <w:r>
        <w:rPr>
          <w:rFonts w:ascii="Courier New" w:cs="Courier New" w:eastAsia="Courier New" w:hAnsi="Courier New"/>
          <w:sz w:val="15"/>
          <w:szCs w:val="15"/>
          <w:color w:val="auto"/>
        </w:rPr>
        <w:t>Waste Management of Ohio- Cleveland West</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Ohio- Columbus</w:t>
      </w:r>
    </w:p>
    <w:p>
      <w:pPr>
        <w:ind w:left="780"/>
        <w:spacing w:after="0"/>
        <w:rPr>
          <w:sz w:val="20"/>
          <w:szCs w:val="20"/>
          <w:color w:val="auto"/>
        </w:rPr>
      </w:pPr>
      <w:r>
        <w:rPr>
          <w:rFonts w:ascii="Courier New" w:cs="Courier New" w:eastAsia="Courier New" w:hAnsi="Courier New"/>
          <w:sz w:val="15"/>
          <w:szCs w:val="15"/>
          <w:color w:val="auto"/>
        </w:rPr>
        <w:t>Waste Management of Ohio- Columbus Transfer and</w:t>
      </w:r>
    </w:p>
    <w:p>
      <w:pPr>
        <w:ind w:left="780"/>
        <w:spacing w:after="0"/>
        <w:rPr>
          <w:sz w:val="20"/>
          <w:szCs w:val="20"/>
          <w:color w:val="auto"/>
        </w:rPr>
      </w:pPr>
      <w:r>
        <w:rPr>
          <w:rFonts w:ascii="Courier New" w:cs="Courier New" w:eastAsia="Courier New" w:hAnsi="Courier New"/>
          <w:sz w:val="15"/>
          <w:szCs w:val="15"/>
          <w:color w:val="auto"/>
        </w:rPr>
        <w:t>Recycling Facility</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Ohio- Findlay</w:t>
      </w:r>
    </w:p>
    <w:p>
      <w:pPr>
        <w:ind w:left="780"/>
        <w:spacing w:after="0"/>
        <w:rPr>
          <w:sz w:val="20"/>
          <w:szCs w:val="20"/>
          <w:color w:val="auto"/>
        </w:rPr>
      </w:pPr>
      <w:r>
        <w:rPr>
          <w:rFonts w:ascii="Courier New" w:cs="Courier New" w:eastAsia="Courier New" w:hAnsi="Courier New"/>
          <w:sz w:val="15"/>
          <w:szCs w:val="15"/>
          <w:color w:val="auto"/>
        </w:rPr>
        <w:t>Waste Management of Ohio- IWD</w:t>
      </w:r>
    </w:p>
    <w:p>
      <w:pPr>
        <w:ind w:left="780"/>
        <w:spacing w:after="0"/>
        <w:rPr>
          <w:sz w:val="20"/>
          <w:szCs w:val="20"/>
          <w:color w:val="auto"/>
        </w:rPr>
      </w:pPr>
      <w:r>
        <w:rPr>
          <w:rFonts w:ascii="Courier New" w:cs="Courier New" w:eastAsia="Courier New" w:hAnsi="Courier New"/>
          <w:sz w:val="15"/>
          <w:szCs w:val="15"/>
          <w:color w:val="auto"/>
        </w:rPr>
        <w:t>Waste Management of Ohio- Koogler</w:t>
      </w:r>
    </w:p>
    <w:p>
      <w:pPr>
        <w:ind w:left="780"/>
        <w:spacing w:after="0"/>
        <w:rPr>
          <w:sz w:val="20"/>
          <w:szCs w:val="20"/>
          <w:color w:val="auto"/>
        </w:rPr>
      </w:pPr>
      <w:r>
        <w:rPr>
          <w:rFonts w:ascii="Courier New" w:cs="Courier New" w:eastAsia="Courier New" w:hAnsi="Courier New"/>
          <w:sz w:val="15"/>
          <w:szCs w:val="15"/>
          <w:color w:val="auto"/>
        </w:rPr>
        <w:t>Waste Management of Ohio- Lima</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Waste Management of Ohio- Lima Transfer and Recycling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Facility</w:t>
      </w:r>
    </w:p>
    <w:p>
      <w:pPr>
        <w:ind w:left="780"/>
        <w:spacing w:after="0"/>
        <w:rPr>
          <w:sz w:val="20"/>
          <w:szCs w:val="20"/>
          <w:color w:val="auto"/>
        </w:rPr>
      </w:pPr>
      <w:r>
        <w:rPr>
          <w:rFonts w:ascii="Courier New" w:cs="Courier New" w:eastAsia="Courier New" w:hAnsi="Courier New"/>
          <w:sz w:val="15"/>
          <w:szCs w:val="15"/>
          <w:color w:val="auto"/>
        </w:rPr>
        <w:t>Waste Management of Ohio- M&amp;M Sanitation</w:t>
      </w:r>
    </w:p>
    <w:p>
      <w:pPr>
        <w:ind w:left="780"/>
        <w:spacing w:after="0"/>
        <w:rPr>
          <w:sz w:val="20"/>
          <w:szCs w:val="20"/>
          <w:color w:val="auto"/>
        </w:rPr>
      </w:pPr>
      <w:r>
        <w:rPr>
          <w:rFonts w:ascii="Courier New" w:cs="Courier New" w:eastAsia="Courier New" w:hAnsi="Courier New"/>
          <w:sz w:val="15"/>
          <w:szCs w:val="15"/>
          <w:color w:val="auto"/>
        </w:rPr>
        <w:t>Waste Management of Ohio- Newark</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Ohio- Northwest</w:t>
      </w:r>
    </w:p>
    <w:p>
      <w:pPr>
        <w:ind w:left="780"/>
        <w:spacing w:after="0"/>
        <w:rPr>
          <w:sz w:val="20"/>
          <w:szCs w:val="20"/>
          <w:color w:val="auto"/>
        </w:rPr>
      </w:pPr>
      <w:r>
        <w:rPr>
          <w:rFonts w:ascii="Courier New" w:cs="Courier New" w:eastAsia="Courier New" w:hAnsi="Courier New"/>
          <w:sz w:val="15"/>
          <w:szCs w:val="15"/>
          <w:color w:val="auto"/>
        </w:rPr>
        <w:t>Waste Management of Ohio- Recycle America/Toledo</w:t>
      </w:r>
    </w:p>
    <w:p>
      <w:pPr>
        <w:ind w:left="780"/>
        <w:spacing w:after="0"/>
        <w:rPr>
          <w:sz w:val="20"/>
          <w:szCs w:val="20"/>
          <w:color w:val="auto"/>
        </w:rPr>
      </w:pPr>
      <w:r>
        <w:rPr>
          <w:rFonts w:ascii="Courier New" w:cs="Courier New" w:eastAsia="Courier New" w:hAnsi="Courier New"/>
          <w:sz w:val="15"/>
          <w:szCs w:val="15"/>
          <w:color w:val="auto"/>
        </w:rPr>
        <w:t>Waste Management of Ohio- S.E.M.</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Ohio- Shelby County Transfer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Waste Management of Ohio- Suburban Sanitation Service</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Waste Management of Ohio- Western Reserve</w:t>
      </w:r>
    </w:p>
    <w:p>
      <w:pPr>
        <w:ind w:left="780"/>
        <w:spacing w:after="0"/>
        <w:rPr>
          <w:sz w:val="20"/>
          <w:szCs w:val="20"/>
          <w:color w:val="auto"/>
        </w:rPr>
      </w:pPr>
      <w:r>
        <w:rPr>
          <w:rFonts w:ascii="Courier New" w:cs="Courier New" w:eastAsia="Courier New" w:hAnsi="Courier New"/>
          <w:sz w:val="15"/>
          <w:szCs w:val="15"/>
          <w:color w:val="auto"/>
        </w:rPr>
        <w:t>Waste Management of Ohio- Youngstown</w:t>
      </w:r>
    </w:p>
    <w:p>
      <w:pPr>
        <w:ind w:left="780"/>
        <w:spacing w:after="0"/>
        <w:rPr>
          <w:sz w:val="20"/>
          <w:szCs w:val="20"/>
          <w:color w:val="auto"/>
        </w:rPr>
      </w:pPr>
      <w:r>
        <w:rPr>
          <w:rFonts w:ascii="Courier New" w:cs="Courier New" w:eastAsia="Courier New" w:hAnsi="Courier New"/>
          <w:sz w:val="15"/>
          <w:szCs w:val="15"/>
          <w:color w:val="auto"/>
        </w:rPr>
        <w:t>WMI Services- Ohio</w:t>
      </w:r>
    </w:p>
    <w:p>
      <w:pPr>
        <w:sectPr>
          <w:pgSz w:w="11900" w:h="16838" w:orient="portrait"/>
          <w:cols w:equalWidth="0" w:num="1">
            <w:col w:w="10219"/>
          </w:cols>
          <w:pgMar w:left="240" w:top="283"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Oklahoma, Inc.</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OK</w:t>
      </w:r>
    </w:p>
    <w:p>
      <w:pPr>
        <w:spacing w:after="0" w:line="5"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East Oak Recycling and Disposal Facility</w:t>
      </w:r>
    </w:p>
    <w:p>
      <w:pPr>
        <w:spacing w:after="0" w:line="1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Muskogee recycling and Disposal Facility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Quarry Recycling and Disposal Facility</w:t>
      </w:r>
    </w:p>
    <w:p>
      <w:pPr>
        <w:ind w:left="780"/>
        <w:spacing w:after="0"/>
        <w:rPr>
          <w:sz w:val="20"/>
          <w:szCs w:val="20"/>
          <w:color w:val="auto"/>
        </w:rPr>
      </w:pPr>
      <w:r>
        <w:rPr>
          <w:rFonts w:ascii="Courier New" w:cs="Courier New" w:eastAsia="Courier New" w:hAnsi="Courier New"/>
          <w:sz w:val="15"/>
          <w:szCs w:val="15"/>
          <w:color w:val="auto"/>
        </w:rPr>
        <w:t>Waste Management of Oklahoma City</w:t>
      </w:r>
    </w:p>
    <w:p>
      <w:pPr>
        <w:ind w:left="780"/>
        <w:spacing w:after="0"/>
        <w:rPr>
          <w:sz w:val="20"/>
          <w:szCs w:val="20"/>
          <w:color w:val="auto"/>
        </w:rPr>
      </w:pPr>
      <w:r>
        <w:rPr>
          <w:rFonts w:ascii="Courier New" w:cs="Courier New" w:eastAsia="Courier New" w:hAnsi="Courier New"/>
          <w:sz w:val="15"/>
          <w:szCs w:val="15"/>
          <w:color w:val="auto"/>
        </w:rPr>
        <w:t>Waste Management of Tulsa</w:t>
      </w:r>
    </w:p>
    <w:p>
      <w:pPr>
        <w:sectPr>
          <w:pgSz w:w="11900" w:h="16838" w:orient="portrait"/>
          <w:cols w:equalWidth="0" w:num="1">
            <w:col w:w="10219"/>
          </w:cols>
          <w:pgMar w:left="240" w:top="283"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Oregon, Inc.</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OR</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Metro South Transfer Station</w:t>
      </w:r>
    </w:p>
    <w:p>
      <w:pPr>
        <w:ind w:left="780"/>
        <w:spacing w:after="0"/>
        <w:rPr>
          <w:sz w:val="20"/>
          <w:szCs w:val="20"/>
          <w:color w:val="auto"/>
        </w:rPr>
      </w:pPr>
      <w:r>
        <w:rPr>
          <w:rFonts w:ascii="Courier New" w:cs="Courier New" w:eastAsia="Courier New" w:hAnsi="Courier New"/>
          <w:sz w:val="15"/>
          <w:szCs w:val="15"/>
          <w:color w:val="auto"/>
        </w:rPr>
        <w:t>Port-O-Let</w:t>
      </w:r>
    </w:p>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Waste Management of Vancouver U.S.A.</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Zero Garbage</w:t>
      </w:r>
    </w:p>
    <w:p>
      <w:pPr>
        <w:sectPr>
          <w:pgSz w:w="11900" w:h="16838" w:orient="portrait"/>
          <w:cols w:equalWidth="0" w:num="1">
            <w:col w:w="102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Waste Management of Pennsylvania,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w:t>
      </w:r>
    </w:p>
    <w:p>
      <w:pPr>
        <w:spacing w:after="0" w:line="1" w:lineRule="exact"/>
        <w:rPr>
          <w:sz w:val="20"/>
          <w:szCs w:val="20"/>
          <w:color w:val="auto"/>
        </w:rPr>
      </w:pPr>
    </w:p>
    <w:p>
      <w:pPr>
        <w:sectPr>
          <w:pgSz w:w="11900" w:h="16838" w:orient="portrait"/>
          <w:cols w:equalWidth="0" w:num="2">
            <w:col w:w="7200" w:space="720"/>
            <w:col w:w="2299"/>
          </w:cols>
          <w:pgMar w:left="240" w:top="283" w:right="1440" w:bottom="1440" w:gutter="0" w:footer="0" w:header="0"/>
          <w:type w:val="continuous"/>
        </w:sectPr>
      </w:pPr>
    </w:p>
    <w:p>
      <w:pPr>
        <w:ind w:left="780"/>
        <w:spacing w:after="0"/>
        <w:rPr>
          <w:sz w:val="20"/>
          <w:szCs w:val="20"/>
          <w:color w:val="auto"/>
        </w:rPr>
      </w:pPr>
      <w:r>
        <w:rPr>
          <w:rFonts w:ascii="Courier New" w:cs="Courier New" w:eastAsia="Courier New" w:hAnsi="Courier New"/>
          <w:sz w:val="15"/>
          <w:szCs w:val="15"/>
          <w:color w:val="auto"/>
        </w:rPr>
        <w:t>Alderfer &amp; Frank</w:t>
      </w:r>
    </w:p>
    <w:p>
      <w:pPr>
        <w:ind w:left="780"/>
        <w:spacing w:after="0" w:line="238" w:lineRule="auto"/>
        <w:rPr>
          <w:sz w:val="20"/>
          <w:szCs w:val="20"/>
          <w:color w:val="auto"/>
        </w:rPr>
      </w:pPr>
      <w:r>
        <w:rPr>
          <w:rFonts w:ascii="Courier New" w:cs="Courier New" w:eastAsia="Courier New" w:hAnsi="Courier New"/>
          <w:sz w:val="15"/>
          <w:szCs w:val="15"/>
          <w:color w:val="auto"/>
        </w:rPr>
        <w:t>Lake View Landfill (Northern)</w:t>
      </w:r>
    </w:p>
    <w:p>
      <w:pPr>
        <w:ind w:left="780"/>
        <w:spacing w:after="0"/>
        <w:rPr>
          <w:sz w:val="20"/>
          <w:szCs w:val="20"/>
          <w:color w:val="auto"/>
        </w:rPr>
      </w:pPr>
      <w:r>
        <w:rPr>
          <w:rFonts w:ascii="Courier New" w:cs="Courier New" w:eastAsia="Courier New" w:hAnsi="Courier New"/>
          <w:sz w:val="15"/>
          <w:szCs w:val="15"/>
          <w:color w:val="auto"/>
        </w:rPr>
        <w:t>Mid-Atlantic Recycling and Distribution Center</w:t>
      </w:r>
    </w:p>
    <w:p>
      <w:pPr>
        <w:ind w:left="780"/>
        <w:spacing w:after="0"/>
        <w:rPr>
          <w:sz w:val="20"/>
          <w:szCs w:val="20"/>
          <w:color w:val="auto"/>
        </w:rPr>
      </w:pPr>
      <w:r>
        <w:rPr>
          <w:rFonts w:ascii="Courier New" w:cs="Courier New" w:eastAsia="Courier New" w:hAnsi="Courier New"/>
          <w:sz w:val="15"/>
          <w:szCs w:val="15"/>
          <w:color w:val="auto"/>
        </w:rPr>
        <w:t>Milton Grove Demolition and Tire Recycling</w:t>
      </w:r>
    </w:p>
    <w:p>
      <w:pPr>
        <w:ind w:left="780"/>
        <w:spacing w:after="0" w:line="238" w:lineRule="auto"/>
        <w:rPr>
          <w:sz w:val="20"/>
          <w:szCs w:val="20"/>
          <w:color w:val="auto"/>
        </w:rPr>
      </w:pPr>
      <w:r>
        <w:rPr>
          <w:rFonts w:ascii="Courier New" w:cs="Courier New" w:eastAsia="Courier New" w:hAnsi="Courier New"/>
          <w:sz w:val="15"/>
          <w:szCs w:val="15"/>
          <w:color w:val="auto"/>
        </w:rPr>
        <w:t>Philadelphia Transfer and Recycling Station</w:t>
      </w:r>
    </w:p>
    <w:p>
      <w:pPr>
        <w:ind w:left="780"/>
        <w:spacing w:after="0"/>
        <w:rPr>
          <w:sz w:val="20"/>
          <w:szCs w:val="20"/>
          <w:color w:val="auto"/>
        </w:rPr>
      </w:pPr>
      <w:r>
        <w:rPr>
          <w:rFonts w:ascii="Courier New" w:cs="Courier New" w:eastAsia="Courier New" w:hAnsi="Courier New"/>
          <w:sz w:val="15"/>
          <w:szCs w:val="15"/>
          <w:color w:val="auto"/>
        </w:rPr>
        <w:t>Pottsville Transfer Station</w:t>
      </w:r>
    </w:p>
    <w:p>
      <w:pPr>
        <w:ind w:left="780"/>
        <w:spacing w:after="0"/>
        <w:rPr>
          <w:sz w:val="20"/>
          <w:szCs w:val="20"/>
          <w:color w:val="auto"/>
        </w:rPr>
      </w:pPr>
      <w:r>
        <w:rPr>
          <w:rFonts w:ascii="Courier New" w:cs="Courier New" w:eastAsia="Courier New" w:hAnsi="Courier New"/>
          <w:sz w:val="15"/>
          <w:szCs w:val="15"/>
          <w:color w:val="auto"/>
        </w:rPr>
        <w:t>Recycle America</w:t>
      </w:r>
    </w:p>
    <w:p>
      <w:pPr>
        <w:ind w:left="780"/>
        <w:spacing w:after="0"/>
        <w:rPr>
          <w:sz w:val="20"/>
          <w:szCs w:val="20"/>
          <w:color w:val="auto"/>
        </w:rPr>
      </w:pPr>
      <w:r>
        <w:rPr>
          <w:rFonts w:ascii="Courier New" w:cs="Courier New" w:eastAsia="Courier New" w:hAnsi="Courier New"/>
          <w:sz w:val="15"/>
          <w:szCs w:val="15"/>
          <w:color w:val="auto"/>
        </w:rPr>
        <w:t>River Road Landfill</w:t>
      </w:r>
    </w:p>
    <w:p>
      <w:pPr>
        <w:ind w:left="780"/>
        <w:spacing w:after="0" w:line="238" w:lineRule="auto"/>
        <w:rPr>
          <w:sz w:val="20"/>
          <w:szCs w:val="20"/>
          <w:color w:val="auto"/>
        </w:rPr>
      </w:pPr>
      <w:r>
        <w:rPr>
          <w:rFonts w:ascii="Courier New" w:cs="Courier New" w:eastAsia="Courier New" w:hAnsi="Courier New"/>
          <w:sz w:val="15"/>
          <w:szCs w:val="15"/>
          <w:color w:val="auto"/>
        </w:rPr>
        <w:t>Steel Valley Transfer Station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Forge Recycling and Resource Recovery Center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Tully Town Resource Recovery Facility</w:t>
      </w:r>
    </w:p>
    <w:p>
      <w:pPr>
        <w:ind w:left="780"/>
        <w:spacing w:after="0"/>
        <w:rPr>
          <w:sz w:val="20"/>
          <w:szCs w:val="20"/>
          <w:color w:val="auto"/>
        </w:rPr>
      </w:pPr>
      <w:r>
        <w:rPr>
          <w:rFonts w:ascii="Courier New" w:cs="Courier New" w:eastAsia="Courier New" w:hAnsi="Courier New"/>
          <w:sz w:val="15"/>
          <w:szCs w:val="15"/>
          <w:color w:val="auto"/>
        </w:rPr>
        <w:t>Waste Automation</w:t>
      </w:r>
    </w:p>
    <w:p>
      <w:pPr>
        <w:ind w:left="780"/>
        <w:spacing w:after="0"/>
        <w:rPr>
          <w:sz w:val="20"/>
          <w:szCs w:val="20"/>
          <w:color w:val="auto"/>
        </w:rPr>
      </w:pPr>
      <w:r>
        <w:rPr>
          <w:rFonts w:ascii="Courier New" w:cs="Courier New" w:eastAsia="Courier New" w:hAnsi="Courier New"/>
          <w:sz w:val="15"/>
          <w:szCs w:val="15"/>
          <w:color w:val="auto"/>
        </w:rPr>
        <w:t>Waste Management - Allentown</w:t>
      </w:r>
    </w:p>
    <w:p>
      <w:pPr>
        <w:ind w:left="780"/>
        <w:spacing w:after="0" w:line="238" w:lineRule="auto"/>
        <w:rPr>
          <w:sz w:val="20"/>
          <w:szCs w:val="20"/>
          <w:color w:val="auto"/>
        </w:rPr>
      </w:pPr>
      <w:r>
        <w:rPr>
          <w:rFonts w:ascii="Courier New" w:cs="Courier New" w:eastAsia="Courier New" w:hAnsi="Courier New"/>
          <w:sz w:val="15"/>
          <w:szCs w:val="15"/>
          <w:color w:val="auto"/>
        </w:rPr>
        <w:t>Waste Management- Dixon Recycling</w:t>
      </w:r>
    </w:p>
    <w:p>
      <w:pPr>
        <w:ind w:left="780"/>
        <w:spacing w:after="0"/>
        <w:rPr>
          <w:sz w:val="20"/>
          <w:szCs w:val="20"/>
          <w:color w:val="auto"/>
        </w:rPr>
      </w:pPr>
      <w:r>
        <w:rPr>
          <w:rFonts w:ascii="Courier New" w:cs="Courier New" w:eastAsia="Courier New" w:hAnsi="Courier New"/>
          <w:sz w:val="15"/>
          <w:szCs w:val="15"/>
          <w:color w:val="auto"/>
        </w:rPr>
        <w:t>Waste Management of Camp Hill</w:t>
      </w:r>
    </w:p>
    <w:p>
      <w:pPr>
        <w:ind w:left="780"/>
        <w:spacing w:after="0"/>
        <w:rPr>
          <w:sz w:val="20"/>
          <w:szCs w:val="20"/>
          <w:color w:val="auto"/>
        </w:rPr>
      </w:pPr>
      <w:r>
        <w:rPr>
          <w:rFonts w:ascii="Courier New" w:cs="Courier New" w:eastAsia="Courier New" w:hAnsi="Courier New"/>
          <w:sz w:val="15"/>
          <w:szCs w:val="15"/>
          <w:color w:val="auto"/>
        </w:rPr>
        <w:t>Waste Management of Delaware Valley- North</w:t>
      </w:r>
    </w:p>
    <w:p>
      <w:pPr>
        <w:ind w:left="780"/>
        <w:spacing w:after="0" w:line="238" w:lineRule="auto"/>
        <w:rPr>
          <w:sz w:val="20"/>
          <w:szCs w:val="20"/>
          <w:color w:val="auto"/>
        </w:rPr>
      </w:pPr>
      <w:r>
        <w:rPr>
          <w:rFonts w:ascii="Courier New" w:cs="Courier New" w:eastAsia="Courier New" w:hAnsi="Courier New"/>
          <w:sz w:val="15"/>
          <w:szCs w:val="15"/>
          <w:color w:val="auto"/>
        </w:rPr>
        <w:t>Waste Management of Delaware Valley- South</w:t>
      </w:r>
    </w:p>
    <w:p>
      <w:pPr>
        <w:sectPr>
          <w:pgSz w:w="11900" w:h="16838" w:orient="portrait"/>
          <w:cols w:equalWidth="0" w:num="1">
            <w:col w:w="10219"/>
          </w:cols>
          <w:pgMar w:left="240" w:top="283" w:right="1440" w:bottom="144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48"/>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Erie</w:t>
            </w:r>
          </w:p>
        </w:tc>
        <w:tc>
          <w:tcPr>
            <w:tcW w:w="1420" w:type="dxa"/>
            <w:vAlign w:val="bottom"/>
          </w:tcPr>
          <w:p>
            <w:pPr>
              <w:spacing w:after="0"/>
              <w:rPr>
                <w:sz w:val="24"/>
                <w:szCs w:val="2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Greater Lancaster</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Greencastle</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Greenville</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Indian Valley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Laurel Valley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Northeast Pennsylvania</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Pennsylvania- Hauling</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Pittsburgh</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Pottstown</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Wilkinsburg</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Medical Services of New Jersey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Medical Services of New York</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Medical Services of Pennsylvania</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Medical Services of West Virginia</w:t>
            </w:r>
          </w:p>
        </w:tc>
        <w:tc>
          <w:tcPr>
            <w:tcW w:w="142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Waste Management of Rhode</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Island,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Rhode Island- Newport</w:t>
            </w:r>
          </w:p>
        </w:tc>
        <w:tc>
          <w:tcPr>
            <w:tcW w:w="142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Waste Management of South</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Carolina,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SC</w:t>
            </w: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Charleston Landfill</w:t>
            </w: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Hickory Hill Sanitary Landfill</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Palmetto Landfill</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5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6"/>
              </w:rPr>
              <w:t>Sandy Pines Landfill</w:t>
            </w: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South Carolina</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the Low Country</w:t>
            </w:r>
          </w:p>
        </w:tc>
        <w:tc>
          <w:tcPr>
            <w:tcW w:w="142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Waste Management of South</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Dakota,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SD</w:t>
            </w: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Sioux Falls</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the Black Hills</w:t>
            </w:r>
          </w:p>
        </w:tc>
        <w:tc>
          <w:tcPr>
            <w:tcW w:w="142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Texas,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TX</w:t>
            </w: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All Waste Paper Recycling</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Atascosita Recycling and Disposal Facility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Ausitn Community</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Disposal Co.</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Bluebonnet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Centex Waste Management</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Coastal Plains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Comal County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Covell Gardens Landfill</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DFW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Fogle Garbage Service</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Garbage Gobbler</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Hillside recycling and Disposal Facility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Kingwood Garbage</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Service</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Lacy Lakeview Recycling and Disposal Facility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Longhorn Disposal</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Northwest Transfer Station</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Oak Hill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Pecan Prairie Recycling and Disposal Facility</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Recycle America-</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Dallas Bulk grade Division</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Recycle America-</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Dallas High Grade Division</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S&amp;B trucking &amp; Sanitation</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w w:val="96"/>
              </w:rPr>
              <w:t>Security Landfill</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Skyline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Texas Waste Management</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Fort Worth Recycling and Disposal</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 Golden Triangle</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Dallas- East</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140" w:type="dxa"/>
            <w:vAlign w:val="bottom"/>
          </w:tcPr>
          <w:p>
            <w:pPr>
              <w:spacing w:after="0"/>
              <w:rPr>
                <w:sz w:val="20"/>
                <w:szCs w:val="20"/>
                <w:color w:val="auto"/>
              </w:rPr>
            </w:pPr>
            <w:r>
              <w:rPr>
                <w:rFonts w:ascii="Courier New" w:cs="Courier New" w:eastAsia="Courier New" w:hAnsi="Courier New"/>
                <w:sz w:val="15"/>
                <w:szCs w:val="15"/>
                <w:color w:val="auto"/>
              </w:rPr>
              <w:t>Dallas Recycle America Processing</w:t>
            </w:r>
          </w:p>
        </w:tc>
        <w:tc>
          <w:tcPr>
            <w:tcW w:w="1420" w:type="dxa"/>
            <w:vAlign w:val="bottom"/>
          </w:tcPr>
          <w:p>
            <w:pPr>
              <w:spacing w:after="0"/>
              <w:rPr>
                <w:sz w:val="14"/>
                <w:szCs w:val="14"/>
                <w:color w:val="auto"/>
              </w:rPr>
            </w:pPr>
          </w:p>
        </w:tc>
      </w:tr>
      <w:tr>
        <w:trPr>
          <w:trHeight w:val="170"/>
        </w:trPr>
        <w:tc>
          <w:tcPr>
            <w:tcW w:w="2280" w:type="dxa"/>
            <w:vAlign w:val="bottom"/>
          </w:tcPr>
          <w:p>
            <w:pPr>
              <w:ind w:left="780"/>
              <w:spacing w:after="0"/>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48"/>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Dallas- West</w:t>
            </w:r>
          </w:p>
        </w:tc>
        <w:tc>
          <w:tcPr>
            <w:tcW w:w="1420" w:type="dxa"/>
            <w:vAlign w:val="bottom"/>
          </w:tcPr>
          <w:p>
            <w:pPr>
              <w:spacing w:after="0"/>
              <w:rPr>
                <w:sz w:val="24"/>
                <w:szCs w:val="2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East Texas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Fort Worth</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Fort Worth Recycling and Disposal</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Facility</w:t>
            </w:r>
          </w:p>
        </w:tc>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Houston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Northeast Texas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Southeast Texas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Southeast Texas- Angleton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Southeast Texas- Dickinson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South Texas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West Texas</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Westside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Williamson County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Dallas</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North Texas</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Texas</w:t>
            </w:r>
          </w:p>
        </w:tc>
        <w:tc>
          <w:tcPr>
            <w:tcW w:w="1420" w:type="dxa"/>
            <w:vAlign w:val="bottom"/>
          </w:tcPr>
          <w:p>
            <w:pPr>
              <w:spacing w:after="0"/>
              <w:rPr>
                <w:sz w:val="14"/>
                <w:szCs w:val="14"/>
                <w:color w:val="auto"/>
              </w:rPr>
            </w:pP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Waste Management of Utah,</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UT</w:t>
            </w: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Northern Utah</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Reliable Waste Systems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Salt Lake</w:t>
            </w:r>
          </w:p>
        </w:tc>
        <w:tc>
          <w:tcPr>
            <w:tcW w:w="142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Virginia,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VA</w:t>
            </w: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Manassas Transfer Station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Hampton Roads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Northern Virginia</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Northern Virginia- Crown Disposal</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the Outer Banks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Richmond/Fiber Fuels</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Richmond Port-O-Let</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Richmond Recycle America</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Virginia- Blue Ridge</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Hampton Roads</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Services of Virginia</w:t>
            </w:r>
          </w:p>
        </w:tc>
        <w:tc>
          <w:tcPr>
            <w:tcW w:w="142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West Virginia,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DE</w:t>
            </w: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Shenandoah Valley</w:t>
            </w:r>
          </w:p>
        </w:tc>
        <w:tc>
          <w:tcPr>
            <w:tcW w:w="1420" w:type="dxa"/>
            <w:vAlign w:val="bottom"/>
          </w:tcPr>
          <w:p>
            <w:pPr>
              <w:spacing w:after="0"/>
              <w:rPr>
                <w:sz w:val="14"/>
                <w:szCs w:val="14"/>
                <w:color w:val="auto"/>
              </w:rPr>
            </w:pPr>
          </w:p>
        </w:tc>
      </w:tr>
      <w:tr>
        <w:trPr>
          <w:trHeight w:val="170"/>
        </w:trPr>
        <w:tc>
          <w:tcPr>
            <w:tcW w:w="6680" w:type="dxa"/>
            <w:vAlign w:val="bottom"/>
            <w:gridSpan w:val="3"/>
          </w:tcPr>
          <w:p>
            <w:pPr>
              <w:spacing w:after="0"/>
              <w:rPr>
                <w:sz w:val="20"/>
                <w:szCs w:val="20"/>
                <w:color w:val="auto"/>
              </w:rPr>
            </w:pPr>
            <w:r>
              <w:rPr>
                <w:rFonts w:ascii="Courier New" w:cs="Courier New" w:eastAsia="Courier New" w:hAnsi="Courier New"/>
                <w:sz w:val="15"/>
                <w:szCs w:val="15"/>
                <w:color w:val="auto"/>
              </w:rPr>
              <w:t>Waste Management of Wisconsin, Inc.</w:t>
            </w:r>
          </w:p>
        </w:tc>
        <w:tc>
          <w:tcPr>
            <w:tcW w:w="1420" w:type="dxa"/>
            <w:vAlign w:val="bottom"/>
          </w:tcPr>
          <w:p>
            <w:pPr>
              <w:ind w:left="1240"/>
              <w:spacing w:after="0"/>
              <w:rPr>
                <w:sz w:val="20"/>
                <w:szCs w:val="20"/>
                <w:color w:val="auto"/>
              </w:rPr>
            </w:pPr>
            <w:r>
              <w:rPr>
                <w:rFonts w:ascii="Courier New" w:cs="Courier New" w:eastAsia="Courier New" w:hAnsi="Courier New"/>
                <w:sz w:val="15"/>
                <w:szCs w:val="15"/>
                <w:color w:val="auto"/>
                <w:w w:val="88"/>
              </w:rPr>
              <w:t>WI</w:t>
            </w: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rPr>
              <w:t>Best Disposal</w:t>
            </w:r>
          </w:p>
        </w:tc>
        <w:tc>
          <w:tcPr>
            <w:tcW w:w="2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Mallard Ridge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Metro/Stone Ridge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Orchard Ridge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Parkview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Pheasant Run Recycling and Disposal Facility</w:t>
            </w:r>
          </w:p>
        </w:tc>
        <w:tc>
          <w:tcPr>
            <w:tcW w:w="1420" w:type="dxa"/>
            <w:vAlign w:val="bottom"/>
          </w:tcPr>
          <w:p>
            <w:pPr>
              <w:spacing w:after="0"/>
              <w:rPr>
                <w:sz w:val="14"/>
                <w:szCs w:val="14"/>
                <w:color w:val="auto"/>
              </w:rPr>
            </w:pPr>
          </w:p>
        </w:tc>
      </w:tr>
      <w:tr>
        <w:trPr>
          <w:trHeight w:val="170"/>
        </w:trPr>
        <w:tc>
          <w:tcPr>
            <w:tcW w:w="250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9"/>
              </w:rPr>
              <w:t>Ridgeview Recycling</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and Disposal Facility</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Timberline Trail</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Recycling and Disposal Facility</w:t>
            </w:r>
          </w:p>
        </w:tc>
        <w:tc>
          <w:tcPr>
            <w:tcW w:w="1420" w:type="dxa"/>
            <w:vAlign w:val="bottom"/>
          </w:tcPr>
          <w:p>
            <w:pPr>
              <w:spacing w:after="0"/>
              <w:rPr>
                <w:sz w:val="14"/>
                <w:szCs w:val="14"/>
                <w:color w:val="auto"/>
              </w:rPr>
            </w:pPr>
          </w:p>
        </w:tc>
      </w:tr>
      <w:tr>
        <w:trPr>
          <w:trHeight w:val="170"/>
        </w:trPr>
        <w:tc>
          <w:tcPr>
            <w:tcW w:w="25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UWS Transportation</w:t>
            </w:r>
          </w:p>
        </w:tc>
        <w:tc>
          <w:tcPr>
            <w:tcW w:w="4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Valley Trail Recycling and Disposal Facility</w:t>
            </w:r>
          </w:p>
        </w:tc>
        <w:tc>
          <w:tcPr>
            <w:tcW w:w="1420" w:type="dxa"/>
            <w:vAlign w:val="bottom"/>
          </w:tcPr>
          <w:p>
            <w:pPr>
              <w:spacing w:after="0"/>
              <w:rPr>
                <w:sz w:val="14"/>
                <w:szCs w:val="14"/>
                <w:color w:val="auto"/>
              </w:rPr>
            </w:pPr>
          </w:p>
        </w:tc>
      </w:tr>
      <w:tr>
        <w:trPr>
          <w:trHeight w:val="170"/>
        </w:trPr>
        <w:tc>
          <w:tcPr>
            <w:tcW w:w="668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Waste Management- Northeast Wisconsin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Fox Valley</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La Crosse</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Madison</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Milwaukee</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Muskego</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Rockford</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Wisconsin- East</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Southwest</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St. Croix Valley</w:t>
            </w:r>
          </w:p>
        </w:tc>
        <w:tc>
          <w:tcPr>
            <w:tcW w:w="1420" w:type="dxa"/>
            <w:vAlign w:val="bottom"/>
          </w:tcPr>
          <w:p>
            <w:pPr>
              <w:spacing w:after="0"/>
              <w:rPr>
                <w:sz w:val="14"/>
                <w:szCs w:val="14"/>
                <w:color w:val="auto"/>
              </w:rPr>
            </w:pPr>
          </w:p>
        </w:tc>
      </w:tr>
      <w:tr>
        <w:trPr>
          <w:trHeight w:val="170"/>
        </w:trPr>
        <w:tc>
          <w:tcPr>
            <w:tcW w:w="2240" w:type="dxa"/>
            <w:vAlign w:val="bottom"/>
          </w:tcPr>
          <w:p>
            <w:pPr>
              <w:ind w:left="780"/>
              <w:spacing w:after="0"/>
              <w:rPr>
                <w:sz w:val="20"/>
                <w:szCs w:val="20"/>
                <w:color w:val="auto"/>
              </w:rPr>
            </w:pPr>
            <w:r>
              <w:rPr>
                <w:rFonts w:ascii="Courier New" w:cs="Courier New" w:eastAsia="Courier New" w:hAnsi="Courier New"/>
                <w:sz w:val="15"/>
                <w:szCs w:val="15"/>
                <w:color w:val="auto"/>
                <w:w w:val="99"/>
              </w:rPr>
              <w:t>Waste Management</w:t>
            </w:r>
          </w:p>
        </w:tc>
        <w:tc>
          <w:tcPr>
            <w:tcW w:w="4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Tri County</w:t>
            </w:r>
          </w:p>
        </w:tc>
        <w:tc>
          <w:tcPr>
            <w:tcW w:w="1420" w:type="dxa"/>
            <w:vAlign w:val="bottom"/>
          </w:tcPr>
          <w:p>
            <w:pPr>
              <w:spacing w:after="0"/>
              <w:rPr>
                <w:sz w:val="14"/>
                <w:szCs w:val="14"/>
                <w:color w:val="auto"/>
              </w:rPr>
            </w:pPr>
          </w:p>
        </w:tc>
      </w:tr>
    </w:tbl>
    <w:p>
      <w:pPr>
        <w:ind w:left="780"/>
        <w:spacing w:after="0"/>
        <w:rPr>
          <w:sz w:val="20"/>
          <w:szCs w:val="20"/>
          <w:color w:val="auto"/>
        </w:rPr>
      </w:pPr>
      <w:r>
        <w:rPr>
          <w:rFonts w:ascii="Courier New" w:cs="Courier New" w:eastAsia="Courier New" w:hAnsi="Courier New"/>
          <w:sz w:val="15"/>
          <w:szCs w:val="15"/>
          <w:color w:val="auto"/>
        </w:rPr>
        <w:t>WMI Services of Wisconsin</w:t>
      </w:r>
    </w:p>
    <w:p>
      <w:pPr>
        <w:sectPr>
          <w:pgSz w:w="11900" w:h="16838" w:orient="portrait"/>
          <w:cols w:equalWidth="0" w:num="1">
            <w:col w:w="10219"/>
          </w:cols>
          <w:pgMar w:left="240" w:top="283"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70"/>
        </w:trPr>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5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848"/>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of Wyoming,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Operations Ireland Ltd.</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Paper Recycling,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Paper Stock Company,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Southern Sanitation Southeast - Recycle America</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Florida- Recycle America</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Sarasota- Recycle America</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Tampa- Recycle America</w:t>
            </w:r>
          </w:p>
        </w:tc>
        <w:tc>
          <w:tcPr>
            <w:tcW w:w="194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Partners,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American Refuse Systems, Inc.</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Ocmulgee Disposal, Inc.</w:t>
            </w:r>
          </w:p>
        </w:tc>
        <w:tc>
          <w:tcPr>
            <w:tcW w:w="194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Partnership Holdings,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Plastic Products,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Project Services B.V.</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Queensland Pty Ltd.</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8"/>
              </w:rPr>
              <w:t>AUSTRALIA</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Queensland Pty. Limited</w:t>
            </w:r>
          </w:p>
        </w:tc>
        <w:tc>
          <w:tcPr>
            <w:tcW w:w="1940" w:type="dxa"/>
            <w:vAlign w:val="bottom"/>
          </w:tcPr>
          <w:p>
            <w:pPr>
              <w:jc w:val="center"/>
              <w:ind w:left="667"/>
              <w:spacing w:after="0"/>
              <w:rPr>
                <w:sz w:val="20"/>
                <w:szCs w:val="20"/>
                <w:color w:val="auto"/>
              </w:rPr>
            </w:pPr>
            <w:r>
              <w:rPr>
                <w:rFonts w:ascii="Courier New" w:cs="Courier New" w:eastAsia="Courier New" w:hAnsi="Courier New"/>
                <w:sz w:val="15"/>
                <w:szCs w:val="15"/>
                <w:color w:val="auto"/>
                <w:w w:val="97"/>
              </w:rPr>
              <w:t>QUEENSLAND</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Recycling &amp; Services Ltd</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8"/>
              </w:rPr>
              <w:t>HONG KONG</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Remediation Services B.V.</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Siam Holdings Limited</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THAILAND</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Siam Limited</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7"/>
              </w:rPr>
              <w:t>THAILAND</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South America B.V.</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Stendahl GmbH</w:t>
            </w:r>
          </w:p>
        </w:tc>
        <w:tc>
          <w:tcPr>
            <w:tcW w:w="1940" w:type="dxa"/>
            <w:vAlign w:val="bottom"/>
          </w:tcPr>
          <w:p>
            <w:pPr>
              <w:jc w:val="center"/>
              <w:ind w:left="727"/>
              <w:spacing w:after="0"/>
              <w:rPr>
                <w:sz w:val="20"/>
                <w:szCs w:val="20"/>
                <w:color w:val="auto"/>
              </w:rPr>
            </w:pPr>
            <w:r>
              <w:rPr>
                <w:rFonts w:ascii="Courier New" w:cs="Courier New" w:eastAsia="Courier New" w:hAnsi="Courier New"/>
                <w:sz w:val="15"/>
                <w:szCs w:val="15"/>
                <w:color w:val="auto"/>
                <w:w w:val="98"/>
              </w:rPr>
              <w:t>GERMANY</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Technology Center,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Waste Management</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Thailand B.V.</w:t>
            </w:r>
          </w:p>
        </w:tc>
        <w:tc>
          <w:tcPr>
            <w:tcW w:w="1940" w:type="dxa"/>
            <w:vAlign w:val="bottom"/>
          </w:tcPr>
          <w:p>
            <w:pPr>
              <w:jc w:val="center"/>
              <w:ind w:left="747"/>
              <w:spacing w:after="0"/>
              <w:rPr>
                <w:sz w:val="20"/>
                <w:szCs w:val="20"/>
                <w:color w:val="auto"/>
              </w:rPr>
            </w:pPr>
            <w:r>
              <w:rPr>
                <w:rFonts w:ascii="Courier New" w:cs="Courier New" w:eastAsia="Courier New" w:hAnsi="Courier New"/>
                <w:sz w:val="15"/>
                <w:szCs w:val="15"/>
                <w:color w:val="auto"/>
                <w:w w:val="96"/>
              </w:rPr>
              <w:t>NETHERLANDS</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Inc. (f/k/a USA Waste Services,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 Management, Inc. of Tennessee</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Chestnut Ridge Landfill and Recycling Center</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Tennessee - Clarksville</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Tennessee - Jackson</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Tennessee - Knoxville</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Tennessee - Memphis</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Waste Management of Tennessee - Nashville</w:t>
            </w:r>
          </w:p>
        </w:tc>
        <w:tc>
          <w:tcPr>
            <w:tcW w:w="1940" w:type="dxa"/>
            <w:vAlign w:val="bottom"/>
          </w:tcPr>
          <w:p>
            <w:pPr>
              <w:spacing w:after="0"/>
              <w:rPr>
                <w:sz w:val="14"/>
                <w:szCs w:val="14"/>
                <w:color w:val="auto"/>
              </w:rPr>
            </w:pP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West Camden Sanitary Landfill</w:t>
            </w:r>
          </w:p>
        </w:tc>
        <w:tc>
          <w:tcPr>
            <w:tcW w:w="1940" w:type="dxa"/>
            <w:vAlign w:val="bottom"/>
          </w:tcPr>
          <w:p>
            <w:pPr>
              <w:spacing w:after="0"/>
              <w:rPr>
                <w:sz w:val="14"/>
                <w:szCs w:val="14"/>
                <w:color w:val="auto"/>
              </w:rPr>
            </w:pP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 Resource Technologies,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 Resources of Tennessee,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TN</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 Services of South Florida,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Waste-X Services,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Wastronics, Inc.</w:t>
            </w:r>
          </w:p>
        </w:tc>
        <w:tc>
          <w:tcPr>
            <w:tcW w:w="5200" w:type="dxa"/>
            <w:vAlign w:val="bottom"/>
          </w:tcPr>
          <w:p>
            <w:pPr>
              <w:spacing w:after="0"/>
              <w:rPr>
                <w:sz w:val="14"/>
                <w:szCs w:val="14"/>
                <w:color w:val="auto"/>
              </w:rPr>
            </w:pP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Water Investments,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LJ Water Partners, L.P. (49% ownership by Water Investment,</w:t>
            </w:r>
          </w:p>
        </w:tc>
        <w:tc>
          <w:tcPr>
            <w:tcW w:w="194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5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Waterblast Ltd.</w:t>
            </w:r>
          </w:p>
        </w:tc>
        <w:tc>
          <w:tcPr>
            <w:tcW w:w="5200" w:type="dxa"/>
            <w:vAlign w:val="bottom"/>
          </w:tcPr>
          <w:p>
            <w:pPr>
              <w:spacing w:after="0"/>
              <w:rPr>
                <w:sz w:val="14"/>
                <w:szCs w:val="14"/>
                <w:color w:val="auto"/>
              </w:rPr>
            </w:pP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Webster Parish Landfill, L.L.C.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WESI Baltimore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w w:val="95"/>
              </w:rPr>
              <w:t>WESI Capital Inc.</w:t>
            </w:r>
          </w:p>
        </w:tc>
        <w:tc>
          <w:tcPr>
            <w:tcW w:w="5200" w:type="dxa"/>
            <w:vAlign w:val="bottom"/>
          </w:tcPr>
          <w:p>
            <w:pPr>
              <w:spacing w:after="0"/>
              <w:rPr>
                <w:sz w:val="14"/>
                <w:szCs w:val="14"/>
                <w:color w:val="auto"/>
              </w:rPr>
            </w:pP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WESI Peekskill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WESI Westchester</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Wessex Waste Gas</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to Energy Ltd.</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Wessex Waste Management Limited</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6680" w:type="dxa"/>
            <w:vAlign w:val="bottom"/>
            <w:gridSpan w:val="2"/>
          </w:tcPr>
          <w:p>
            <w:pPr>
              <w:spacing w:after="0"/>
              <w:rPr>
                <w:sz w:val="20"/>
                <w:szCs w:val="20"/>
                <w:color w:val="auto"/>
              </w:rPr>
            </w:pPr>
            <w:r>
              <w:rPr>
                <w:rFonts w:ascii="Courier New" w:cs="Courier New" w:eastAsia="Courier New" w:hAnsi="Courier New"/>
                <w:sz w:val="15"/>
                <w:szCs w:val="15"/>
                <w:color w:val="auto"/>
              </w:rPr>
              <w:t>West Milford Haulage, Inc.</w:t>
            </w:r>
          </w:p>
        </w:tc>
        <w:tc>
          <w:tcPr>
            <w:tcW w:w="1940" w:type="dxa"/>
            <w:vAlign w:val="bottom"/>
          </w:tcPr>
          <w:p>
            <w:pPr>
              <w:jc w:val="center"/>
              <w:ind w:left="647"/>
              <w:spacing w:after="0"/>
              <w:rPr>
                <w:sz w:val="20"/>
                <w:szCs w:val="20"/>
                <w:color w:val="auto"/>
              </w:rPr>
            </w:pPr>
            <w:r>
              <w:rPr>
                <w:rFonts w:ascii="Courier New" w:cs="Courier New" w:eastAsia="Courier New" w:hAnsi="Courier New"/>
                <w:sz w:val="15"/>
                <w:szCs w:val="15"/>
                <w:color w:val="auto"/>
                <w:w w:val="99"/>
              </w:rPr>
              <w:t>NJ</w:t>
            </w:r>
          </w:p>
        </w:tc>
      </w:tr>
    </w:tbl>
    <w:p>
      <w:pPr>
        <w:sectPr>
          <w:pgSz w:w="11900" w:h="16838" w:orient="portrait"/>
          <w:cols w:equalWidth="0" w:num="1">
            <w:col w:w="10219"/>
          </w:cols>
          <w:pgMar w:left="240" w:top="283" w:right="1440"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3040" w:type="dxa"/>
            <w:vAlign w:val="bottom"/>
          </w:tcPr>
          <w:p>
            <w:pPr>
              <w:spacing w:after="0"/>
              <w:rPr>
                <w:sz w:val="14"/>
                <w:szCs w:val="14"/>
                <w:color w:val="auto"/>
              </w:rPr>
            </w:pPr>
          </w:p>
        </w:tc>
      </w:tr>
      <w:tr>
        <w:trPr>
          <w:trHeight w:val="848"/>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Westchester Resco Company, L.P.</w:t>
            </w:r>
          </w:p>
        </w:tc>
        <w:tc>
          <w:tcPr>
            <w:tcW w:w="3040" w:type="dxa"/>
            <w:vAlign w:val="bottom"/>
          </w:tcPr>
          <w:p>
            <w:pPr>
              <w:spacing w:after="0"/>
              <w:rPr>
                <w:sz w:val="24"/>
                <w:szCs w:val="2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El Dorado Recovery Systems,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Land Acquisition,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RI</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States Waste Systems,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AZ</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U.P. Landfill,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Waste Industries</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Conroe Industrial Transportation</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Conroe Landfill #7</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Conroe Landfill Administration</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Fresno Transfer Station</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Inland Empire</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Redondo Beach Recycling</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Sunnydale Transfer Station</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Western Beaumont Landfill</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Western Longmont Landfill</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WW/Chino Transfer Station</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WW/Conroe Processing Plant</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WW/EL Sobrante Landfill</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Nassau Landfill</w:t>
            </w:r>
          </w:p>
        </w:tc>
        <w:tc>
          <w:tcPr>
            <w:tcW w:w="3040" w:type="dxa"/>
            <w:vAlign w:val="bottom"/>
          </w:tcPr>
          <w:p>
            <w:pPr>
              <w:spacing w:after="0"/>
              <w:rPr>
                <w:sz w:val="14"/>
                <w:szCs w:val="14"/>
                <w:color w:val="auto"/>
              </w:rPr>
            </w:pPr>
          </w:p>
        </w:tc>
      </w:tr>
      <w:tr>
        <w:trPr>
          <w:trHeight w:val="170"/>
        </w:trPr>
        <w:tc>
          <w:tcPr>
            <w:tcW w:w="5580" w:type="dxa"/>
            <w:vAlign w:val="bottom"/>
          </w:tcPr>
          <w:p>
            <w:pPr>
              <w:ind w:left="780"/>
              <w:spacing w:after="0"/>
              <w:rPr>
                <w:sz w:val="20"/>
                <w:szCs w:val="20"/>
                <w:color w:val="auto"/>
              </w:rPr>
            </w:pPr>
            <w:r>
              <w:rPr>
                <w:rFonts w:ascii="Courier New" w:cs="Courier New" w:eastAsia="Courier New" w:hAnsi="Courier New"/>
                <w:sz w:val="15"/>
                <w:szCs w:val="15"/>
                <w:color w:val="auto"/>
              </w:rPr>
              <w:t>WW/Southern California Processing</w:t>
            </w:r>
          </w:p>
        </w:tc>
        <w:tc>
          <w:tcPr>
            <w:tcW w:w="3040" w:type="dxa"/>
            <w:vAlign w:val="bottom"/>
          </w:tcPr>
          <w:p>
            <w:pPr>
              <w:spacing w:after="0"/>
              <w:rPr>
                <w:sz w:val="14"/>
                <w:szCs w:val="1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Westley Trading Ltd.</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Air Pollution Control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Canada Inc.</w:t>
            </w:r>
          </w:p>
        </w:tc>
        <w:tc>
          <w:tcPr>
            <w:tcW w:w="3040" w:type="dxa"/>
            <w:vAlign w:val="bottom"/>
          </w:tcPr>
          <w:p>
            <w:pPr>
              <w:ind w:left="2160"/>
              <w:spacing w:after="0"/>
              <w:rPr>
                <w:sz w:val="20"/>
                <w:szCs w:val="20"/>
                <w:color w:val="auto"/>
              </w:rPr>
            </w:pPr>
            <w:r>
              <w:rPr>
                <w:rFonts w:ascii="Courier New" w:cs="Courier New" w:eastAsia="Courier New" w:hAnsi="Courier New"/>
                <w:sz w:val="15"/>
                <w:szCs w:val="15"/>
                <w:color w:val="auto"/>
              </w:rPr>
              <w:t>ONTARIO</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Carteret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Cedar Creek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Clean Water New Jersey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Coal Services Company</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Concord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Connecticut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Culm Services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Energy Leasing Company</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Energy Systems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Environmental Systems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Falls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Frackville Energy Company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Frackville Properties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Fuel Services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Fuels Service Corporation</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Gloucester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Guam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Hudson Energy Company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Land Resources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Lassen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Martell Inc.</w:t>
            </w:r>
          </w:p>
        </w:tc>
        <w:tc>
          <w:tcPr>
            <w:tcW w:w="3040" w:type="dxa"/>
            <w:vAlign w:val="bottom"/>
          </w:tcPr>
          <w:p>
            <w:pPr>
              <w:spacing w:after="0"/>
              <w:rPr>
                <w:sz w:val="14"/>
                <w:szCs w:val="14"/>
                <w:color w:val="auto"/>
              </w:rPr>
            </w:pP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McKay Bay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Millbury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New Hampshire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New Jersey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Wheelabrator NHC Inc.</w:t>
            </w:r>
          </w:p>
        </w:tc>
        <w:tc>
          <w:tcPr>
            <w:tcW w:w="3040" w:type="dxa"/>
            <w:vAlign w:val="bottom"/>
          </w:tcPr>
          <w:p>
            <w:pPr>
              <w:jc w:val="center"/>
              <w:ind w:left="1747"/>
              <w:spacing w:after="0"/>
              <w:rPr>
                <w:sz w:val="20"/>
                <w:szCs w:val="20"/>
                <w:color w:val="auto"/>
              </w:rPr>
            </w:pPr>
            <w:r>
              <w:rPr>
                <w:rFonts w:ascii="Courier New" w:cs="Courier New" w:eastAsia="Courier New" w:hAnsi="Courier New"/>
                <w:sz w:val="15"/>
                <w:szCs w:val="15"/>
                <w:color w:val="auto"/>
                <w:w w:val="99"/>
              </w:rPr>
              <w:t>DE</w:t>
            </w:r>
          </w:p>
        </w:tc>
      </w:tr>
    </w:tbl>
    <w:p>
      <w:pPr>
        <w:sectPr>
          <w:pgSz w:w="11900" w:h="16838" w:orient="portrait"/>
          <w:cols w:equalWidth="0" w:num="1">
            <w:col w:w="10219"/>
          </w:cols>
          <w:pgMar w:left="240" w:top="283" w:right="1440"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35</w:t>
            </w:r>
          </w:p>
        </w:tc>
        <w:tc>
          <w:tcPr>
            <w:tcW w:w="2380" w:type="dxa"/>
            <w:vAlign w:val="bottom"/>
          </w:tcPr>
          <w:p>
            <w:pPr>
              <w:spacing w:after="0"/>
              <w:rPr>
                <w:sz w:val="14"/>
                <w:szCs w:val="14"/>
                <w:color w:val="auto"/>
              </w:rPr>
            </w:pPr>
          </w:p>
        </w:tc>
      </w:tr>
      <w:tr>
        <w:trPr>
          <w:trHeight w:val="848"/>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North Broward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North Shore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Norwalk Energy Company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Penacook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Pinellas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Polk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Power Marketing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Putnam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Ridge Energy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Saugus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Shasta Energy Company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Sherman Station One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Sherman Station Two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Shrewsbury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South Broward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Spokane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Technologies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Water Technologies Baltimore L.L.C.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Water Technologies Canada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Wheelabrator Water Technologies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White Lake Landfill,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MI</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Whitefeather Landfill,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Wildcat Refuse,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MD</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Williams Disposal Service,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FL</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Williams Landfill, L.L.C.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Wil-Mar,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CA</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 International Holdings,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 Norge AS</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NORWAY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 Umwelttechnik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 Ymparistopalvelut OY</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FINLAND</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Bockmann  Fritz Ohlig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Just Entsorgung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Knab GmgH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Knab Zwischenlager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Knoss &amp; Anthes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Schreiber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WMD Waste Management Deutschland Holding GmbH</w:t>
            </w:r>
          </w:p>
        </w:tc>
        <w:tc>
          <w:tcPr>
            <w:tcW w:w="2380" w:type="dxa"/>
            <w:vAlign w:val="bottom"/>
          </w:tcPr>
          <w:p>
            <w:pPr>
              <w:ind w:left="1760"/>
              <w:spacing w:after="0"/>
              <w:rPr>
                <w:sz w:val="20"/>
                <w:szCs w:val="20"/>
                <w:color w:val="auto"/>
              </w:rPr>
            </w:pPr>
            <w:r>
              <w:rPr>
                <w:rFonts w:ascii="Courier New" w:cs="Courier New" w:eastAsia="Courier New" w:hAnsi="Courier New"/>
                <w:sz w:val="15"/>
                <w:szCs w:val="15"/>
                <w:color w:val="auto"/>
                <w:w w:val="95"/>
              </w:rPr>
              <w:t>GERMANY</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Medical Services of Ohio,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OH</w:t>
            </w: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WMI Medical Services- Dayton</w:t>
            </w:r>
          </w:p>
        </w:tc>
        <w:tc>
          <w:tcPr>
            <w:tcW w:w="2380" w:type="dxa"/>
            <w:vAlign w:val="bottom"/>
          </w:tcPr>
          <w:p>
            <w:pPr>
              <w:spacing w:after="0"/>
              <w:rPr>
                <w:sz w:val="14"/>
                <w:szCs w:val="14"/>
                <w:color w:val="auto"/>
              </w:rPr>
            </w:pP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Merger Sub,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Mexico Holdings,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Quebec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QUEBEC</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Selbergs AB</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SWEDEN</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Services of Nevada,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NV</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Urban Services,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WMI Waste Management of Canada Inc.</w:t>
            </w:r>
          </w:p>
        </w:tc>
        <w:tc>
          <w:tcPr>
            <w:tcW w:w="2380" w:type="dxa"/>
            <w:vAlign w:val="bottom"/>
          </w:tcPr>
          <w:p>
            <w:pPr>
              <w:jc w:val="center"/>
              <w:ind w:left="1607"/>
              <w:spacing w:after="0"/>
              <w:rPr>
                <w:sz w:val="20"/>
                <w:szCs w:val="20"/>
                <w:color w:val="auto"/>
              </w:rPr>
            </w:pPr>
            <w:r>
              <w:rPr>
                <w:rFonts w:ascii="Courier New" w:cs="Courier New" w:eastAsia="Courier New" w:hAnsi="Courier New"/>
                <w:sz w:val="15"/>
                <w:szCs w:val="15"/>
                <w:color w:val="auto"/>
                <w:w w:val="99"/>
              </w:rPr>
              <w:t>CANADA</w:t>
            </w: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TCL Waste Systems</w:t>
            </w:r>
          </w:p>
        </w:tc>
        <w:tc>
          <w:tcPr>
            <w:tcW w:w="2380" w:type="dxa"/>
            <w:vAlign w:val="bottom"/>
          </w:tcPr>
          <w:p>
            <w:pPr>
              <w:spacing w:after="0"/>
              <w:rPr>
                <w:sz w:val="14"/>
                <w:szCs w:val="14"/>
                <w:color w:val="auto"/>
              </w:rPr>
            </w:pPr>
          </w:p>
        </w:tc>
      </w:tr>
      <w:tr>
        <w:trPr>
          <w:trHeight w:val="170"/>
        </w:trPr>
        <w:tc>
          <w:tcPr>
            <w:tcW w:w="5980" w:type="dxa"/>
            <w:vAlign w:val="bottom"/>
          </w:tcPr>
          <w:p>
            <w:pPr>
              <w:ind w:left="780"/>
              <w:spacing w:after="0"/>
              <w:rPr>
                <w:sz w:val="20"/>
                <w:szCs w:val="20"/>
                <w:color w:val="auto"/>
              </w:rPr>
            </w:pPr>
            <w:r>
              <w:rPr>
                <w:rFonts w:ascii="Courier New" w:cs="Courier New" w:eastAsia="Courier New" w:hAnsi="Courier New"/>
                <w:sz w:val="15"/>
                <w:szCs w:val="15"/>
                <w:color w:val="auto"/>
              </w:rPr>
              <w:t>Waste Management Big Bear Services</w:t>
            </w:r>
          </w:p>
        </w:tc>
        <w:tc>
          <w:tcPr>
            <w:tcW w:w="2380" w:type="dxa"/>
            <w:vAlign w:val="bottom"/>
          </w:tcPr>
          <w:p>
            <w:pPr>
              <w:spacing w:after="0"/>
              <w:rPr>
                <w:sz w:val="14"/>
                <w:szCs w:val="14"/>
                <w:color w:val="auto"/>
              </w:rPr>
            </w:pPr>
          </w:p>
        </w:tc>
      </w:tr>
    </w:tbl>
    <w:p>
      <w:pPr>
        <w:sectPr>
          <w:pgSz w:w="11900" w:h="16838" w:orient="portrait"/>
          <w:cols w:equalWidth="0" w:num="1">
            <w:col w:w="10219"/>
          </w:cols>
          <w:pgMar w:left="240" w:top="283" w:right="1440"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848"/>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Fraser Valley</w:t>
            </w:r>
          </w:p>
        </w:tc>
        <w:tc>
          <w:tcPr>
            <w:tcW w:w="2100" w:type="dxa"/>
            <w:vAlign w:val="bottom"/>
          </w:tcPr>
          <w:p>
            <w:pPr>
              <w:spacing w:after="0"/>
              <w:rPr>
                <w:sz w:val="24"/>
                <w:szCs w:val="2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Halton/Hamilton</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Materials Processing- Recycle Canada</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Materials Processing- Toronto Transfer</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McLellan Disposal</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Oxford/Perth</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Calgary</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Edmonton</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Greater Toronto</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Greater Vancouver</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Southwestern Ontario</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of the Okanagan</w:t>
            </w: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Waste</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Management</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York/Simcoe</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West Edmonton Recycling and Disposal Facility</w:t>
            </w:r>
          </w:p>
        </w:tc>
        <w:tc>
          <w:tcPr>
            <w:tcW w:w="2100" w:type="dxa"/>
            <w:vAlign w:val="bottom"/>
          </w:tcPr>
          <w:p>
            <w:pPr>
              <w:spacing w:after="0"/>
              <w:rPr>
                <w:sz w:val="14"/>
                <w:szCs w:val="14"/>
                <w:color w:val="auto"/>
              </w:rPr>
            </w:pPr>
          </w:p>
        </w:tc>
      </w:tr>
      <w:tr>
        <w:trPr>
          <w:trHeight w:val="170"/>
        </w:trPr>
        <w:tc>
          <w:tcPr>
            <w:tcW w:w="22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WMI du Quebec</w:t>
            </w: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WMI -</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Hull/Ottawa</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Recyclage Quebec</w:t>
            </w:r>
          </w:p>
        </w:tc>
        <w:tc>
          <w:tcPr>
            <w:tcW w:w="2100" w:type="dxa"/>
            <w:vAlign w:val="bottom"/>
          </w:tcPr>
          <w:p>
            <w:pPr>
              <w:spacing w:after="0"/>
              <w:rPr>
                <w:sz w:val="14"/>
                <w:szCs w:val="14"/>
                <w:color w:val="auto"/>
              </w:rPr>
            </w:pPr>
          </w:p>
        </w:tc>
      </w:tr>
      <w:tr>
        <w:trPr>
          <w:trHeight w:val="170"/>
        </w:trPr>
        <w:tc>
          <w:tcPr>
            <w:tcW w:w="22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WMI Rive - Sud</w:t>
            </w: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WMI Waste Management DuCanada</w:t>
            </w:r>
          </w:p>
        </w:tc>
        <w:tc>
          <w:tcPr>
            <w:tcW w:w="2100" w:type="dxa"/>
            <w:vAlign w:val="bottom"/>
          </w:tcPr>
          <w:p>
            <w:pPr>
              <w:spacing w:after="0"/>
              <w:rPr>
                <w:sz w:val="14"/>
                <w:szCs w:val="14"/>
                <w:color w:val="auto"/>
              </w:rPr>
            </w:pP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WMNA Container</w:t>
            </w:r>
          </w:p>
        </w:tc>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Recycling,</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w w:val="98"/>
              </w:rPr>
              <w:t>WMNA Rail-Cycle Sub,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rPr>
              <w:t>WR Pollard and</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Son Limited</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UNITED KINGDOM</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Wright General,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AK</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WTI China Holdings I,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CAYMAN ISLANDS</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WTI China Holdings II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CAYMAN ISLANDS</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China One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China Two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WTI International Energy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WTI International Holdings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1320" w:type="dxa"/>
            <w:vAlign w:val="bottom"/>
          </w:tcPr>
          <w:p>
            <w:pPr>
              <w:spacing w:after="0"/>
              <w:rPr>
                <w:sz w:val="20"/>
                <w:szCs w:val="20"/>
                <w:color w:val="auto"/>
              </w:rPr>
            </w:pPr>
            <w:r>
              <w:rPr>
                <w:rFonts w:ascii="Courier New" w:cs="Courier New" w:eastAsia="Courier New" w:hAnsi="Courier New"/>
                <w:sz w:val="15"/>
                <w:szCs w:val="15"/>
                <w:color w:val="auto"/>
                <w:w w:val="96"/>
              </w:rPr>
              <w:t>WTI Qicheng LLC</w:t>
            </w:r>
          </w:p>
        </w:tc>
        <w:tc>
          <w:tcPr>
            <w:tcW w:w="9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CAYMAN ISLANDS</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Rust Holdings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Rust Holdings, Inc.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Taicang LLC.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CAYMAN ISLANDS</w:t>
            </w:r>
          </w:p>
        </w:tc>
      </w:t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WTI Yingkou LLC.</w:t>
            </w:r>
          </w:p>
        </w:tc>
        <w:tc>
          <w:tcPr>
            <w:tcW w:w="4280" w:type="dxa"/>
            <w:vAlign w:val="bottom"/>
          </w:tcPr>
          <w:p>
            <w:pPr>
              <w:spacing w:after="0"/>
              <w:rPr>
                <w:sz w:val="14"/>
                <w:szCs w:val="14"/>
                <w:color w:val="auto"/>
              </w:rPr>
            </w:pP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6"/>
              </w:rPr>
              <w:t>CAYMAN ISLANDS</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Yell County Landfill, L.L.C.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DE</w:t>
            </w: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Zenith/Kremer Material Recovery,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Suburban Recycling Service</w:t>
            </w:r>
          </w:p>
        </w:tc>
        <w:tc>
          <w:tcPr>
            <w:tcW w:w="210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Zenith/Kremer Waste Systems, Inc.</w:t>
            </w:r>
          </w:p>
        </w:tc>
        <w:tc>
          <w:tcPr>
            <w:tcW w:w="210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MN</w:t>
            </w:r>
          </w:p>
        </w:tc>
      </w:tr>
      <w:tr>
        <w:trPr>
          <w:trHeight w:val="170"/>
        </w:trPr>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Cecil</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Shykes Sanitary Service</w:t>
            </w: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Home Town Garbage Service</w:t>
            </w:r>
          </w:p>
        </w:tc>
        <w:tc>
          <w:tcPr>
            <w:tcW w:w="2100" w:type="dxa"/>
            <w:vAlign w:val="bottom"/>
          </w:tcPr>
          <w:p>
            <w:pPr>
              <w:spacing w:after="0"/>
              <w:rPr>
                <w:sz w:val="14"/>
                <w:szCs w:val="14"/>
                <w:color w:val="auto"/>
              </w:rPr>
            </w:pPr>
          </w:p>
        </w:tc>
      </w:tr>
      <w:tr>
        <w:trPr>
          <w:trHeight w:val="170"/>
        </w:trPr>
        <w:tc>
          <w:tcPr>
            <w:tcW w:w="22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Kremer Disposal</w:t>
            </w: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22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9"/>
              </w:rPr>
              <w:t>Kremer Recycling</w:t>
            </w: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Suburban Sanitation Service</w:t>
            </w:r>
          </w:p>
        </w:tc>
        <w:tc>
          <w:tcPr>
            <w:tcW w:w="2100" w:type="dxa"/>
            <w:vAlign w:val="bottom"/>
          </w:tcPr>
          <w:p>
            <w:pPr>
              <w:spacing w:after="0"/>
              <w:rPr>
                <w:sz w:val="14"/>
                <w:szCs w:val="14"/>
                <w:color w:val="auto"/>
              </w:rPr>
            </w:pPr>
          </w:p>
        </w:tc>
      </w:tr>
      <w:tr>
        <w:trPr>
          <w:trHeight w:val="170"/>
        </w:trPr>
        <w:tc>
          <w:tcPr>
            <w:tcW w:w="2240" w:type="dxa"/>
            <w:vAlign w:val="bottom"/>
            <w:gridSpan w:val="2"/>
          </w:tcPr>
          <w:p>
            <w:pPr>
              <w:ind w:left="780"/>
              <w:spacing w:after="0"/>
              <w:rPr>
                <w:sz w:val="20"/>
                <w:szCs w:val="20"/>
                <w:color w:val="auto"/>
              </w:rPr>
            </w:pPr>
            <w:r>
              <w:rPr>
                <w:rFonts w:ascii="Courier New" w:cs="Courier New" w:eastAsia="Courier New" w:hAnsi="Courier New"/>
                <w:sz w:val="15"/>
                <w:szCs w:val="15"/>
                <w:color w:val="auto"/>
                <w:w w:val="99"/>
              </w:rPr>
              <w:t>Zenith Recycling</w:t>
            </w:r>
          </w:p>
        </w:tc>
        <w:tc>
          <w:tcPr>
            <w:tcW w:w="42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70"/>
        </w:trPr>
        <w:tc>
          <w:tcPr>
            <w:tcW w:w="6520" w:type="dxa"/>
            <w:vAlign w:val="bottom"/>
            <w:gridSpan w:val="3"/>
          </w:tcPr>
          <w:p>
            <w:pPr>
              <w:spacing w:after="0"/>
              <w:rPr>
                <w:sz w:val="20"/>
                <w:szCs w:val="20"/>
                <w:color w:val="auto"/>
              </w:rPr>
            </w:pPr>
            <w:r>
              <w:rPr>
                <w:rFonts w:ascii="Courier New" w:cs="Courier New" w:eastAsia="Courier New" w:hAnsi="Courier New"/>
                <w:sz w:val="15"/>
                <w:szCs w:val="15"/>
                <w:color w:val="auto"/>
              </w:rPr>
              <w:t>Zhong Zia Environmental Technology Co. Ltd.</w:t>
            </w:r>
          </w:p>
        </w:tc>
        <w:tc>
          <w:tcPr>
            <w:tcW w:w="2100" w:type="dxa"/>
            <w:vAlign w:val="bottom"/>
          </w:tcPr>
          <w:p>
            <w:pPr>
              <w:ind w:left="1140"/>
              <w:spacing w:after="0"/>
              <w:rPr>
                <w:sz w:val="20"/>
                <w:szCs w:val="20"/>
                <w:color w:val="auto"/>
              </w:rPr>
            </w:pPr>
            <w:r>
              <w:rPr>
                <w:rFonts w:ascii="Courier New" w:cs="Courier New" w:eastAsia="Courier New" w:hAnsi="Courier New"/>
                <w:sz w:val="15"/>
                <w:szCs w:val="15"/>
                <w:color w:val="auto"/>
              </w:rPr>
              <w:t>HONG KONG</w:t>
            </w:r>
          </w:p>
        </w:tc>
      </w:tr>
    </w:tbl>
    <w:p>
      <w:pPr>
        <w:sectPr>
          <w:pgSz w:w="11900" w:h="16838" w:orient="portrait"/>
          <w:cols w:equalWidth="0" w:num="1">
            <w:col w:w="10219"/>
          </w:cols>
          <w:pgMar w:left="240" w:top="283"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or incorporated by reference in this Annual Report on Form 10-K, into the Company's previously filed Registration Statements on Form S-8 (Registration Nos. 33-43619, 33-72436, 33-84988, 33-84990, 33-59807, 33-61621, 33-61625, 33-61627, 333-02181, 333-08161, 333-14115, 333-14613, 333-34819, 333-51975, 333-64239, 333-70055, 333-59247, 333-56113), previously filed Registration Statements on Form S-3 (Registration Nos. 333-00097, 333-08573,</w:t>
      </w:r>
    </w:p>
    <w:p>
      <w:pPr>
        <w:spacing w:after="0" w:line="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333-32471, 333-33889, 333-52197), and previously filed Registration Statements on Form S-4 (Registration Nos. 333-31979 and 333-32805).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10219"/>
          </w:cols>
          <w:pgMar w:left="240" w:top="136"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Waste Management, Inc. on Form S-3 (File Nos. 333-00097, 333-08573, 333-32471, 333-33889, and 333-52197), on Form S-4 (File Nos. 333-31979 and 333-32805), and on Form S-8 (File Nos. 33-43619, 33-72436, 33-84988, 33-84990, 33-59807, 33-61621, 33-61625, 33-61627, 333-02181, 333-08161, 333-14115, 333-14613, 333-34819, 333-51975, 333-64239, 333-70055, 333-59247, and 333-56113),</w:t>
      </w:r>
    </w:p>
    <w:p>
      <w:pPr>
        <w:spacing w:after="0" w:line="2"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of our report dated March 16, 1998, on our audits of the consolidated financial statements of USA Waste Services, Inc. as of December 31, 1997, and for the years ended December 31, 1997 and 1996, which report is included in this Annual Report on Form 10-K.</w:t>
      </w:r>
    </w:p>
    <w:p>
      <w:pPr>
        <w:spacing w:after="0" w:line="200" w:lineRule="exact"/>
        <w:rPr>
          <w:sz w:val="20"/>
          <w:szCs w:val="20"/>
          <w:color w:val="auto"/>
        </w:rPr>
      </w:pPr>
    </w:p>
    <w:p>
      <w:pPr>
        <w:spacing w:after="0" w:line="31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PricewaterhouseCoopers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rPr>
          <w:sz w:val="20"/>
          <w:szCs w:val="20"/>
          <w:color w:val="auto"/>
        </w:rPr>
      </w:pPr>
      <w:r>
        <w:rPr>
          <w:rFonts w:ascii="Courier New" w:cs="Courier New" w:eastAsia="Courier New" w:hAnsi="Courier New"/>
          <w:sz w:val="15"/>
          <w:szCs w:val="15"/>
          <w:color w:val="auto"/>
        </w:rPr>
        <w:t>March 29, 1999</w:t>
      </w:r>
    </w:p>
    <w:p>
      <w:pPr>
        <w:sectPr>
          <w:pgSz w:w="11900" w:h="16838" w:orient="portrait"/>
          <w:cols w:equalWidth="0" w:num="1">
            <w:col w:w="10219"/>
          </w:cols>
          <w:pgMar w:left="240" w:top="136" w:right="1440" w:bottom="1440" w:gutter="0" w:footer="0" w:header="0"/>
        </w:sectPr>
      </w:pPr>
    </w:p>
    <w:bookmarkStart w:id="198" w:name="page199"/>
    <w:bookmarkEnd w:id="198"/>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YEAR ENDED DECEMBER 31, 1998 AND IS QUALIFIED IN ITS ENTIRETY BY REFERENCE TO SUCH FINANCIAL STATEMENTS.</w:t>
      </w:r>
    </w:p>
    <w:p>
      <w:pPr>
        <w:spacing w:after="0" w:line="15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DEC-31-1998</w:t>
      </w:r>
    </w:p>
    <w:p>
      <w:pPr>
        <w:ind w:left="2520"/>
        <w:spacing w:after="0"/>
        <w:rPr>
          <w:sz w:val="20"/>
          <w:szCs w:val="20"/>
          <w:color w:val="auto"/>
        </w:rPr>
      </w:pPr>
      <w:r>
        <w:rPr>
          <w:rFonts w:ascii="Courier New" w:cs="Courier New" w:eastAsia="Courier New" w:hAnsi="Courier New"/>
          <w:sz w:val="15"/>
          <w:szCs w:val="15"/>
          <w:color w:val="auto"/>
        </w:rPr>
        <w:t>JAN-01-1998</w:t>
      </w:r>
    </w:p>
    <w:p>
      <w:pPr>
        <w:ind w:left="2700"/>
        <w:spacing w:after="0" w:line="238" w:lineRule="auto"/>
        <w:rPr>
          <w:sz w:val="20"/>
          <w:szCs w:val="20"/>
          <w:color w:val="auto"/>
        </w:rPr>
      </w:pPr>
      <w:r>
        <w:rPr>
          <w:rFonts w:ascii="Courier New" w:cs="Courier New" w:eastAsia="Courier New" w:hAnsi="Courier New"/>
          <w:sz w:val="15"/>
          <w:szCs w:val="15"/>
          <w:color w:val="auto"/>
        </w:rPr>
        <w:t>DEC-31-1998</w:t>
      </w:r>
    </w:p>
    <w:p>
      <w:pPr>
        <w:ind w:left="3680"/>
        <w:spacing w:after="0"/>
        <w:rPr>
          <w:sz w:val="20"/>
          <w:szCs w:val="20"/>
          <w:color w:val="auto"/>
        </w:rPr>
      </w:pPr>
      <w:r>
        <w:rPr>
          <w:rFonts w:ascii="Courier New" w:cs="Courier New" w:eastAsia="Courier New" w:hAnsi="Courier New"/>
          <w:sz w:val="15"/>
          <w:szCs w:val="15"/>
          <w:color w:val="auto"/>
        </w:rPr>
        <w:t>86,873</w:t>
      </w:r>
    </w:p>
    <w:p>
      <w:pPr>
        <w:ind w:left="3240"/>
        <w:spacing w:after="0"/>
        <w:rPr>
          <w:sz w:val="20"/>
          <w:szCs w:val="20"/>
          <w:color w:val="auto"/>
        </w:rPr>
      </w:pPr>
      <w:r>
        <w:rPr>
          <w:rFonts w:ascii="Courier New" w:cs="Courier New" w:eastAsia="Courier New" w:hAnsi="Courier New"/>
          <w:sz w:val="15"/>
          <w:szCs w:val="15"/>
          <w:color w:val="auto"/>
        </w:rPr>
        <w:t>1,792</w:t>
      </w:r>
    </w:p>
    <w:p>
      <w:pPr>
        <w:ind w:left="2800"/>
        <w:spacing w:after="0" w:line="238" w:lineRule="auto"/>
        <w:rPr>
          <w:sz w:val="20"/>
          <w:szCs w:val="20"/>
          <w:color w:val="auto"/>
        </w:rPr>
      </w:pPr>
      <w:r>
        <w:rPr>
          <w:rFonts w:ascii="Courier New" w:cs="Courier New" w:eastAsia="Courier New" w:hAnsi="Courier New"/>
          <w:sz w:val="15"/>
          <w:szCs w:val="15"/>
          <w:color w:val="auto"/>
        </w:rPr>
        <w:t>2,362,407</w:t>
      </w:r>
    </w:p>
    <w:p>
      <w:pPr>
        <w:ind w:left="3060"/>
        <w:spacing w:after="0"/>
        <w:rPr>
          <w:sz w:val="20"/>
          <w:szCs w:val="20"/>
          <w:color w:val="auto"/>
        </w:rPr>
      </w:pPr>
      <w:r>
        <w:rPr>
          <w:rFonts w:ascii="Courier New" w:cs="Courier New" w:eastAsia="Courier New" w:hAnsi="Courier New"/>
          <w:sz w:val="15"/>
          <w:szCs w:val="15"/>
          <w:color w:val="auto"/>
        </w:rPr>
        <w:t>116,430</w:t>
      </w:r>
    </w:p>
    <w:p>
      <w:pPr>
        <w:ind w:left="368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3,881,397</w:t>
      </w:r>
    </w:p>
    <w:p>
      <w:pPr>
        <w:ind w:left="3320"/>
        <w:spacing w:after="0" w:line="238" w:lineRule="auto"/>
        <w:rPr>
          <w:sz w:val="20"/>
          <w:szCs w:val="20"/>
          <w:color w:val="auto"/>
        </w:rPr>
      </w:pPr>
      <w:r>
        <w:rPr>
          <w:rFonts w:ascii="Courier New" w:cs="Courier New" w:eastAsia="Courier New" w:hAnsi="Courier New"/>
          <w:sz w:val="15"/>
          <w:szCs w:val="15"/>
          <w:color w:val="auto"/>
        </w:rPr>
        <w:t>18,235,813</w:t>
      </w:r>
    </w:p>
    <w:p>
      <w:pPr>
        <w:ind w:left="2700"/>
        <w:spacing w:after="0"/>
        <w:rPr>
          <w:sz w:val="20"/>
          <w:szCs w:val="20"/>
          <w:color w:val="auto"/>
        </w:rPr>
      </w:pPr>
      <w:r>
        <w:rPr>
          <w:rFonts w:ascii="Courier New" w:cs="Courier New" w:eastAsia="Courier New" w:hAnsi="Courier New"/>
          <w:sz w:val="15"/>
          <w:szCs w:val="15"/>
          <w:color w:val="auto"/>
        </w:rPr>
        <w:t>6,598,074</w:t>
      </w:r>
    </w:p>
    <w:p>
      <w:pPr>
        <w:ind w:left="2620"/>
        <w:spacing w:after="0"/>
        <w:rPr>
          <w:sz w:val="20"/>
          <w:szCs w:val="20"/>
          <w:color w:val="auto"/>
        </w:rPr>
      </w:pPr>
      <w:r>
        <w:rPr>
          <w:rFonts w:ascii="Courier New" w:cs="Courier New" w:eastAsia="Courier New" w:hAnsi="Courier New"/>
          <w:sz w:val="15"/>
          <w:szCs w:val="15"/>
          <w:color w:val="auto"/>
        </w:rPr>
        <w:t>22,715,198</w:t>
      </w:r>
    </w:p>
    <w:p>
      <w:pPr>
        <w:ind w:left="2080"/>
        <w:spacing w:after="0" w:line="238" w:lineRule="auto"/>
        <w:rPr>
          <w:sz w:val="20"/>
          <w:szCs w:val="20"/>
          <w:color w:val="auto"/>
        </w:rPr>
      </w:pPr>
      <w:r>
        <w:rPr>
          <w:rFonts w:ascii="Courier New" w:cs="Courier New" w:eastAsia="Courier New" w:hAnsi="Courier New"/>
          <w:sz w:val="15"/>
          <w:szCs w:val="15"/>
          <w:color w:val="auto"/>
        </w:rPr>
        <w:t>4,293,666</w:t>
      </w:r>
    </w:p>
    <w:p>
      <w:pPr>
        <w:ind w:left="3240"/>
        <w:spacing w:after="0"/>
        <w:rPr>
          <w:sz w:val="20"/>
          <w:szCs w:val="20"/>
          <w:color w:val="auto"/>
        </w:rPr>
      </w:pPr>
      <w:r>
        <w:rPr>
          <w:rFonts w:ascii="Courier New" w:cs="Courier New" w:eastAsia="Courier New" w:hAnsi="Courier New"/>
          <w:sz w:val="15"/>
          <w:szCs w:val="15"/>
          <w:color w:val="auto"/>
        </w:rPr>
        <w:t>11,114,201</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6,083</w:t>
      </w:r>
    </w:p>
    <w:p>
      <w:pPr>
        <w:ind w:left="3060"/>
        <w:spacing w:after="0"/>
        <w:rPr>
          <w:sz w:val="20"/>
          <w:szCs w:val="20"/>
          <w:color w:val="auto"/>
        </w:rPr>
      </w:pPr>
      <w:r>
        <w:rPr>
          <w:rFonts w:ascii="Courier New" w:cs="Courier New" w:eastAsia="Courier New" w:hAnsi="Courier New"/>
          <w:sz w:val="15"/>
          <w:szCs w:val="15"/>
          <w:color w:val="auto"/>
        </w:rPr>
        <w:t>4,366,413</w:t>
      </w:r>
    </w:p>
    <w:p>
      <w:pPr>
        <w:ind w:left="1380"/>
        <w:spacing w:after="0"/>
        <w:rPr>
          <w:sz w:val="20"/>
          <w:szCs w:val="20"/>
          <w:color w:val="auto"/>
        </w:rPr>
      </w:pPr>
      <w:r>
        <w:rPr>
          <w:rFonts w:ascii="Courier New" w:cs="Courier New" w:eastAsia="Courier New" w:hAnsi="Courier New"/>
          <w:sz w:val="15"/>
          <w:szCs w:val="15"/>
          <w:color w:val="auto"/>
        </w:rPr>
        <w:t>22,715,198</w:t>
      </w:r>
    </w:p>
    <w:p>
      <w:pPr>
        <w:ind w:left="3240"/>
        <w:spacing w:after="0" w:line="238" w:lineRule="auto"/>
        <w:rPr>
          <w:sz w:val="20"/>
          <w:szCs w:val="20"/>
          <w:color w:val="auto"/>
        </w:rPr>
      </w:pPr>
      <w:r>
        <w:rPr>
          <w:rFonts w:ascii="Courier New" w:cs="Courier New" w:eastAsia="Courier New" w:hAnsi="Courier New"/>
          <w:sz w:val="15"/>
          <w:szCs w:val="15"/>
          <w:color w:val="auto"/>
        </w:rPr>
        <w:t>12,703,469</w:t>
      </w:r>
    </w:p>
    <w:p>
      <w:pPr>
        <w:ind w:left="2440"/>
        <w:spacing w:after="0"/>
        <w:rPr>
          <w:sz w:val="20"/>
          <w:szCs w:val="20"/>
          <w:color w:val="auto"/>
        </w:rPr>
      </w:pPr>
      <w:r>
        <w:rPr>
          <w:rFonts w:ascii="Courier New" w:cs="Courier New" w:eastAsia="Courier New" w:hAnsi="Courier New"/>
          <w:sz w:val="15"/>
          <w:szCs w:val="15"/>
          <w:color w:val="auto"/>
        </w:rPr>
        <w:t>12,703,469</w:t>
      </w:r>
    </w:p>
    <w:p>
      <w:pPr>
        <w:ind w:left="3500"/>
        <w:spacing w:after="0"/>
        <w:rPr>
          <w:sz w:val="20"/>
          <w:szCs w:val="20"/>
          <w:color w:val="auto"/>
        </w:rPr>
      </w:pPr>
      <w:r>
        <w:rPr>
          <w:rFonts w:ascii="Courier New" w:cs="Courier New" w:eastAsia="Courier New" w:hAnsi="Courier New"/>
          <w:sz w:val="15"/>
          <w:szCs w:val="15"/>
          <w:color w:val="auto"/>
        </w:rPr>
        <w:t>7,383,751</w:t>
      </w:r>
    </w:p>
    <w:p>
      <w:pPr>
        <w:ind w:left="2700"/>
        <w:spacing w:after="0"/>
        <w:rPr>
          <w:sz w:val="20"/>
          <w:szCs w:val="20"/>
          <w:color w:val="auto"/>
        </w:rPr>
      </w:pPr>
      <w:r>
        <w:rPr>
          <w:rFonts w:ascii="Courier New" w:cs="Courier New" w:eastAsia="Courier New" w:hAnsi="Courier New"/>
          <w:sz w:val="15"/>
          <w:szCs w:val="15"/>
          <w:color w:val="auto"/>
        </w:rPr>
        <w:t>12,863,858</w:t>
      </w:r>
    </w:p>
    <w:p>
      <w:pPr>
        <w:ind w:left="2520"/>
        <w:spacing w:after="0" w:line="238" w:lineRule="auto"/>
        <w:rPr>
          <w:sz w:val="20"/>
          <w:szCs w:val="20"/>
          <w:color w:val="auto"/>
        </w:rPr>
      </w:pPr>
      <w:r>
        <w:rPr>
          <w:rFonts w:ascii="Courier New" w:cs="Courier New" w:eastAsia="Courier New" w:hAnsi="Courier New"/>
          <w:sz w:val="15"/>
          <w:szCs w:val="15"/>
          <w:color w:val="auto"/>
        </w:rPr>
        <w:t>(141,967)</w:t>
      </w:r>
    </w:p>
    <w:p>
      <w:pPr>
        <w:ind w:left="324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681,457</w:t>
      </w:r>
    </w:p>
    <w:p>
      <w:pPr>
        <w:ind w:left="2620"/>
        <w:spacing w:after="0" w:line="238" w:lineRule="auto"/>
        <w:rPr>
          <w:sz w:val="20"/>
          <w:szCs w:val="20"/>
          <w:color w:val="auto"/>
        </w:rPr>
      </w:pPr>
      <w:r>
        <w:rPr>
          <w:rFonts w:ascii="Courier New" w:cs="Courier New" w:eastAsia="Courier New" w:hAnsi="Courier New"/>
          <w:sz w:val="15"/>
          <w:szCs w:val="15"/>
          <w:color w:val="auto"/>
        </w:rPr>
        <w:t>(699,879)</w:t>
      </w:r>
    </w:p>
    <w:p>
      <w:pPr>
        <w:ind w:left="3140"/>
        <w:spacing w:after="0"/>
        <w:rPr>
          <w:sz w:val="20"/>
          <w:szCs w:val="20"/>
          <w:color w:val="auto"/>
        </w:rPr>
      </w:pPr>
      <w:r>
        <w:rPr>
          <w:rFonts w:ascii="Courier New" w:cs="Courier New" w:eastAsia="Courier New" w:hAnsi="Courier New"/>
          <w:sz w:val="15"/>
          <w:szCs w:val="15"/>
          <w:color w:val="auto"/>
        </w:rPr>
        <w:t>66,923</w:t>
      </w:r>
    </w:p>
    <w:p>
      <w:pPr>
        <w:ind w:left="2260"/>
        <w:spacing w:after="0"/>
        <w:rPr>
          <w:sz w:val="20"/>
          <w:szCs w:val="20"/>
          <w:color w:val="auto"/>
        </w:rPr>
      </w:pPr>
      <w:r>
        <w:rPr>
          <w:rFonts w:ascii="Courier New" w:cs="Courier New" w:eastAsia="Courier New" w:hAnsi="Courier New"/>
          <w:sz w:val="15"/>
          <w:szCs w:val="15"/>
          <w:color w:val="auto"/>
        </w:rPr>
        <w:t>(766,802)</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(3,900)</w:t>
      </w:r>
    </w:p>
    <w:p>
      <w:pPr>
        <w:ind w:left="3840"/>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(770,702)</w:t>
      </w:r>
    </w:p>
    <w:p>
      <w:pPr>
        <w:ind w:left="3060"/>
        <w:spacing w:after="0" w:line="238" w:lineRule="auto"/>
        <w:rPr>
          <w:sz w:val="20"/>
          <w:szCs w:val="20"/>
          <w:color w:val="auto"/>
        </w:rPr>
      </w:pPr>
      <w:r>
        <w:rPr>
          <w:rFonts w:ascii="Courier New" w:cs="Courier New" w:eastAsia="Courier New" w:hAnsi="Courier New"/>
          <w:sz w:val="15"/>
          <w:szCs w:val="15"/>
          <w:color w:val="auto"/>
        </w:rPr>
        <w:t>(1.32)</w:t>
      </w:r>
    </w:p>
    <w:p>
      <w:pPr>
        <w:ind w:left="30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199"/>
          </w:cols>
          <w:pgMar w:left="260" w:top="475" w:right="1440" w:bottom="1440" w:gutter="0" w:footer="0" w:header="0"/>
        </w:sectPr>
      </w:pPr>
    </w:p>
    <w:bookmarkStart w:id="199" w:name="page200"/>
    <w:bookmarkEnd w:id="199"/>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85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WASTE MANAGEMENT, INC. FOR THE NINE MONTHS ENDED SEPTEMBER 30, 1998 AND IS QUALIFIED IN ITS ENTIRETY BY REFERENCE TO SUCH FINANCIAL STATEMENTS.</w:t>
      </w:r>
    </w:p>
    <w:p>
      <w:pPr>
        <w:spacing w:after="0" w:line="340"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tbl>
      <w:tblPr>
        <w:tblLayout w:type="fixed"/>
        <w:tblInd w:w="1380" w:type="dxa"/>
        <w:tblCellMar>
          <w:top w:w="0" w:type="dxa"/>
          <w:left w:w="0" w:type="dxa"/>
          <w:bottom w:w="0" w:type="dxa"/>
          <w:right w:w="0" w:type="dxa"/>
        </w:tblCellMar>
      </w:tblPr>
      <w:tr>
        <w:trPr>
          <w:trHeight w:val="170"/>
        </w:trPr>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rPr>
              <w:t>9-MOS</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6-MOS</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3-MOS</w:t>
            </w: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30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DEC-31-1998</w:t>
            </w: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DEC-31-1998</w:t>
            </w:r>
          </w:p>
        </w:tc>
        <w:tc>
          <w:tcPr>
            <w:tcW w:w="180" w:type="dxa"/>
            <w:vAlign w:val="bottom"/>
          </w:tcPr>
          <w:p>
            <w:pPr>
              <w:spacing w:after="0"/>
              <w:rPr>
                <w:sz w:val="14"/>
                <w:szCs w:val="14"/>
                <w:color w:val="auto"/>
              </w:rPr>
            </w:pPr>
          </w:p>
        </w:tc>
        <w:tc>
          <w:tcPr>
            <w:tcW w:w="202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4"/>
              </w:rPr>
              <w:t>DEC-31-1998</w:t>
            </w:r>
          </w:p>
        </w:tc>
      </w:tr>
      <w:tr>
        <w:trPr>
          <w:trHeight w:val="170"/>
        </w:trPr>
        <w:tc>
          <w:tcPr>
            <w:tcW w:w="30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JAN-01-1998</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JAN-01-1998</w:t>
            </w:r>
          </w:p>
        </w:tc>
        <w:tc>
          <w:tcPr>
            <w:tcW w:w="180" w:type="dxa"/>
            <w:vAlign w:val="bottom"/>
          </w:tcPr>
          <w:p>
            <w:pPr>
              <w:spacing w:after="0"/>
              <w:rPr>
                <w:sz w:val="14"/>
                <w:szCs w:val="14"/>
                <w:color w:val="auto"/>
              </w:rPr>
            </w:pPr>
          </w:p>
        </w:tc>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JAN-01-1998</w:t>
            </w:r>
          </w:p>
        </w:tc>
      </w:tr>
      <w:tr>
        <w:trPr>
          <w:trHeight w:val="170"/>
        </w:trPr>
        <w:tc>
          <w:tcPr>
            <w:tcW w:w="30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SEP-30-1998</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JUN-30-1998</w:t>
            </w:r>
          </w:p>
        </w:tc>
        <w:tc>
          <w:tcPr>
            <w:tcW w:w="18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MAR-31-1998</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179,409</w:t>
            </w:r>
          </w:p>
        </w:tc>
        <w:tc>
          <w:tcPr>
            <w:tcW w:w="19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8"/>
              </w:rPr>
              <w:t>410,083</w:t>
            </w:r>
          </w:p>
        </w:tc>
        <w:tc>
          <w:tcPr>
            <w:tcW w:w="180" w:type="dxa"/>
            <w:vAlign w:val="bottom"/>
          </w:tcPr>
          <w:p>
            <w:pPr>
              <w:spacing w:after="0"/>
              <w:rPr>
                <w:sz w:val="14"/>
                <w:szCs w:val="14"/>
                <w:color w:val="auto"/>
              </w:rPr>
            </w:pPr>
          </w:p>
        </w:tc>
        <w:tc>
          <w:tcPr>
            <w:tcW w:w="2020" w:type="dxa"/>
            <w:vAlign w:val="bottom"/>
          </w:tcPr>
          <w:p>
            <w:pPr>
              <w:jc w:val="center"/>
              <w:ind w:left="1167"/>
              <w:spacing w:after="0"/>
              <w:rPr>
                <w:sz w:val="20"/>
                <w:szCs w:val="20"/>
                <w:color w:val="auto"/>
              </w:rPr>
            </w:pPr>
            <w:r>
              <w:rPr>
                <w:rFonts w:ascii="Courier New" w:cs="Courier New" w:eastAsia="Courier New" w:hAnsi="Courier New"/>
                <w:sz w:val="15"/>
                <w:szCs w:val="15"/>
                <w:color w:val="auto"/>
                <w:w w:val="98"/>
              </w:rPr>
              <w:t>362,781</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994</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1,462</w:t>
            </w:r>
          </w:p>
        </w:tc>
        <w:tc>
          <w:tcPr>
            <w:tcW w:w="18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3,053</w:t>
            </w:r>
          </w:p>
        </w:tc>
      </w:tr>
      <w:tr>
        <w:trPr>
          <w:trHeight w:val="170"/>
        </w:trPr>
        <w:tc>
          <w:tcPr>
            <w:tcW w:w="30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2,319,027</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2,217,370</w:t>
            </w:r>
          </w:p>
        </w:tc>
        <w:tc>
          <w:tcPr>
            <w:tcW w:w="180" w:type="dxa"/>
            <w:vAlign w:val="bottom"/>
          </w:tcPr>
          <w:p>
            <w:pPr>
              <w:spacing w:after="0"/>
              <w:rPr>
                <w:sz w:val="14"/>
                <w:szCs w:val="14"/>
                <w:color w:val="auto"/>
              </w:rPr>
            </w:pP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2,047,533</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98,346</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100,116</w:t>
            </w:r>
          </w:p>
        </w:tc>
        <w:tc>
          <w:tcPr>
            <w:tcW w:w="18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102,682</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0</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4,098,242</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3,194,590</w:t>
            </w:r>
          </w:p>
        </w:tc>
        <w:tc>
          <w:tcPr>
            <w:tcW w:w="180" w:type="dxa"/>
            <w:vAlign w:val="bottom"/>
          </w:tcPr>
          <w:p>
            <w:pPr>
              <w:spacing w:after="0"/>
              <w:rPr>
                <w:sz w:val="14"/>
                <w:szCs w:val="14"/>
                <w:color w:val="auto"/>
              </w:rPr>
            </w:pP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2,897,298</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17,345,504</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18,342,658</w:t>
            </w:r>
          </w:p>
        </w:tc>
        <w:tc>
          <w:tcPr>
            <w:tcW w:w="180" w:type="dxa"/>
            <w:vAlign w:val="bottom"/>
          </w:tcPr>
          <w:p>
            <w:pPr>
              <w:spacing w:after="0"/>
              <w:rPr>
                <w:sz w:val="14"/>
                <w:szCs w:val="14"/>
                <w:color w:val="auto"/>
              </w:rPr>
            </w:pPr>
          </w:p>
        </w:tc>
        <w:tc>
          <w:tcPr>
            <w:tcW w:w="2020" w:type="dxa"/>
            <w:vAlign w:val="bottom"/>
          </w:tcPr>
          <w:p>
            <w:pPr>
              <w:ind w:left="1060"/>
              <w:spacing w:after="0"/>
              <w:rPr>
                <w:sz w:val="20"/>
                <w:szCs w:val="20"/>
                <w:color w:val="auto"/>
              </w:rPr>
            </w:pPr>
            <w:r>
              <w:rPr>
                <w:rFonts w:ascii="Courier New" w:cs="Courier New" w:eastAsia="Courier New" w:hAnsi="Courier New"/>
                <w:sz w:val="15"/>
                <w:szCs w:val="15"/>
                <w:color w:val="auto"/>
              </w:rPr>
              <w:t>17,396,632</w:t>
            </w:r>
          </w:p>
        </w:tc>
      </w:tr>
      <w:tr>
        <w:trPr>
          <w:trHeight w:val="170"/>
        </w:trPr>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6,298,377</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6,020,357</w:t>
            </w:r>
          </w:p>
        </w:tc>
        <w:tc>
          <w:tcPr>
            <w:tcW w:w="180" w:type="dxa"/>
            <w:vAlign w:val="bottom"/>
          </w:tcPr>
          <w:p>
            <w:pPr>
              <w:spacing w:after="0"/>
              <w:rPr>
                <w:sz w:val="14"/>
                <w:szCs w:val="14"/>
                <w:color w:val="auto"/>
              </w:rPr>
            </w:pPr>
          </w:p>
        </w:tc>
        <w:tc>
          <w:tcPr>
            <w:tcW w:w="20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5,616,731</w:t>
            </w:r>
          </w:p>
        </w:tc>
      </w:tr>
      <w:tr>
        <w:trPr>
          <w:trHeight w:val="170"/>
        </w:trPr>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22,029,650</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22,525,101</w:t>
            </w:r>
          </w:p>
        </w:tc>
        <w:tc>
          <w:tcPr>
            <w:tcW w:w="180" w:type="dxa"/>
            <w:vAlign w:val="bottom"/>
          </w:tcPr>
          <w:p>
            <w:pPr>
              <w:spacing w:after="0"/>
              <w:rPr>
                <w:sz w:val="14"/>
                <w:szCs w:val="14"/>
                <w:color w:val="auto"/>
              </w:rPr>
            </w:pPr>
          </w:p>
        </w:tc>
        <w:tc>
          <w:tcPr>
            <w:tcW w:w="20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21,560,881</w:t>
            </w:r>
          </w:p>
        </w:tc>
      </w:tr>
      <w:tr>
        <w:trPr>
          <w:trHeight w:val="170"/>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4,427,297</w:t>
            </w:r>
          </w:p>
        </w:tc>
        <w:tc>
          <w:tcPr>
            <w:tcW w:w="344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4,442,141</w:t>
            </w:r>
          </w:p>
        </w:tc>
        <w:tc>
          <w:tcPr>
            <w:tcW w:w="22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w w:val="96"/>
              </w:rPr>
              <w:t>5,048,621</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9,796,572</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6"/>
              </w:rPr>
              <w:t>9,335,043</w:t>
            </w:r>
          </w:p>
        </w:tc>
        <w:tc>
          <w:tcPr>
            <w:tcW w:w="180" w:type="dxa"/>
            <w:vAlign w:val="bottom"/>
          </w:tcPr>
          <w:p>
            <w:pPr>
              <w:spacing w:after="0"/>
              <w:rPr>
                <w:sz w:val="14"/>
                <w:szCs w:val="14"/>
                <w:color w:val="auto"/>
              </w:rPr>
            </w:pPr>
          </w:p>
        </w:tc>
        <w:tc>
          <w:tcPr>
            <w:tcW w:w="2020" w:type="dxa"/>
            <w:vAlign w:val="bottom"/>
          </w:tcPr>
          <w:p>
            <w:pPr>
              <w:ind w:left="1060"/>
              <w:spacing w:after="0"/>
              <w:rPr>
                <w:sz w:val="20"/>
                <w:szCs w:val="20"/>
                <w:color w:val="auto"/>
              </w:rPr>
            </w:pPr>
            <w:r>
              <w:rPr>
                <w:rFonts w:ascii="Courier New" w:cs="Courier New" w:eastAsia="Courier New" w:hAnsi="Courier New"/>
                <w:sz w:val="15"/>
                <w:szCs w:val="15"/>
                <w:color w:val="auto"/>
              </w:rPr>
              <w:t>9,046,878</w:t>
            </w:r>
          </w:p>
        </w:tc>
      </w:tr>
      <w:tr>
        <w:trPr>
          <w:trHeight w:val="170"/>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spacing w:after="0"/>
              <w:rPr>
                <w:sz w:val="14"/>
                <w:szCs w:val="14"/>
                <w:color w:val="auto"/>
              </w:rPr>
            </w:pPr>
          </w:p>
        </w:tc>
        <w:tc>
          <w:tcPr>
            <w:tcW w:w="19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0</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6,054</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6,141</w:t>
            </w:r>
          </w:p>
        </w:tc>
        <w:tc>
          <w:tcPr>
            <w:tcW w:w="180" w:type="dxa"/>
            <w:vAlign w:val="bottom"/>
          </w:tcPr>
          <w:p>
            <w:pPr>
              <w:spacing w:after="0"/>
              <w:rPr>
                <w:sz w:val="14"/>
                <w:szCs w:val="14"/>
                <w:color w:val="auto"/>
              </w:rPr>
            </w:pP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6,033</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4,345,467</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5,343,752</w:t>
            </w:r>
          </w:p>
        </w:tc>
        <w:tc>
          <w:tcPr>
            <w:tcW w:w="180" w:type="dxa"/>
            <w:vAlign w:val="bottom"/>
          </w:tcPr>
          <w:p>
            <w:pPr>
              <w:spacing w:after="0"/>
              <w:rPr>
                <w:sz w:val="14"/>
                <w:szCs w:val="14"/>
                <w:color w:val="auto"/>
              </w:rPr>
            </w:pPr>
          </w:p>
        </w:tc>
        <w:tc>
          <w:tcPr>
            <w:tcW w:w="2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4,172,374</w:t>
            </w:r>
          </w:p>
        </w:tc>
      </w:tr>
      <w:tr>
        <w:trPr>
          <w:trHeight w:val="170"/>
        </w:trPr>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22,029,650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22,525,101</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21,560,881</w:t>
            </w:r>
          </w:p>
        </w:tc>
        <w:tc>
          <w:tcPr>
            <w:tcW w:w="2020" w:type="dxa"/>
            <w:vAlign w:val="bottom"/>
          </w:tcPr>
          <w:p>
            <w:pPr>
              <w:spacing w:after="0"/>
              <w:rPr>
                <w:sz w:val="14"/>
                <w:szCs w:val="14"/>
                <w:color w:val="auto"/>
              </w:rPr>
            </w:pP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9,464,365</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6"/>
              </w:rPr>
              <w:t>6,220,164</w:t>
            </w:r>
          </w:p>
        </w:tc>
        <w:tc>
          <w:tcPr>
            <w:tcW w:w="180" w:type="dxa"/>
            <w:vAlign w:val="bottom"/>
          </w:tcPr>
          <w:p>
            <w:pPr>
              <w:spacing w:after="0"/>
              <w:rPr>
                <w:sz w:val="14"/>
                <w:szCs w:val="14"/>
                <w:color w:val="auto"/>
              </w:rPr>
            </w:pPr>
          </w:p>
        </w:tc>
        <w:tc>
          <w:tcPr>
            <w:tcW w:w="2020" w:type="dxa"/>
            <w:vAlign w:val="bottom"/>
          </w:tcPr>
          <w:p>
            <w:pPr>
              <w:ind w:left="1060"/>
              <w:spacing w:after="0"/>
              <w:rPr>
                <w:sz w:val="20"/>
                <w:szCs w:val="20"/>
                <w:color w:val="auto"/>
              </w:rPr>
            </w:pPr>
            <w:r>
              <w:rPr>
                <w:rFonts w:ascii="Courier New" w:cs="Courier New" w:eastAsia="Courier New" w:hAnsi="Courier New"/>
                <w:sz w:val="15"/>
                <w:szCs w:val="15"/>
                <w:color w:val="auto"/>
              </w:rPr>
              <w:t>2,969,433</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9,464,365</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6,220,164</w:t>
            </w:r>
          </w:p>
        </w:tc>
        <w:tc>
          <w:tcPr>
            <w:tcW w:w="180" w:type="dxa"/>
            <w:vAlign w:val="bottom"/>
          </w:tcPr>
          <w:p>
            <w:pPr>
              <w:spacing w:after="0"/>
              <w:rPr>
                <w:sz w:val="14"/>
                <w:szCs w:val="14"/>
                <w:color w:val="auto"/>
              </w:rPr>
            </w:pP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2,969,433</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6"/>
              </w:rPr>
              <w:t>5,583,644</w:t>
            </w:r>
          </w:p>
        </w:tc>
        <w:tc>
          <w:tcPr>
            <w:tcW w:w="2120" w:type="dxa"/>
            <w:vAlign w:val="bottom"/>
            <w:gridSpan w:val="2"/>
          </w:tcPr>
          <w:p>
            <w:pPr>
              <w:jc w:val="center"/>
              <w:ind w:left="1067"/>
              <w:spacing w:after="0"/>
              <w:rPr>
                <w:sz w:val="20"/>
                <w:szCs w:val="20"/>
                <w:color w:val="auto"/>
              </w:rPr>
            </w:pPr>
            <w:r>
              <w:rPr>
                <w:rFonts w:ascii="Courier New" w:cs="Courier New" w:eastAsia="Courier New" w:hAnsi="Courier New"/>
                <w:sz w:val="15"/>
                <w:szCs w:val="15"/>
                <w:color w:val="auto"/>
                <w:w w:val="96"/>
              </w:rPr>
              <w:t>3,713,344</w:t>
            </w:r>
          </w:p>
        </w:tc>
        <w:tc>
          <w:tcPr>
            <w:tcW w:w="2020" w:type="dxa"/>
            <w:vAlign w:val="bottom"/>
          </w:tcPr>
          <w:p>
            <w:pPr>
              <w:jc w:val="center"/>
              <w:ind w:left="1147"/>
              <w:spacing w:after="0"/>
              <w:rPr>
                <w:sz w:val="20"/>
                <w:szCs w:val="20"/>
                <w:color w:val="auto"/>
              </w:rPr>
            </w:pPr>
            <w:r>
              <w:rPr>
                <w:rFonts w:ascii="Courier New" w:cs="Courier New" w:eastAsia="Courier New" w:hAnsi="Courier New"/>
                <w:sz w:val="15"/>
                <w:szCs w:val="15"/>
                <w:color w:val="auto"/>
                <w:w w:val="98"/>
              </w:rPr>
              <w:t>1,801,261</w:t>
            </w:r>
          </w:p>
        </w:tc>
      </w:tr>
      <w:tr>
        <w:trPr>
          <w:trHeight w:val="170"/>
        </w:trPr>
        <w:tc>
          <w:tcPr>
            <w:tcW w:w="30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9,988,614</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5,198,669</w:t>
            </w:r>
          </w:p>
        </w:tc>
        <w:tc>
          <w:tcPr>
            <w:tcW w:w="180" w:type="dxa"/>
            <w:vAlign w:val="bottom"/>
          </w:tcPr>
          <w:p>
            <w:pPr>
              <w:spacing w:after="0"/>
              <w:rPr>
                <w:sz w:val="14"/>
                <w:szCs w:val="14"/>
                <w:color w:val="auto"/>
              </w:rPr>
            </w:pP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2,507,167</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(130,422)</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(86,770)</w:t>
            </w:r>
          </w:p>
        </w:tc>
        <w:tc>
          <w:tcPr>
            <w:tcW w:w="180" w:type="dxa"/>
            <w:vAlign w:val="bottom"/>
          </w:tcPr>
          <w:p>
            <w:pPr>
              <w:spacing w:after="0"/>
              <w:rPr>
                <w:sz w:val="14"/>
                <w:szCs w:val="14"/>
                <w:color w:val="auto"/>
              </w:rPr>
            </w:pP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(51,254)</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503,347</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329,085</w:t>
            </w:r>
          </w:p>
        </w:tc>
        <w:tc>
          <w:tcPr>
            <w:tcW w:w="180" w:type="dxa"/>
            <w:vAlign w:val="bottom"/>
          </w:tcPr>
          <w:p>
            <w:pPr>
              <w:spacing w:after="0"/>
              <w:rPr>
                <w:sz w:val="14"/>
                <w:szCs w:val="14"/>
                <w:color w:val="auto"/>
              </w:rPr>
            </w:pPr>
          </w:p>
        </w:tc>
        <w:tc>
          <w:tcPr>
            <w:tcW w:w="2020" w:type="dxa"/>
            <w:vAlign w:val="bottom"/>
          </w:tcPr>
          <w:p>
            <w:pPr>
              <w:ind w:left="260"/>
              <w:spacing w:after="0"/>
              <w:rPr>
                <w:sz w:val="20"/>
                <w:szCs w:val="20"/>
                <w:color w:val="auto"/>
              </w:rPr>
            </w:pPr>
            <w:r>
              <w:rPr>
                <w:rFonts w:ascii="Courier New" w:cs="Courier New" w:eastAsia="Courier New" w:hAnsi="Courier New"/>
                <w:sz w:val="15"/>
                <w:szCs w:val="15"/>
                <w:color w:val="auto"/>
              </w:rPr>
              <w:t>155,531</w:t>
            </w:r>
          </w:p>
        </w:tc>
      </w:tr>
      <w:tr>
        <w:trPr>
          <w:trHeight w:val="170"/>
        </w:trPr>
        <w:tc>
          <w:tcPr>
            <w:tcW w:w="30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(897,174)</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779,180</w:t>
            </w:r>
          </w:p>
        </w:tc>
        <w:tc>
          <w:tcPr>
            <w:tcW w:w="180" w:type="dxa"/>
            <w:vAlign w:val="bottom"/>
          </w:tcPr>
          <w:p>
            <w:pPr>
              <w:spacing w:after="0"/>
              <w:rPr>
                <w:sz w:val="14"/>
                <w:szCs w:val="14"/>
                <w:color w:val="auto"/>
              </w:rPr>
            </w:pP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357,989</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66,887</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350,994</w:t>
            </w:r>
          </w:p>
        </w:tc>
        <w:tc>
          <w:tcPr>
            <w:tcW w:w="18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158,841</w:t>
            </w:r>
          </w:p>
        </w:tc>
      </w:tr>
      <w:tr>
        <w:trPr>
          <w:trHeight w:val="170"/>
        </w:trPr>
        <w:tc>
          <w:tcPr>
            <w:tcW w:w="300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(830,287)</w:t>
            </w:r>
          </w:p>
        </w:tc>
        <w:tc>
          <w:tcPr>
            <w:tcW w:w="19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428,186</w:t>
            </w:r>
          </w:p>
        </w:tc>
        <w:tc>
          <w:tcPr>
            <w:tcW w:w="180" w:type="dxa"/>
            <w:vAlign w:val="bottom"/>
          </w:tcPr>
          <w:p>
            <w:pPr>
              <w:spacing w:after="0"/>
              <w:rPr>
                <w:sz w:val="14"/>
                <w:szCs w:val="14"/>
                <w:color w:val="auto"/>
              </w:rPr>
            </w:pPr>
          </w:p>
        </w:tc>
        <w:tc>
          <w:tcPr>
            <w:tcW w:w="20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199,148</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3,900</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4"/>
                <w:szCs w:val="14"/>
                <w:color w:val="auto"/>
              </w:rPr>
            </w:pPr>
          </w:p>
        </w:tc>
        <w:tc>
          <w:tcPr>
            <w:tcW w:w="202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447"/>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center"/>
              <w:ind w:left="124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2020" w:type="dxa"/>
            <w:vAlign w:val="bottom"/>
          </w:tcPr>
          <w:p>
            <w:pPr>
              <w:jc w:val="center"/>
              <w:ind w:left="1147"/>
              <w:spacing w:after="0"/>
              <w:rPr>
                <w:sz w:val="20"/>
                <w:szCs w:val="20"/>
                <w:color w:val="auto"/>
              </w:rPr>
            </w:pPr>
            <w:r>
              <w:rPr>
                <w:rFonts w:ascii="Courier New" w:cs="Courier New" w:eastAsia="Courier New" w:hAnsi="Courier New"/>
                <w:sz w:val="15"/>
                <w:szCs w:val="15"/>
                <w:color w:val="auto"/>
                <w:w w:val="88"/>
              </w:rPr>
              <w:t>0</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(834,187)</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424,286</w:t>
            </w:r>
          </w:p>
        </w:tc>
        <w:tc>
          <w:tcPr>
            <w:tcW w:w="180" w:type="dxa"/>
            <w:vAlign w:val="bottom"/>
          </w:tcPr>
          <w:p>
            <w:pPr>
              <w:spacing w:after="0"/>
              <w:rPr>
                <w:sz w:val="14"/>
                <w:szCs w:val="14"/>
                <w:color w:val="auto"/>
              </w:rPr>
            </w:pPr>
          </w:p>
        </w:tc>
        <w:tc>
          <w:tcPr>
            <w:tcW w:w="2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199,148</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(1.44)</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0.74</w:t>
            </w:r>
          </w:p>
        </w:tc>
        <w:tc>
          <w:tcPr>
            <w:tcW w:w="180" w:type="dxa"/>
            <w:vAlign w:val="bottom"/>
          </w:tcPr>
          <w:p>
            <w:pPr>
              <w:spacing w:after="0"/>
              <w:rPr>
                <w:sz w:val="14"/>
                <w:szCs w:val="14"/>
                <w:color w:val="auto"/>
              </w:rPr>
            </w:pP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0.35</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(1.44)</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0.72</w:t>
            </w:r>
          </w:p>
        </w:tc>
        <w:tc>
          <w:tcPr>
            <w:tcW w:w="180" w:type="dxa"/>
            <w:vAlign w:val="bottom"/>
          </w:tcPr>
          <w:p>
            <w:pPr>
              <w:spacing w:after="0"/>
              <w:rPr>
                <w:sz w:val="14"/>
                <w:szCs w:val="14"/>
                <w:color w:val="auto"/>
              </w:rPr>
            </w:pPr>
          </w:p>
        </w:tc>
        <w:tc>
          <w:tcPr>
            <w:tcW w:w="20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0.34</w:t>
            </w:r>
          </w:p>
        </w:tc>
      </w:tr>
    </w:tbl>
    <w:p>
      <w:pPr>
        <w:sectPr>
          <w:pgSz w:w="11900" w:h="16838" w:orient="portrait"/>
          <w:cols w:equalWidth="0" w:num="1">
            <w:col w:w="10199"/>
          </w:cols>
          <w:pgMar w:left="260" w:top="475" w:right="1440" w:bottom="1440" w:gutter="0" w:footer="0" w:header="0"/>
        </w:sectPr>
      </w:pPr>
    </w:p>
    <w:bookmarkStart w:id="200" w:name="page201"/>
    <w:bookmarkEnd w:id="200"/>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600"/>
        <w:spacing w:after="0" w:line="260"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YEAR ENDED DECEMBER 31, 1997 AND IS QUALIFIED IN ITS ENTIRETY BY REFERENCE TO SUCH FINANCIAL STATEMENTS.</w:t>
      </w:r>
    </w:p>
    <w:p>
      <w:pPr>
        <w:spacing w:after="0" w:line="32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tbl>
      <w:tblPr>
        <w:tblLayout w:type="fixed"/>
        <w:tblInd w:w="1380" w:type="dxa"/>
        <w:tblCellMar>
          <w:top w:w="0" w:type="dxa"/>
          <w:left w:w="0" w:type="dxa"/>
          <w:bottom w:w="0" w:type="dxa"/>
          <w:right w:w="0" w:type="dxa"/>
        </w:tblCellMar>
      </w:tblPr>
      <w:tr>
        <w:trPr>
          <w:trHeight w:val="170"/>
        </w:trPr>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12-MOS</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9-MOS</w:t>
            </w:r>
          </w:p>
        </w:tc>
        <w:tc>
          <w:tcPr>
            <w:tcW w:w="212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6-MOS</w:t>
            </w:r>
          </w:p>
        </w:tc>
        <w:tc>
          <w:tcPr>
            <w:tcW w:w="210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3-MOS</w:t>
            </w:r>
          </w:p>
        </w:tc>
        <w:tc>
          <w:tcPr>
            <w:tcW w:w="2040" w:type="dxa"/>
            <w:vAlign w:val="bottom"/>
          </w:tcPr>
          <w:p>
            <w:pPr>
              <w:spacing w:after="0"/>
              <w:rPr>
                <w:sz w:val="14"/>
                <w:szCs w:val="14"/>
                <w:color w:val="auto"/>
              </w:rPr>
            </w:pPr>
          </w:p>
        </w:tc>
      </w:tr>
      <w:tr>
        <w:trPr>
          <w:trHeight w:val="170"/>
        </w:trPr>
        <w:tc>
          <w:tcPr>
            <w:tcW w:w="300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DEC-31-1997</w:t>
            </w: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DEC-31-1997</w:t>
            </w:r>
          </w:p>
        </w:tc>
        <w:tc>
          <w:tcPr>
            <w:tcW w:w="180" w:type="dxa"/>
            <w:vAlign w:val="bottom"/>
          </w:tcPr>
          <w:p>
            <w:pPr>
              <w:spacing w:after="0"/>
              <w:rPr>
                <w:sz w:val="14"/>
                <w:szCs w:val="14"/>
                <w:color w:val="auto"/>
              </w:rPr>
            </w:pPr>
          </w:p>
        </w:tc>
        <w:tc>
          <w:tcPr>
            <w:tcW w:w="194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4"/>
              </w:rPr>
              <w:t>DEC-31-1997</w:t>
            </w:r>
          </w:p>
        </w:tc>
        <w:tc>
          <w:tcPr>
            <w:tcW w:w="160" w:type="dxa"/>
            <w:vAlign w:val="bottom"/>
          </w:tcPr>
          <w:p>
            <w:pPr>
              <w:spacing w:after="0"/>
              <w:rPr>
                <w:sz w:val="14"/>
                <w:szCs w:val="14"/>
                <w:color w:val="auto"/>
              </w:rPr>
            </w:pPr>
          </w:p>
        </w:tc>
        <w:tc>
          <w:tcPr>
            <w:tcW w:w="20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6"/>
              </w:rPr>
              <w:t>DEC-31-1997</w:t>
            </w:r>
          </w:p>
        </w:tc>
      </w:tr>
      <w:tr>
        <w:trPr>
          <w:trHeight w:val="170"/>
        </w:trPr>
        <w:tc>
          <w:tcPr>
            <w:tcW w:w="30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JAN-01-1997</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JAN-01-1997</w:t>
            </w:r>
          </w:p>
        </w:tc>
        <w:tc>
          <w:tcPr>
            <w:tcW w:w="180" w:type="dxa"/>
            <w:vAlign w:val="bottom"/>
          </w:tcPr>
          <w:p>
            <w:pPr>
              <w:spacing w:after="0"/>
              <w:rPr>
                <w:sz w:val="14"/>
                <w:szCs w:val="1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JAN-01-1997</w:t>
            </w:r>
          </w:p>
        </w:tc>
        <w:tc>
          <w:tcPr>
            <w:tcW w:w="160" w:type="dxa"/>
            <w:vAlign w:val="bottom"/>
          </w:tcPr>
          <w:p>
            <w:pPr>
              <w:spacing w:after="0"/>
              <w:rPr>
                <w:sz w:val="14"/>
                <w:szCs w:val="14"/>
                <w:color w:val="auto"/>
              </w:rPr>
            </w:pP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JAN-01-1997</w:t>
            </w:r>
          </w:p>
        </w:tc>
      </w:tr>
      <w:tr>
        <w:trPr>
          <w:trHeight w:val="170"/>
        </w:trPr>
        <w:tc>
          <w:tcPr>
            <w:tcW w:w="30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DEC-31-1997</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SEP-30-1997</w:t>
            </w:r>
          </w:p>
        </w:tc>
        <w:tc>
          <w:tcPr>
            <w:tcW w:w="18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JUN-30-1997</w:t>
            </w:r>
          </w:p>
        </w:tc>
        <w:tc>
          <w:tcPr>
            <w:tcW w:w="160" w:type="dxa"/>
            <w:vAlign w:val="bottom"/>
          </w:tcPr>
          <w:p>
            <w:pPr>
              <w:spacing w:after="0"/>
              <w:rPr>
                <w:sz w:val="14"/>
                <w:szCs w:val="14"/>
                <w:color w:val="auto"/>
              </w:rPr>
            </w:pPr>
          </w:p>
        </w:tc>
        <w:tc>
          <w:tcPr>
            <w:tcW w:w="20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MAR-31-1997</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189,942</w:t>
            </w:r>
          </w:p>
        </w:tc>
        <w:tc>
          <w:tcPr>
            <w:tcW w:w="19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8"/>
              </w:rPr>
              <w:t>201,653</w:t>
            </w:r>
          </w:p>
        </w:tc>
        <w:tc>
          <w:tcPr>
            <w:tcW w:w="180" w:type="dxa"/>
            <w:vAlign w:val="bottom"/>
          </w:tcPr>
          <w:p>
            <w:pPr>
              <w:spacing w:after="0"/>
              <w:rPr>
                <w:sz w:val="14"/>
                <w:szCs w:val="14"/>
                <w:color w:val="auto"/>
              </w:rPr>
            </w:pPr>
          </w:p>
        </w:tc>
        <w:tc>
          <w:tcPr>
            <w:tcW w:w="194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8"/>
              </w:rPr>
              <w:t>510,786</w:t>
            </w:r>
          </w:p>
        </w:tc>
        <w:tc>
          <w:tcPr>
            <w:tcW w:w="160" w:type="dxa"/>
            <w:vAlign w:val="bottom"/>
          </w:tcPr>
          <w:p>
            <w:pPr>
              <w:spacing w:after="0"/>
              <w:rPr>
                <w:sz w:val="14"/>
                <w:szCs w:val="14"/>
                <w:color w:val="auto"/>
              </w:rPr>
            </w:pPr>
          </w:p>
        </w:tc>
        <w:tc>
          <w:tcPr>
            <w:tcW w:w="2040" w:type="dxa"/>
            <w:vAlign w:val="bottom"/>
          </w:tcPr>
          <w:p>
            <w:pPr>
              <w:jc w:val="center"/>
              <w:ind w:left="1167"/>
              <w:spacing w:after="0"/>
              <w:rPr>
                <w:sz w:val="20"/>
                <w:szCs w:val="20"/>
                <w:color w:val="auto"/>
              </w:rPr>
            </w:pPr>
            <w:r>
              <w:rPr>
                <w:rFonts w:ascii="Courier New" w:cs="Courier New" w:eastAsia="Courier New" w:hAnsi="Courier New"/>
                <w:sz w:val="15"/>
                <w:szCs w:val="15"/>
                <w:color w:val="auto"/>
                <w:w w:val="95"/>
              </w:rPr>
              <w:t>597,241</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59,296</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69,362</w:t>
            </w:r>
          </w:p>
        </w:tc>
        <w:tc>
          <w:tcPr>
            <w:tcW w:w="18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80,910</w:t>
            </w:r>
          </w:p>
        </w:tc>
        <w:tc>
          <w:tcPr>
            <w:tcW w:w="160" w:type="dxa"/>
            <w:vAlign w:val="bottom"/>
          </w:tcPr>
          <w:p>
            <w:pPr>
              <w:spacing w:after="0"/>
              <w:rPr>
                <w:sz w:val="14"/>
                <w:szCs w:val="14"/>
                <w:color w:val="auto"/>
              </w:rPr>
            </w:pPr>
          </w:p>
        </w:tc>
        <w:tc>
          <w:tcPr>
            <w:tcW w:w="20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631,006</w:t>
            </w:r>
          </w:p>
        </w:tc>
      </w:tr>
      <w:tr>
        <w:trPr>
          <w:trHeight w:val="170"/>
        </w:trPr>
        <w:tc>
          <w:tcPr>
            <w:tcW w:w="30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2,066,642</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2,041,170</w:t>
            </w:r>
          </w:p>
        </w:tc>
        <w:tc>
          <w:tcPr>
            <w:tcW w:w="1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2,018,867</w:t>
            </w:r>
          </w:p>
        </w:tc>
        <w:tc>
          <w:tcPr>
            <w:tcW w:w="160" w:type="dxa"/>
            <w:vAlign w:val="bottom"/>
          </w:tcPr>
          <w:p>
            <w:pPr>
              <w:spacing w:after="0"/>
              <w:rPr>
                <w:sz w:val="14"/>
                <w:szCs w:val="14"/>
                <w:color w:val="auto"/>
              </w:rPr>
            </w:pP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1,945,215</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90,164</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79,366</w:t>
            </w:r>
          </w:p>
        </w:tc>
        <w:tc>
          <w:tcPr>
            <w:tcW w:w="18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70,576</w:t>
            </w:r>
          </w:p>
        </w:tc>
        <w:tc>
          <w:tcPr>
            <w:tcW w:w="160" w:type="dxa"/>
            <w:vAlign w:val="bottom"/>
          </w:tcPr>
          <w:p>
            <w:pPr>
              <w:spacing w:after="0"/>
              <w:rPr>
                <w:sz w:val="14"/>
                <w:szCs w:val="14"/>
                <w:color w:val="auto"/>
              </w:rPr>
            </w:pPr>
          </w:p>
        </w:tc>
        <w:tc>
          <w:tcPr>
            <w:tcW w:w="20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59,899</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0</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20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88"/>
              </w:rPr>
              <w:t>0</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2,839,676</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2,937,889</w:t>
            </w:r>
          </w:p>
        </w:tc>
        <w:tc>
          <w:tcPr>
            <w:tcW w:w="18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3,349,673</w:t>
            </w:r>
          </w:p>
        </w:tc>
        <w:tc>
          <w:tcPr>
            <w:tcW w:w="160" w:type="dxa"/>
            <w:vAlign w:val="bottom"/>
          </w:tcPr>
          <w:p>
            <w:pPr>
              <w:spacing w:after="0"/>
              <w:rPr>
                <w:sz w:val="14"/>
                <w:szCs w:val="14"/>
                <w:color w:val="auto"/>
              </w:rPr>
            </w:pPr>
          </w:p>
        </w:tc>
        <w:tc>
          <w:tcPr>
            <w:tcW w:w="20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3,810,303</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16,760,990</w:t>
            </w: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17,837,010</w:t>
            </w:r>
          </w:p>
        </w:tc>
        <w:tc>
          <w:tcPr>
            <w:tcW w:w="180" w:type="dxa"/>
            <w:vAlign w:val="bottom"/>
          </w:tcPr>
          <w:p>
            <w:pPr>
              <w:spacing w:after="0"/>
              <w:rPr>
                <w:sz w:val="14"/>
                <w:szCs w:val="14"/>
                <w:color w:val="auto"/>
              </w:rPr>
            </w:pPr>
          </w:p>
        </w:tc>
        <w:tc>
          <w:tcPr>
            <w:tcW w:w="1940" w:type="dxa"/>
            <w:vAlign w:val="bottom"/>
          </w:tcPr>
          <w:p>
            <w:pPr>
              <w:ind w:left="1060"/>
              <w:spacing w:after="0"/>
              <w:rPr>
                <w:sz w:val="20"/>
                <w:szCs w:val="20"/>
                <w:color w:val="auto"/>
              </w:rPr>
            </w:pPr>
            <w:r>
              <w:rPr>
                <w:rFonts w:ascii="Courier New" w:cs="Courier New" w:eastAsia="Courier New" w:hAnsi="Courier New"/>
                <w:sz w:val="15"/>
                <w:szCs w:val="15"/>
                <w:color w:val="auto"/>
                <w:w w:val="95"/>
              </w:rPr>
              <w:t>17,467,223</w:t>
            </w:r>
          </w:p>
        </w:tc>
        <w:tc>
          <w:tcPr>
            <w:tcW w:w="160" w:type="dxa"/>
            <w:vAlign w:val="bottom"/>
          </w:tcPr>
          <w:p>
            <w:pPr>
              <w:spacing w:after="0"/>
              <w:rPr>
                <w:sz w:val="14"/>
                <w:szCs w:val="14"/>
                <w:color w:val="auto"/>
              </w:rPr>
            </w:pPr>
          </w:p>
        </w:tc>
        <w:tc>
          <w:tcPr>
            <w:tcW w:w="20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16,938,840</w:t>
            </w:r>
          </w:p>
        </w:tc>
      </w:tr>
      <w:tr>
        <w:trPr>
          <w:trHeight w:val="170"/>
        </w:trPr>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5,572,461</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5,993,600</w:t>
            </w:r>
          </w:p>
        </w:tc>
        <w:tc>
          <w:tcPr>
            <w:tcW w:w="18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5,805,087</w:t>
            </w:r>
          </w:p>
        </w:tc>
        <w:tc>
          <w:tcPr>
            <w:tcW w:w="160" w:type="dxa"/>
            <w:vAlign w:val="bottom"/>
          </w:tcPr>
          <w:p>
            <w:pPr>
              <w:spacing w:after="0"/>
              <w:rPr>
                <w:sz w:val="14"/>
                <w:szCs w:val="14"/>
                <w:color w:val="auto"/>
              </w:rPr>
            </w:pP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5,697,665</w:t>
            </w:r>
          </w:p>
        </w:tc>
      </w:tr>
      <w:tr>
        <w:trPr>
          <w:trHeight w:val="170"/>
        </w:trPr>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20,156,424</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21,332,276</w:t>
            </w:r>
          </w:p>
        </w:tc>
        <w:tc>
          <w:tcPr>
            <w:tcW w:w="18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21,482,619</w:t>
            </w:r>
          </w:p>
        </w:tc>
        <w:tc>
          <w:tcPr>
            <w:tcW w:w="160" w:type="dxa"/>
            <w:vAlign w:val="bottom"/>
          </w:tcPr>
          <w:p>
            <w:pPr>
              <w:spacing w:after="0"/>
              <w:rPr>
                <w:sz w:val="14"/>
                <w:szCs w:val="14"/>
                <w:color w:val="auto"/>
              </w:rPr>
            </w:pPr>
          </w:p>
        </w:tc>
        <w:tc>
          <w:tcPr>
            <w:tcW w:w="20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21,396,873</w:t>
            </w:r>
          </w:p>
        </w:tc>
      </w:tr>
      <w:tr>
        <w:trPr>
          <w:trHeight w:val="170"/>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4,803,954</w:t>
            </w:r>
          </w:p>
        </w:tc>
        <w:tc>
          <w:tcPr>
            <w:tcW w:w="344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3,595,392</w:t>
            </w:r>
          </w:p>
        </w:tc>
        <w:tc>
          <w:tcPr>
            <w:tcW w:w="212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w w:val="96"/>
              </w:rPr>
              <w:t>3,976,762</w:t>
            </w:r>
          </w:p>
        </w:tc>
        <w:tc>
          <w:tcPr>
            <w:tcW w:w="2200" w:type="dxa"/>
            <w:vAlign w:val="bottom"/>
            <w:gridSpan w:val="2"/>
          </w:tcPr>
          <w:p>
            <w:pPr>
              <w:jc w:val="right"/>
              <w:ind w:right="1347"/>
              <w:spacing w:after="0"/>
              <w:rPr>
                <w:sz w:val="20"/>
                <w:szCs w:val="20"/>
                <w:color w:val="auto"/>
              </w:rPr>
            </w:pPr>
            <w:r>
              <w:rPr>
                <w:rFonts w:ascii="Courier New" w:cs="Courier New" w:eastAsia="Courier New" w:hAnsi="Courier New"/>
                <w:sz w:val="15"/>
                <w:szCs w:val="15"/>
                <w:color w:val="auto"/>
                <w:w w:val="93"/>
              </w:rPr>
              <w:t>4,170,864</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7,881,949</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6"/>
              </w:rPr>
              <w:t>8,925,132</w:t>
            </w:r>
          </w:p>
        </w:tc>
        <w:tc>
          <w:tcPr>
            <w:tcW w:w="180" w:type="dxa"/>
            <w:vAlign w:val="bottom"/>
          </w:tcPr>
          <w:p>
            <w:pPr>
              <w:spacing w:after="0"/>
              <w:rPr>
                <w:sz w:val="14"/>
                <w:szCs w:val="14"/>
                <w:color w:val="auto"/>
              </w:rPr>
            </w:pPr>
          </w:p>
        </w:tc>
        <w:tc>
          <w:tcPr>
            <w:tcW w:w="1940" w:type="dxa"/>
            <w:vAlign w:val="bottom"/>
          </w:tcPr>
          <w:p>
            <w:pPr>
              <w:ind w:left="1060"/>
              <w:spacing w:after="0"/>
              <w:rPr>
                <w:sz w:val="20"/>
                <w:szCs w:val="20"/>
                <w:color w:val="auto"/>
              </w:rPr>
            </w:pPr>
            <w:r>
              <w:rPr>
                <w:rFonts w:ascii="Courier New" w:cs="Courier New" w:eastAsia="Courier New" w:hAnsi="Courier New"/>
                <w:sz w:val="15"/>
                <w:szCs w:val="15"/>
                <w:color w:val="auto"/>
              </w:rPr>
              <w:t>8,809,762</w:t>
            </w:r>
          </w:p>
        </w:tc>
        <w:tc>
          <w:tcPr>
            <w:tcW w:w="160" w:type="dxa"/>
            <w:vAlign w:val="bottom"/>
          </w:tcPr>
          <w:p>
            <w:pPr>
              <w:spacing w:after="0"/>
              <w:rPr>
                <w:sz w:val="14"/>
                <w:szCs w:val="14"/>
                <w:color w:val="auto"/>
              </w:rPr>
            </w:pPr>
          </w:p>
        </w:tc>
        <w:tc>
          <w:tcPr>
            <w:tcW w:w="20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8"/>
              </w:rPr>
              <w:t>7,915,134</w:t>
            </w:r>
          </w:p>
        </w:tc>
      </w:tr>
      <w:tr>
        <w:trPr>
          <w:trHeight w:val="170"/>
        </w:trPr>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spacing w:after="0"/>
              <w:rPr>
                <w:sz w:val="14"/>
                <w:szCs w:val="14"/>
                <w:color w:val="auto"/>
              </w:rPr>
            </w:pPr>
          </w:p>
        </w:tc>
        <w:tc>
          <w:tcPr>
            <w:tcW w:w="19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204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88"/>
              </w:rPr>
              <w:t>0</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20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88"/>
              </w:rPr>
              <w:t>0</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5,987</w:t>
            </w: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5,969</w:t>
            </w:r>
          </w:p>
        </w:tc>
        <w:tc>
          <w:tcPr>
            <w:tcW w:w="180" w:type="dxa"/>
            <w:vAlign w:val="bottom"/>
          </w:tcPr>
          <w:p>
            <w:pPr>
              <w:spacing w:after="0"/>
              <w:rPr>
                <w:sz w:val="14"/>
                <w:szCs w:val="14"/>
                <w:color w:val="auto"/>
              </w:rPr>
            </w:pPr>
          </w:p>
        </w:tc>
        <w:tc>
          <w:tcPr>
            <w:tcW w:w="1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5,895</w:t>
            </w:r>
          </w:p>
        </w:tc>
        <w:tc>
          <w:tcPr>
            <w:tcW w:w="160" w:type="dxa"/>
            <w:vAlign w:val="bottom"/>
          </w:tcPr>
          <w:p>
            <w:pPr>
              <w:spacing w:after="0"/>
              <w:rPr>
                <w:sz w:val="14"/>
                <w:szCs w:val="14"/>
                <w:color w:val="auto"/>
              </w:rPr>
            </w:pP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5,812</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3,848,942</w:t>
            </w: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5,319,353</w:t>
            </w:r>
          </w:p>
        </w:tc>
        <w:tc>
          <w:tcPr>
            <w:tcW w:w="180" w:type="dxa"/>
            <w:vAlign w:val="bottom"/>
          </w:tcPr>
          <w:p>
            <w:pPr>
              <w:spacing w:after="0"/>
              <w:rPr>
                <w:sz w:val="14"/>
                <w:szCs w:val="14"/>
                <w:color w:val="auto"/>
              </w:rPr>
            </w:pPr>
          </w:p>
        </w:tc>
        <w:tc>
          <w:tcPr>
            <w:tcW w:w="19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5,208,716</w:t>
            </w:r>
          </w:p>
        </w:tc>
        <w:tc>
          <w:tcPr>
            <w:tcW w:w="160" w:type="dxa"/>
            <w:vAlign w:val="bottom"/>
          </w:tcPr>
          <w:p>
            <w:pPr>
              <w:spacing w:after="0"/>
              <w:rPr>
                <w:sz w:val="14"/>
                <w:szCs w:val="14"/>
                <w:color w:val="auto"/>
              </w:rPr>
            </w:pPr>
          </w:p>
        </w:tc>
        <w:tc>
          <w:tcPr>
            <w:tcW w:w="2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5,914,580</w:t>
            </w:r>
          </w:p>
        </w:tc>
      </w:tr>
      <w:tr>
        <w:trPr>
          <w:trHeight w:val="170"/>
        </w:trPr>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5"/>
              </w:rPr>
              <w:t>20,156,424</w:t>
            </w: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w w:val="95"/>
              </w:rPr>
              <w:t>21,332,276</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21,482,619</w:t>
            </w:r>
          </w:p>
        </w:tc>
        <w:tc>
          <w:tcPr>
            <w:tcW w:w="2100" w:type="dxa"/>
            <w:vAlign w:val="bottom"/>
            <w:gridSpan w:val="2"/>
          </w:tcPr>
          <w:p>
            <w:pPr>
              <w:ind w:left="1220"/>
              <w:spacing w:after="0"/>
              <w:rPr>
                <w:sz w:val="20"/>
                <w:szCs w:val="20"/>
                <w:color w:val="auto"/>
              </w:rPr>
            </w:pPr>
            <w:r>
              <w:rPr>
                <w:rFonts w:ascii="Courier New" w:cs="Courier New" w:eastAsia="Courier New" w:hAnsi="Courier New"/>
                <w:sz w:val="15"/>
                <w:szCs w:val="15"/>
                <w:color w:val="auto"/>
                <w:w w:val="95"/>
              </w:rPr>
              <w:t>21,396,873</w:t>
            </w:r>
          </w:p>
        </w:tc>
        <w:tc>
          <w:tcPr>
            <w:tcW w:w="2040" w:type="dxa"/>
            <w:vAlign w:val="bottom"/>
          </w:tcPr>
          <w:p>
            <w:pPr>
              <w:spacing w:after="0"/>
              <w:rPr>
                <w:sz w:val="14"/>
                <w:szCs w:val="14"/>
                <w:color w:val="auto"/>
              </w:rPr>
            </w:pPr>
          </w:p>
        </w:tc>
      </w:tr>
      <w:tr>
        <w:trPr>
          <w:trHeight w:val="170"/>
        </w:trPr>
        <w:tc>
          <w:tcPr>
            <w:tcW w:w="150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11,972,498</w:t>
            </w:r>
          </w:p>
        </w:tc>
        <w:tc>
          <w:tcPr>
            <w:tcW w:w="1940" w:type="dxa"/>
            <w:vAlign w:val="bottom"/>
          </w:tcPr>
          <w:p>
            <w:pPr>
              <w:jc w:val="center"/>
              <w:ind w:left="887"/>
              <w:spacing w:after="0"/>
              <w:rPr>
                <w:sz w:val="20"/>
                <w:szCs w:val="20"/>
                <w:color w:val="auto"/>
              </w:rPr>
            </w:pPr>
            <w:r>
              <w:rPr>
                <w:rFonts w:ascii="Courier New" w:cs="Courier New" w:eastAsia="Courier New" w:hAnsi="Courier New"/>
                <w:sz w:val="15"/>
                <w:szCs w:val="15"/>
                <w:color w:val="auto"/>
                <w:w w:val="96"/>
              </w:rPr>
              <w:t>8,884,939</w:t>
            </w:r>
          </w:p>
        </w:tc>
        <w:tc>
          <w:tcPr>
            <w:tcW w:w="180" w:type="dxa"/>
            <w:vAlign w:val="bottom"/>
          </w:tcPr>
          <w:p>
            <w:pPr>
              <w:spacing w:after="0"/>
              <w:rPr>
                <w:sz w:val="14"/>
                <w:szCs w:val="14"/>
                <w:color w:val="auto"/>
              </w:rPr>
            </w:pPr>
          </w:p>
        </w:tc>
        <w:tc>
          <w:tcPr>
            <w:tcW w:w="1940" w:type="dxa"/>
            <w:vAlign w:val="bottom"/>
          </w:tcPr>
          <w:p>
            <w:pPr>
              <w:ind w:left="1060"/>
              <w:spacing w:after="0"/>
              <w:rPr>
                <w:sz w:val="20"/>
                <w:szCs w:val="20"/>
                <w:color w:val="auto"/>
              </w:rPr>
            </w:pPr>
            <w:r>
              <w:rPr>
                <w:rFonts w:ascii="Courier New" w:cs="Courier New" w:eastAsia="Courier New" w:hAnsi="Courier New"/>
                <w:sz w:val="15"/>
                <w:szCs w:val="15"/>
                <w:color w:val="auto"/>
              </w:rPr>
              <w:t>5,730,556</w:t>
            </w:r>
          </w:p>
        </w:tc>
        <w:tc>
          <w:tcPr>
            <w:tcW w:w="160" w:type="dxa"/>
            <w:vAlign w:val="bottom"/>
          </w:tcPr>
          <w:p>
            <w:pPr>
              <w:spacing w:after="0"/>
              <w:rPr>
                <w:sz w:val="14"/>
                <w:szCs w:val="14"/>
                <w:color w:val="auto"/>
              </w:rPr>
            </w:pPr>
          </w:p>
        </w:tc>
        <w:tc>
          <w:tcPr>
            <w:tcW w:w="20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8"/>
              </w:rPr>
              <w:t>2,699,541</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11,972,498</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8,884,939</w:t>
            </w:r>
          </w:p>
        </w:tc>
        <w:tc>
          <w:tcPr>
            <w:tcW w:w="18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5,730,556</w:t>
            </w:r>
          </w:p>
        </w:tc>
        <w:tc>
          <w:tcPr>
            <w:tcW w:w="160" w:type="dxa"/>
            <w:vAlign w:val="bottom"/>
          </w:tcPr>
          <w:p>
            <w:pPr>
              <w:spacing w:after="0"/>
              <w:rPr>
                <w:sz w:val="14"/>
                <w:szCs w:val="14"/>
                <w:color w:val="auto"/>
              </w:rPr>
            </w:pPr>
          </w:p>
        </w:tc>
        <w:tc>
          <w:tcPr>
            <w:tcW w:w="20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2,699,541</w:t>
            </w:r>
          </w:p>
        </w:tc>
      </w:tr>
      <w:tr>
        <w:trPr>
          <w:trHeight w:val="170"/>
        </w:trPr>
        <w:tc>
          <w:tcPr>
            <w:tcW w:w="1500" w:type="dxa"/>
            <w:vAlign w:val="bottom"/>
          </w:tcPr>
          <w:p>
            <w:pPr>
              <w:spacing w:after="0"/>
              <w:rPr>
                <w:sz w:val="14"/>
                <w:szCs w:val="14"/>
                <w:color w:val="auto"/>
              </w:rPr>
            </w:pPr>
          </w:p>
        </w:tc>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7,482,273</w:t>
            </w:r>
          </w:p>
        </w:tc>
        <w:tc>
          <w:tcPr>
            <w:tcW w:w="2120" w:type="dxa"/>
            <w:vAlign w:val="bottom"/>
            <w:gridSpan w:val="2"/>
          </w:tcPr>
          <w:p>
            <w:pPr>
              <w:jc w:val="center"/>
              <w:ind w:left="1067"/>
              <w:spacing w:after="0"/>
              <w:rPr>
                <w:sz w:val="20"/>
                <w:szCs w:val="20"/>
                <w:color w:val="auto"/>
              </w:rPr>
            </w:pPr>
            <w:r>
              <w:rPr>
                <w:rFonts w:ascii="Courier New" w:cs="Courier New" w:eastAsia="Courier New" w:hAnsi="Courier New"/>
                <w:sz w:val="15"/>
                <w:szCs w:val="15"/>
                <w:color w:val="auto"/>
                <w:w w:val="96"/>
              </w:rPr>
              <w:t>5,537,598</w:t>
            </w:r>
          </w:p>
        </w:tc>
        <w:tc>
          <w:tcPr>
            <w:tcW w:w="2100" w:type="dxa"/>
            <w:vAlign w:val="bottom"/>
            <w:gridSpan w:val="2"/>
          </w:tcPr>
          <w:p>
            <w:pPr>
              <w:jc w:val="center"/>
              <w:ind w:left="1067"/>
              <w:spacing w:after="0"/>
              <w:rPr>
                <w:sz w:val="20"/>
                <w:szCs w:val="20"/>
                <w:color w:val="auto"/>
              </w:rPr>
            </w:pPr>
            <w:r>
              <w:rPr>
                <w:rFonts w:ascii="Courier New" w:cs="Courier New" w:eastAsia="Courier New" w:hAnsi="Courier New"/>
                <w:sz w:val="15"/>
                <w:szCs w:val="15"/>
                <w:color w:val="auto"/>
                <w:w w:val="98"/>
              </w:rPr>
              <w:t>3,559,970</w:t>
            </w:r>
          </w:p>
        </w:tc>
        <w:tc>
          <w:tcPr>
            <w:tcW w:w="2040" w:type="dxa"/>
            <w:vAlign w:val="bottom"/>
          </w:tcPr>
          <w:p>
            <w:pPr>
              <w:jc w:val="center"/>
              <w:ind w:left="1167"/>
              <w:spacing w:after="0"/>
              <w:rPr>
                <w:sz w:val="20"/>
                <w:szCs w:val="20"/>
                <w:color w:val="auto"/>
              </w:rPr>
            </w:pPr>
            <w:r>
              <w:rPr>
                <w:rFonts w:ascii="Courier New" w:cs="Courier New" w:eastAsia="Courier New" w:hAnsi="Courier New"/>
                <w:sz w:val="15"/>
                <w:szCs w:val="15"/>
                <w:color w:val="auto"/>
                <w:w w:val="98"/>
              </w:rPr>
              <w:t>1,720,129</w:t>
            </w:r>
          </w:p>
        </w:tc>
      </w:tr>
      <w:tr>
        <w:trPr>
          <w:trHeight w:val="170"/>
        </w:trPr>
        <w:tc>
          <w:tcPr>
            <w:tcW w:w="300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12,206,407</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7,791,167</w:t>
            </w:r>
          </w:p>
        </w:tc>
        <w:tc>
          <w:tcPr>
            <w:tcW w:w="1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4,921,620</w:t>
            </w:r>
          </w:p>
        </w:tc>
        <w:tc>
          <w:tcPr>
            <w:tcW w:w="160" w:type="dxa"/>
            <w:vAlign w:val="bottom"/>
          </w:tcPr>
          <w:p>
            <w:pPr>
              <w:spacing w:after="0"/>
              <w:rPr>
                <w:sz w:val="14"/>
                <w:szCs w:val="14"/>
                <w:color w:val="auto"/>
              </w:rPr>
            </w:pP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2,362,312</w:t>
            </w:r>
          </w:p>
        </w:tc>
      </w:tr>
      <w:tr>
        <w:trPr>
          <w:trHeight w:val="170"/>
        </w:trPr>
        <w:tc>
          <w:tcPr>
            <w:tcW w:w="30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(126,988)</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(75,642)</w:t>
            </w:r>
          </w:p>
        </w:tc>
        <w:tc>
          <w:tcPr>
            <w:tcW w:w="18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(85,984)</w:t>
            </w:r>
          </w:p>
        </w:tc>
        <w:tc>
          <w:tcPr>
            <w:tcW w:w="160" w:type="dxa"/>
            <w:vAlign w:val="bottom"/>
          </w:tcPr>
          <w:p>
            <w:pPr>
              <w:spacing w:after="0"/>
              <w:rPr>
                <w:sz w:val="14"/>
                <w:szCs w:val="14"/>
                <w:color w:val="auto"/>
              </w:rPr>
            </w:pPr>
          </w:p>
        </w:tc>
        <w:tc>
          <w:tcPr>
            <w:tcW w:w="20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(126,845)</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9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204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0</w:t>
            </w:r>
          </w:p>
        </w:tc>
      </w:tr>
      <w:tr>
        <w:trPr>
          <w:trHeight w:val="170"/>
        </w:trPr>
        <w:tc>
          <w:tcPr>
            <w:tcW w:w="30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555,576</w:t>
            </w: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406,264</w:t>
            </w:r>
          </w:p>
        </w:tc>
        <w:tc>
          <w:tcPr>
            <w:tcW w:w="180" w:type="dxa"/>
            <w:vAlign w:val="bottom"/>
          </w:tcPr>
          <w:p>
            <w:pPr>
              <w:spacing w:after="0"/>
              <w:rPr>
                <w:sz w:val="14"/>
                <w:szCs w:val="1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269,027</w:t>
            </w:r>
          </w:p>
        </w:tc>
        <w:tc>
          <w:tcPr>
            <w:tcW w:w="160" w:type="dxa"/>
            <w:vAlign w:val="bottom"/>
          </w:tcPr>
          <w:p>
            <w:pPr>
              <w:spacing w:after="0"/>
              <w:rPr>
                <w:sz w:val="14"/>
                <w:szCs w:val="14"/>
                <w:color w:val="auto"/>
              </w:rPr>
            </w:pPr>
          </w:p>
        </w:tc>
        <w:tc>
          <w:tcPr>
            <w:tcW w:w="2040" w:type="dxa"/>
            <w:vAlign w:val="bottom"/>
          </w:tcPr>
          <w:p>
            <w:pPr>
              <w:ind w:left="280"/>
              <w:spacing w:after="0"/>
              <w:rPr>
                <w:sz w:val="20"/>
                <w:szCs w:val="20"/>
                <w:color w:val="auto"/>
              </w:rPr>
            </w:pPr>
            <w:r>
              <w:rPr>
                <w:rFonts w:ascii="Courier New" w:cs="Courier New" w:eastAsia="Courier New" w:hAnsi="Courier New"/>
                <w:sz w:val="15"/>
                <w:szCs w:val="15"/>
                <w:color w:val="auto"/>
              </w:rPr>
              <w:t>131,717</w:t>
            </w:r>
          </w:p>
        </w:tc>
      </w:tr>
      <w:tr>
        <w:trPr>
          <w:trHeight w:val="170"/>
        </w:trPr>
        <w:tc>
          <w:tcPr>
            <w:tcW w:w="30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(662,497)</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763,150</w:t>
            </w:r>
          </w:p>
        </w:tc>
        <w:tc>
          <w:tcPr>
            <w:tcW w:w="180" w:type="dxa"/>
            <w:vAlign w:val="bottom"/>
          </w:tcPr>
          <w:p>
            <w:pPr>
              <w:spacing w:after="0"/>
              <w:rPr>
                <w:sz w:val="14"/>
                <w:szCs w:val="14"/>
                <w:color w:val="auto"/>
              </w:rPr>
            </w:pPr>
          </w:p>
        </w:tc>
        <w:tc>
          <w:tcPr>
            <w:tcW w:w="1940" w:type="dxa"/>
            <w:vAlign w:val="bottom"/>
          </w:tcPr>
          <w:p>
            <w:pPr>
              <w:ind w:left="520"/>
              <w:spacing w:after="0"/>
              <w:rPr>
                <w:sz w:val="20"/>
                <w:szCs w:val="20"/>
                <w:color w:val="auto"/>
              </w:rPr>
            </w:pPr>
            <w:r>
              <w:rPr>
                <w:rFonts w:ascii="Courier New" w:cs="Courier New" w:eastAsia="Courier New" w:hAnsi="Courier New"/>
                <w:sz w:val="15"/>
                <w:szCs w:val="15"/>
                <w:color w:val="auto"/>
              </w:rPr>
              <w:t>625,893</w:t>
            </w:r>
          </w:p>
        </w:tc>
        <w:tc>
          <w:tcPr>
            <w:tcW w:w="160" w:type="dxa"/>
            <w:vAlign w:val="bottom"/>
          </w:tcPr>
          <w:p>
            <w:pPr>
              <w:spacing w:after="0"/>
              <w:rPr>
                <w:sz w:val="14"/>
                <w:szCs w:val="14"/>
                <w:color w:val="auto"/>
              </w:rPr>
            </w:pPr>
          </w:p>
        </w:tc>
        <w:tc>
          <w:tcPr>
            <w:tcW w:w="20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332,357</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363,341</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399,103</w:t>
            </w:r>
          </w:p>
        </w:tc>
        <w:tc>
          <w:tcPr>
            <w:tcW w:w="18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318,357</w:t>
            </w:r>
          </w:p>
        </w:tc>
        <w:tc>
          <w:tcPr>
            <w:tcW w:w="160" w:type="dxa"/>
            <w:vAlign w:val="bottom"/>
          </w:tcPr>
          <w:p>
            <w:pPr>
              <w:spacing w:after="0"/>
              <w:rPr>
                <w:sz w:val="14"/>
                <w:szCs w:val="14"/>
                <w:color w:val="auto"/>
              </w:rPr>
            </w:pPr>
          </w:p>
        </w:tc>
        <w:tc>
          <w:tcPr>
            <w:tcW w:w="20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161,938</w:t>
            </w:r>
          </w:p>
        </w:tc>
      </w:tr>
      <w:tr>
        <w:trPr>
          <w:trHeight w:val="170"/>
        </w:trPr>
        <w:tc>
          <w:tcPr>
            <w:tcW w:w="3000" w:type="dxa"/>
            <w:vAlign w:val="bottom"/>
            <w:gridSpan w:val="2"/>
          </w:tcPr>
          <w:p>
            <w:pPr>
              <w:jc w:val="right"/>
              <w:ind w:right="1247"/>
              <w:spacing w:after="0"/>
              <w:rPr>
                <w:sz w:val="20"/>
                <w:szCs w:val="20"/>
                <w:color w:val="auto"/>
              </w:rPr>
            </w:pPr>
            <w:r>
              <w:rPr>
                <w:rFonts w:ascii="Courier New" w:cs="Courier New" w:eastAsia="Courier New" w:hAnsi="Courier New"/>
                <w:sz w:val="15"/>
                <w:szCs w:val="15"/>
                <w:color w:val="auto"/>
              </w:rPr>
              <w:t>(1,025,838)</w:t>
            </w:r>
          </w:p>
        </w:tc>
        <w:tc>
          <w:tcPr>
            <w:tcW w:w="19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364,047</w:t>
            </w:r>
          </w:p>
        </w:tc>
        <w:tc>
          <w:tcPr>
            <w:tcW w:w="180" w:type="dxa"/>
            <w:vAlign w:val="bottom"/>
          </w:tcPr>
          <w:p>
            <w:pPr>
              <w:spacing w:after="0"/>
              <w:rPr>
                <w:sz w:val="14"/>
                <w:szCs w:val="14"/>
                <w:color w:val="auto"/>
              </w:rPr>
            </w:pPr>
          </w:p>
        </w:tc>
        <w:tc>
          <w:tcPr>
            <w:tcW w:w="1940" w:type="dxa"/>
            <w:vAlign w:val="bottom"/>
          </w:tcPr>
          <w:p>
            <w:pPr>
              <w:jc w:val="right"/>
              <w:ind w:right="1087"/>
              <w:spacing w:after="0"/>
              <w:rPr>
                <w:sz w:val="20"/>
                <w:szCs w:val="20"/>
                <w:color w:val="auto"/>
              </w:rPr>
            </w:pPr>
            <w:r>
              <w:rPr>
                <w:rFonts w:ascii="Courier New" w:cs="Courier New" w:eastAsia="Courier New" w:hAnsi="Courier New"/>
                <w:sz w:val="15"/>
                <w:szCs w:val="15"/>
                <w:color w:val="auto"/>
              </w:rPr>
              <w:t>307,536</w:t>
            </w:r>
          </w:p>
        </w:tc>
        <w:tc>
          <w:tcPr>
            <w:tcW w:w="160" w:type="dxa"/>
            <w:vAlign w:val="bottom"/>
          </w:tcPr>
          <w:p>
            <w:pPr>
              <w:spacing w:after="0"/>
              <w:rPr>
                <w:sz w:val="14"/>
                <w:szCs w:val="14"/>
                <w:color w:val="auto"/>
              </w:rPr>
            </w:pPr>
          </w:p>
        </w:tc>
        <w:tc>
          <w:tcPr>
            <w:tcW w:w="204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170,419</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95,688</w:t>
            </w:r>
          </w:p>
        </w:tc>
        <w:tc>
          <w:tcPr>
            <w:tcW w:w="19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8,412</w:t>
            </w:r>
          </w:p>
        </w:tc>
        <w:tc>
          <w:tcPr>
            <w:tcW w:w="180" w:type="dxa"/>
            <w:vAlign w:val="bottom"/>
          </w:tcPr>
          <w:p>
            <w:pPr>
              <w:spacing w:after="0"/>
              <w:rPr>
                <w:sz w:val="14"/>
                <w:szCs w:val="14"/>
                <w:color w:val="auto"/>
              </w:rPr>
            </w:pP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8,208</w:t>
            </w:r>
          </w:p>
        </w:tc>
        <w:tc>
          <w:tcPr>
            <w:tcW w:w="160" w:type="dxa"/>
            <w:vAlign w:val="bottom"/>
          </w:tcPr>
          <w:p>
            <w:pPr>
              <w:spacing w:after="0"/>
              <w:rPr>
                <w:sz w:val="14"/>
                <w:szCs w:val="14"/>
                <w:color w:val="auto"/>
              </w:rPr>
            </w:pPr>
          </w:p>
        </w:tc>
        <w:tc>
          <w:tcPr>
            <w:tcW w:w="20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647</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6,809</w:t>
            </w:r>
          </w:p>
        </w:tc>
        <w:tc>
          <w:tcPr>
            <w:tcW w:w="19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6,293</w:t>
            </w:r>
          </w:p>
        </w:tc>
        <w:tc>
          <w:tcPr>
            <w:tcW w:w="180" w:type="dxa"/>
            <w:vAlign w:val="bottom"/>
          </w:tcPr>
          <w:p>
            <w:pPr>
              <w:spacing w:after="0"/>
              <w:rPr>
                <w:sz w:val="14"/>
                <w:szCs w:val="14"/>
                <w:color w:val="auto"/>
              </w:rPr>
            </w:pPr>
          </w:p>
        </w:tc>
        <w:tc>
          <w:tcPr>
            <w:tcW w:w="194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204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0</w:t>
            </w:r>
          </w:p>
        </w:tc>
      </w:tr>
      <w:tr>
        <w:trPr>
          <w:trHeight w:val="170"/>
        </w:trPr>
        <w:tc>
          <w:tcPr>
            <w:tcW w:w="1500" w:type="dxa"/>
            <w:vAlign w:val="bottom"/>
          </w:tcPr>
          <w:p>
            <w:pPr>
              <w:spacing w:after="0"/>
              <w:rPr>
                <w:sz w:val="14"/>
                <w:szCs w:val="14"/>
                <w:color w:val="auto"/>
              </w:rPr>
            </w:pPr>
          </w:p>
        </w:tc>
        <w:tc>
          <w:tcPr>
            <w:tcW w:w="15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1,936</w:t>
            </w:r>
          </w:p>
        </w:tc>
        <w:tc>
          <w:tcPr>
            <w:tcW w:w="1940" w:type="dxa"/>
            <w:vAlign w:val="bottom"/>
          </w:tcPr>
          <w:p>
            <w:pPr>
              <w:jc w:val="center"/>
              <w:ind w:left="1247"/>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94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88"/>
              </w:rPr>
              <w:t>0</w:t>
            </w:r>
          </w:p>
        </w:tc>
        <w:tc>
          <w:tcPr>
            <w:tcW w:w="160" w:type="dxa"/>
            <w:vAlign w:val="bottom"/>
          </w:tcPr>
          <w:p>
            <w:pPr>
              <w:spacing w:after="0"/>
              <w:rPr>
                <w:sz w:val="14"/>
                <w:szCs w:val="14"/>
                <w:color w:val="auto"/>
              </w:rPr>
            </w:pPr>
          </w:p>
        </w:tc>
        <w:tc>
          <w:tcPr>
            <w:tcW w:w="2040" w:type="dxa"/>
            <w:vAlign w:val="bottom"/>
          </w:tcPr>
          <w:p>
            <w:pPr>
              <w:jc w:val="center"/>
              <w:ind w:left="1167"/>
              <w:spacing w:after="0"/>
              <w:rPr>
                <w:sz w:val="20"/>
                <w:szCs w:val="20"/>
                <w:color w:val="auto"/>
              </w:rPr>
            </w:pPr>
            <w:r>
              <w:rPr>
                <w:rFonts w:ascii="Courier New" w:cs="Courier New" w:eastAsia="Courier New" w:hAnsi="Courier New"/>
                <w:sz w:val="15"/>
                <w:szCs w:val="15"/>
                <w:color w:val="auto"/>
                <w:w w:val="88"/>
              </w:rPr>
              <w:t>0</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6"/>
              </w:rPr>
              <w:t>(938,895)</w:t>
            </w: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366,166</w:t>
            </w:r>
          </w:p>
        </w:tc>
        <w:tc>
          <w:tcPr>
            <w:tcW w:w="180" w:type="dxa"/>
            <w:vAlign w:val="bottom"/>
          </w:tcPr>
          <w:p>
            <w:pPr>
              <w:spacing w:after="0"/>
              <w:rPr>
                <w:sz w:val="14"/>
                <w:szCs w:val="14"/>
                <w:color w:val="auto"/>
              </w:rPr>
            </w:pPr>
          </w:p>
        </w:tc>
        <w:tc>
          <w:tcPr>
            <w:tcW w:w="19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315,744</w:t>
            </w:r>
          </w:p>
        </w:tc>
        <w:tc>
          <w:tcPr>
            <w:tcW w:w="160" w:type="dxa"/>
            <w:vAlign w:val="bottom"/>
          </w:tcPr>
          <w:p>
            <w:pPr>
              <w:spacing w:after="0"/>
              <w:rPr>
                <w:sz w:val="14"/>
                <w:szCs w:val="14"/>
                <w:color w:val="auto"/>
              </w:rPr>
            </w:pPr>
          </w:p>
        </w:tc>
        <w:tc>
          <w:tcPr>
            <w:tcW w:w="20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171,066</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(1.68)</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0.66</w:t>
            </w:r>
          </w:p>
        </w:tc>
        <w:tc>
          <w:tcPr>
            <w:tcW w:w="1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0.57</w:t>
            </w:r>
          </w:p>
        </w:tc>
        <w:tc>
          <w:tcPr>
            <w:tcW w:w="160" w:type="dxa"/>
            <w:vAlign w:val="bottom"/>
          </w:tcPr>
          <w:p>
            <w:pPr>
              <w:spacing w:after="0"/>
              <w:rPr>
                <w:sz w:val="14"/>
                <w:szCs w:val="14"/>
                <w:color w:val="auto"/>
              </w:rPr>
            </w:pP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0.31</w:t>
            </w:r>
          </w:p>
        </w:tc>
      </w:tr>
      <w:tr>
        <w:trPr>
          <w:trHeight w:val="170"/>
        </w:trPr>
        <w:tc>
          <w:tcPr>
            <w:tcW w:w="1500" w:type="dxa"/>
            <w:vAlign w:val="bottom"/>
          </w:tcPr>
          <w:p>
            <w:pPr>
              <w:spacing w:after="0"/>
              <w:rPr>
                <w:sz w:val="14"/>
                <w:szCs w:val="1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(1.68)</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0.65</w:t>
            </w:r>
          </w:p>
        </w:tc>
        <w:tc>
          <w:tcPr>
            <w:tcW w:w="180" w:type="dxa"/>
            <w:vAlign w:val="bottom"/>
          </w:tcPr>
          <w:p>
            <w:pPr>
              <w:spacing w:after="0"/>
              <w:rPr>
                <w:sz w:val="14"/>
                <w:szCs w:val="14"/>
                <w:color w:val="auto"/>
              </w:rPr>
            </w:pP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0.56</w:t>
            </w:r>
          </w:p>
        </w:tc>
        <w:tc>
          <w:tcPr>
            <w:tcW w:w="160" w:type="dxa"/>
            <w:vAlign w:val="bottom"/>
          </w:tcPr>
          <w:p>
            <w:pPr>
              <w:spacing w:after="0"/>
              <w:rPr>
                <w:sz w:val="14"/>
                <w:szCs w:val="14"/>
                <w:color w:val="auto"/>
              </w:rPr>
            </w:pP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0.30</w:t>
            </w:r>
          </w:p>
        </w:tc>
      </w:tr>
    </w:tbl>
    <w:p>
      <w:pPr>
        <w:sectPr>
          <w:pgSz w:w="11900" w:h="16838" w:orient="portrait"/>
          <w:cols w:equalWidth="0" w:num="1">
            <w:col w:w="10640"/>
          </w:cols>
          <w:pgMar w:left="260" w:top="475" w:right="999" w:bottom="1440" w:gutter="0" w:footer="0" w:header="0"/>
        </w:sectPr>
      </w:pPr>
    </w:p>
    <w:bookmarkStart w:id="201" w:name="page202"/>
    <w:bookmarkEnd w:id="201"/>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WASTE MANAGEMENT, INC. FOR THE YEAR ENDED DECEMBER 31, 1996 AND IS QUALIFIED IN ITS ENTIRETY BY REFERENCE TO SUCH FINANCIAL STATEMENTS.</w:t>
      </w:r>
    </w:p>
    <w:p>
      <w:pPr>
        <w:spacing w:after="0" w:line="32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DEC-31-1996</w:t>
      </w:r>
    </w:p>
    <w:p>
      <w:pPr>
        <w:ind w:left="2520"/>
        <w:spacing w:after="0"/>
        <w:rPr>
          <w:sz w:val="20"/>
          <w:szCs w:val="20"/>
          <w:color w:val="auto"/>
        </w:rPr>
      </w:pPr>
      <w:r>
        <w:rPr>
          <w:rFonts w:ascii="Courier New" w:cs="Courier New" w:eastAsia="Courier New" w:hAnsi="Courier New"/>
          <w:sz w:val="15"/>
          <w:szCs w:val="15"/>
          <w:color w:val="auto"/>
        </w:rPr>
        <w:t>JAN-01-1996</w:t>
      </w:r>
    </w:p>
    <w:p>
      <w:pPr>
        <w:ind w:left="2700"/>
        <w:spacing w:after="0" w:line="238" w:lineRule="auto"/>
        <w:rPr>
          <w:sz w:val="20"/>
          <w:szCs w:val="20"/>
          <w:color w:val="auto"/>
        </w:rPr>
      </w:pPr>
      <w:r>
        <w:rPr>
          <w:rFonts w:ascii="Courier New" w:cs="Courier New" w:eastAsia="Courier New" w:hAnsi="Courier New"/>
          <w:sz w:val="15"/>
          <w:szCs w:val="15"/>
          <w:color w:val="auto"/>
        </w:rPr>
        <w:t>DEC-31-1996</w:t>
      </w:r>
    </w:p>
    <w:p>
      <w:pPr>
        <w:ind w:left="3580"/>
        <w:spacing w:after="0"/>
        <w:rPr>
          <w:sz w:val="20"/>
          <w:szCs w:val="20"/>
          <w:color w:val="auto"/>
        </w:rPr>
      </w:pPr>
      <w:r>
        <w:rPr>
          <w:rFonts w:ascii="Courier New" w:cs="Courier New" w:eastAsia="Courier New" w:hAnsi="Courier New"/>
          <w:sz w:val="15"/>
          <w:szCs w:val="15"/>
          <w:color w:val="auto"/>
        </w:rPr>
        <w:t>352,303</w:t>
      </w:r>
    </w:p>
    <w:p>
      <w:pPr>
        <w:ind w:left="3060"/>
        <w:spacing w:after="0"/>
        <w:rPr>
          <w:sz w:val="20"/>
          <w:szCs w:val="20"/>
          <w:color w:val="auto"/>
        </w:rPr>
      </w:pPr>
      <w:r>
        <w:rPr>
          <w:rFonts w:ascii="Courier New" w:cs="Courier New" w:eastAsia="Courier New" w:hAnsi="Courier New"/>
          <w:sz w:val="15"/>
          <w:szCs w:val="15"/>
          <w:color w:val="auto"/>
        </w:rPr>
        <w:t>319,338</w:t>
      </w:r>
    </w:p>
    <w:p>
      <w:pPr>
        <w:ind w:left="2800"/>
        <w:spacing w:after="0" w:line="238" w:lineRule="auto"/>
        <w:rPr>
          <w:sz w:val="20"/>
          <w:szCs w:val="20"/>
          <w:color w:val="auto"/>
        </w:rPr>
      </w:pPr>
      <w:r>
        <w:rPr>
          <w:rFonts w:ascii="Courier New" w:cs="Courier New" w:eastAsia="Courier New" w:hAnsi="Courier New"/>
          <w:sz w:val="15"/>
          <w:szCs w:val="15"/>
          <w:color w:val="auto"/>
        </w:rPr>
        <w:t>1,977,972</w:t>
      </w:r>
    </w:p>
    <w:p>
      <w:pPr>
        <w:ind w:left="3140"/>
        <w:spacing w:after="0"/>
        <w:rPr>
          <w:sz w:val="20"/>
          <w:szCs w:val="20"/>
          <w:color w:val="auto"/>
        </w:rPr>
      </w:pPr>
      <w:r>
        <w:rPr>
          <w:rFonts w:ascii="Courier New" w:cs="Courier New" w:eastAsia="Courier New" w:hAnsi="Courier New"/>
          <w:sz w:val="15"/>
          <w:szCs w:val="15"/>
          <w:color w:val="auto"/>
        </w:rPr>
        <w:t>72,743</w:t>
      </w:r>
    </w:p>
    <w:p>
      <w:pPr>
        <w:ind w:left="368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3,242,109</w:t>
      </w:r>
    </w:p>
    <w:p>
      <w:pPr>
        <w:ind w:left="3320"/>
        <w:spacing w:after="0" w:line="238" w:lineRule="auto"/>
        <w:rPr>
          <w:sz w:val="20"/>
          <w:szCs w:val="20"/>
          <w:color w:val="auto"/>
        </w:rPr>
      </w:pPr>
      <w:r>
        <w:rPr>
          <w:rFonts w:ascii="Courier New" w:cs="Courier New" w:eastAsia="Courier New" w:hAnsi="Courier New"/>
          <w:sz w:val="15"/>
          <w:szCs w:val="15"/>
          <w:color w:val="auto"/>
        </w:rPr>
        <w:t>16,551,429</w:t>
      </w:r>
    </w:p>
    <w:p>
      <w:pPr>
        <w:ind w:left="2700"/>
        <w:spacing w:after="0"/>
        <w:rPr>
          <w:sz w:val="20"/>
          <w:szCs w:val="20"/>
          <w:color w:val="auto"/>
        </w:rPr>
      </w:pPr>
      <w:r>
        <w:rPr>
          <w:rFonts w:ascii="Courier New" w:cs="Courier New" w:eastAsia="Courier New" w:hAnsi="Courier New"/>
          <w:sz w:val="15"/>
          <w:szCs w:val="15"/>
          <w:color w:val="auto"/>
        </w:rPr>
        <w:t>5,585,488</w:t>
      </w:r>
    </w:p>
    <w:p>
      <w:pPr>
        <w:ind w:left="2620"/>
        <w:spacing w:after="0"/>
        <w:rPr>
          <w:sz w:val="20"/>
          <w:szCs w:val="20"/>
          <w:color w:val="auto"/>
        </w:rPr>
      </w:pPr>
      <w:r>
        <w:rPr>
          <w:rFonts w:ascii="Courier New" w:cs="Courier New" w:eastAsia="Courier New" w:hAnsi="Courier New"/>
          <w:sz w:val="15"/>
          <w:szCs w:val="15"/>
          <w:color w:val="auto"/>
        </w:rPr>
        <w:t>20,727,524</w:t>
      </w:r>
    </w:p>
    <w:p>
      <w:pPr>
        <w:ind w:left="2080"/>
        <w:spacing w:after="0" w:line="238" w:lineRule="auto"/>
        <w:rPr>
          <w:sz w:val="20"/>
          <w:szCs w:val="20"/>
          <w:color w:val="auto"/>
        </w:rPr>
      </w:pPr>
      <w:r>
        <w:rPr>
          <w:rFonts w:ascii="Courier New" w:cs="Courier New" w:eastAsia="Courier New" w:hAnsi="Courier New"/>
          <w:sz w:val="15"/>
          <w:szCs w:val="15"/>
          <w:color w:val="auto"/>
        </w:rPr>
        <w:t>3,500,319</w:t>
      </w:r>
    </w:p>
    <w:p>
      <w:pPr>
        <w:ind w:left="3320"/>
        <w:spacing w:after="0"/>
        <w:rPr>
          <w:sz w:val="20"/>
          <w:szCs w:val="20"/>
          <w:color w:val="auto"/>
        </w:rPr>
      </w:pPr>
      <w:r>
        <w:rPr>
          <w:rFonts w:ascii="Courier New" w:cs="Courier New" w:eastAsia="Courier New" w:hAnsi="Courier New"/>
          <w:sz w:val="15"/>
          <w:szCs w:val="15"/>
          <w:color w:val="auto"/>
        </w:rPr>
        <w:t>8,466,901</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580"/>
        <w:spacing w:after="0" w:line="238" w:lineRule="auto"/>
        <w:rPr>
          <w:sz w:val="20"/>
          <w:szCs w:val="20"/>
          <w:color w:val="auto"/>
        </w:rPr>
      </w:pPr>
      <w:r>
        <w:rPr>
          <w:rFonts w:ascii="Courier New" w:cs="Courier New" w:eastAsia="Courier New" w:hAnsi="Courier New"/>
          <w:sz w:val="15"/>
          <w:szCs w:val="15"/>
          <w:color w:val="auto"/>
        </w:rPr>
        <w:t>5,583</w:t>
      </w:r>
    </w:p>
    <w:p>
      <w:pPr>
        <w:ind w:left="3060"/>
        <w:spacing w:after="0"/>
        <w:rPr>
          <w:sz w:val="20"/>
          <w:szCs w:val="20"/>
          <w:color w:val="auto"/>
        </w:rPr>
      </w:pPr>
      <w:r>
        <w:rPr>
          <w:rFonts w:ascii="Courier New" w:cs="Courier New" w:eastAsia="Courier New" w:hAnsi="Courier New"/>
          <w:sz w:val="15"/>
          <w:szCs w:val="15"/>
          <w:color w:val="auto"/>
        </w:rPr>
        <w:t>5,196,027</w:t>
      </w:r>
    </w:p>
    <w:p>
      <w:pPr>
        <w:ind w:left="1380"/>
        <w:spacing w:after="0"/>
        <w:rPr>
          <w:sz w:val="20"/>
          <w:szCs w:val="20"/>
          <w:color w:val="auto"/>
        </w:rPr>
      </w:pPr>
      <w:r>
        <w:rPr>
          <w:rFonts w:ascii="Courier New" w:cs="Courier New" w:eastAsia="Courier New" w:hAnsi="Courier New"/>
          <w:sz w:val="15"/>
          <w:szCs w:val="15"/>
          <w:color w:val="auto"/>
        </w:rPr>
        <w:t>20,727,524</w:t>
      </w:r>
    </w:p>
    <w:p>
      <w:pPr>
        <w:ind w:left="3240"/>
        <w:spacing w:after="0" w:line="238" w:lineRule="auto"/>
        <w:rPr>
          <w:sz w:val="20"/>
          <w:szCs w:val="20"/>
          <w:color w:val="auto"/>
        </w:rPr>
      </w:pPr>
      <w:r>
        <w:rPr>
          <w:rFonts w:ascii="Courier New" w:cs="Courier New" w:eastAsia="Courier New" w:hAnsi="Courier New"/>
          <w:sz w:val="15"/>
          <w:szCs w:val="15"/>
          <w:color w:val="auto"/>
        </w:rPr>
        <w:t>10,998,602</w:t>
      </w:r>
    </w:p>
    <w:p>
      <w:pPr>
        <w:ind w:left="2440"/>
        <w:spacing w:after="0"/>
        <w:rPr>
          <w:sz w:val="20"/>
          <w:szCs w:val="20"/>
          <w:color w:val="auto"/>
        </w:rPr>
      </w:pPr>
      <w:r>
        <w:rPr>
          <w:rFonts w:ascii="Courier New" w:cs="Courier New" w:eastAsia="Courier New" w:hAnsi="Courier New"/>
          <w:sz w:val="15"/>
          <w:szCs w:val="15"/>
          <w:color w:val="auto"/>
        </w:rPr>
        <w:t>10,998,602</w:t>
      </w:r>
    </w:p>
    <w:p>
      <w:pPr>
        <w:ind w:left="3500"/>
        <w:spacing w:after="0"/>
        <w:rPr>
          <w:sz w:val="20"/>
          <w:szCs w:val="20"/>
          <w:color w:val="auto"/>
        </w:rPr>
      </w:pPr>
      <w:r>
        <w:rPr>
          <w:rFonts w:ascii="Courier New" w:cs="Courier New" w:eastAsia="Courier New" w:hAnsi="Courier New"/>
          <w:sz w:val="15"/>
          <w:szCs w:val="15"/>
          <w:color w:val="auto"/>
        </w:rPr>
        <w:t>6,564,234</w:t>
      </w:r>
    </w:p>
    <w:p>
      <w:pPr>
        <w:ind w:left="2800"/>
        <w:spacing w:after="0"/>
        <w:rPr>
          <w:sz w:val="20"/>
          <w:szCs w:val="20"/>
          <w:color w:val="auto"/>
        </w:rPr>
      </w:pPr>
      <w:r>
        <w:rPr>
          <w:rFonts w:ascii="Courier New" w:cs="Courier New" w:eastAsia="Courier New" w:hAnsi="Courier New"/>
          <w:sz w:val="15"/>
          <w:szCs w:val="15"/>
          <w:color w:val="auto"/>
        </w:rPr>
        <w:t>9,800,989</w:t>
      </w:r>
    </w:p>
    <w:p>
      <w:pPr>
        <w:ind w:left="2520"/>
        <w:spacing w:after="0" w:line="238" w:lineRule="auto"/>
        <w:rPr>
          <w:sz w:val="20"/>
          <w:szCs w:val="20"/>
          <w:color w:val="auto"/>
        </w:rPr>
      </w:pPr>
      <w:r>
        <w:rPr>
          <w:rFonts w:ascii="Courier New" w:cs="Courier New" w:eastAsia="Courier New" w:hAnsi="Courier New"/>
          <w:sz w:val="15"/>
          <w:szCs w:val="15"/>
          <w:color w:val="auto"/>
        </w:rPr>
        <w:t>(101,959)</w:t>
      </w:r>
    </w:p>
    <w:p>
      <w:pPr>
        <w:ind w:left="3240"/>
        <w:spacing w:after="0"/>
        <w:rPr>
          <w:sz w:val="20"/>
          <w:szCs w:val="20"/>
          <w:color w:val="auto"/>
        </w:rPr>
      </w:pPr>
      <w:r>
        <w:rPr>
          <w:rFonts w:ascii="Courier New" w:cs="Courier New" w:eastAsia="Courier New" w:hAnsi="Courier New"/>
          <w:sz w:val="15"/>
          <w:szCs w:val="15"/>
          <w:color w:val="auto"/>
        </w:rPr>
        <w:t>0</w:t>
      </w:r>
    </w:p>
    <w:p>
      <w:pPr>
        <w:ind w:left="2520"/>
        <w:spacing w:after="0"/>
        <w:rPr>
          <w:sz w:val="20"/>
          <w:szCs w:val="20"/>
          <w:color w:val="auto"/>
        </w:rPr>
      </w:pPr>
      <w:r>
        <w:rPr>
          <w:rFonts w:ascii="Courier New" w:cs="Courier New" w:eastAsia="Courier New" w:hAnsi="Courier New"/>
          <w:sz w:val="15"/>
          <w:szCs w:val="15"/>
          <w:color w:val="auto"/>
        </w:rPr>
        <w:t>525,340</w:t>
      </w:r>
    </w:p>
    <w:p>
      <w:pPr>
        <w:ind w:left="2800"/>
        <w:spacing w:after="0" w:line="238" w:lineRule="auto"/>
        <w:rPr>
          <w:sz w:val="20"/>
          <w:szCs w:val="20"/>
          <w:color w:val="auto"/>
        </w:rPr>
      </w:pPr>
      <w:r>
        <w:rPr>
          <w:rFonts w:ascii="Courier New" w:cs="Courier New" w:eastAsia="Courier New" w:hAnsi="Courier New"/>
          <w:sz w:val="15"/>
          <w:szCs w:val="15"/>
          <w:color w:val="auto"/>
        </w:rPr>
        <w:t>774,232</w:t>
      </w:r>
    </w:p>
    <w:p>
      <w:pPr>
        <w:ind w:left="3060"/>
        <w:spacing w:after="0"/>
        <w:rPr>
          <w:sz w:val="20"/>
          <w:szCs w:val="20"/>
          <w:color w:val="auto"/>
        </w:rPr>
      </w:pPr>
      <w:r>
        <w:rPr>
          <w:rFonts w:ascii="Courier New" w:cs="Courier New" w:eastAsia="Courier New" w:hAnsi="Courier New"/>
          <w:sz w:val="15"/>
          <w:szCs w:val="15"/>
          <w:color w:val="auto"/>
        </w:rPr>
        <w:t>486,700</w:t>
      </w:r>
    </w:p>
    <w:p>
      <w:pPr>
        <w:ind w:left="2440"/>
        <w:spacing w:after="0"/>
        <w:rPr>
          <w:sz w:val="20"/>
          <w:szCs w:val="20"/>
          <w:color w:val="auto"/>
        </w:rPr>
      </w:pPr>
      <w:r>
        <w:rPr>
          <w:rFonts w:ascii="Courier New" w:cs="Courier New" w:eastAsia="Courier New" w:hAnsi="Courier New"/>
          <w:sz w:val="15"/>
          <w:szCs w:val="15"/>
          <w:color w:val="auto"/>
        </w:rPr>
        <w:t>287,532</w:t>
      </w:r>
    </w:p>
    <w:p>
      <w:pPr>
        <w:ind w:left="2880"/>
        <w:spacing w:after="0" w:line="238" w:lineRule="auto"/>
        <w:rPr>
          <w:sz w:val="20"/>
          <w:szCs w:val="20"/>
          <w:color w:val="auto"/>
        </w:rPr>
      </w:pPr>
      <w:r>
        <w:rPr>
          <w:rFonts w:ascii="Courier New" w:cs="Courier New" w:eastAsia="Courier New" w:hAnsi="Courier New"/>
          <w:sz w:val="15"/>
          <w:szCs w:val="15"/>
          <w:color w:val="auto"/>
        </w:rPr>
        <w:t>263,301</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jc w:val="center"/>
        <w:ind w:right="3379"/>
        <w:spacing w:after="0"/>
        <w:rPr>
          <w:sz w:val="20"/>
          <w:szCs w:val="20"/>
          <w:color w:val="auto"/>
        </w:rPr>
      </w:pPr>
      <w:r>
        <w:rPr>
          <w:rFonts w:ascii="Courier New" w:cs="Courier New" w:eastAsia="Courier New" w:hAnsi="Courier New"/>
          <w:sz w:val="15"/>
          <w:szCs w:val="15"/>
          <w:color w:val="auto"/>
        </w:rPr>
        <w:t>24,231</w:t>
      </w:r>
    </w:p>
    <w:p>
      <w:pPr>
        <w:jc w:val="center"/>
        <w:ind w:right="3379"/>
        <w:spacing w:after="0" w:line="238" w:lineRule="auto"/>
        <w:rPr>
          <w:sz w:val="20"/>
          <w:szCs w:val="20"/>
          <w:color w:val="auto"/>
        </w:rPr>
      </w:pPr>
      <w:r>
        <w:rPr>
          <w:rFonts w:ascii="Courier New" w:cs="Courier New" w:eastAsia="Courier New" w:hAnsi="Courier New"/>
          <w:sz w:val="15"/>
          <w:szCs w:val="15"/>
          <w:color w:val="auto"/>
        </w:rPr>
        <w:t>0.05</w:t>
      </w:r>
    </w:p>
    <w:p>
      <w:pPr>
        <w:jc w:val="center"/>
        <w:ind w:right="3379"/>
        <w:spacing w:after="0"/>
        <w:rPr>
          <w:sz w:val="20"/>
          <w:szCs w:val="20"/>
          <w:color w:val="auto"/>
        </w:rPr>
      </w:pPr>
      <w:r>
        <w:rPr>
          <w:rFonts w:ascii="Courier New" w:cs="Courier New" w:eastAsia="Courier New" w:hAnsi="Courier New"/>
          <w:sz w:val="15"/>
          <w:szCs w:val="15"/>
          <w:color w:val="auto"/>
        </w:rPr>
        <w:t>0.04</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upperLetter"/>
      <w:start w:val="24"/>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lowerRoman"/>
      <w:start w:val="1"/>
    </w:lvl>
  </w:abstractNum>
  <w:abstractNum w:abstractNumId="10">
    <w:nsid w:val="70C6A529"/>
    <w:multiLevelType w:val="hybridMultilevel"/>
    <w:lvl w:ilvl="0">
      <w:lvlJc w:val="left"/>
      <w:lvlText w:val="(%1)"/>
      <w:numFmt w:val="decimal"/>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1"/>
    </w:lvl>
  </w:abstractNum>
  <w:abstractNum w:abstractNumId="13">
    <w:nsid w:val="4F4EF005"/>
    <w:multiLevelType w:val="hybridMultilevel"/>
    <w:lvl w:ilvl="0">
      <w:lvlJc w:val="left"/>
      <w:lvlText w:val="(%1)"/>
      <w:numFmt w:val="lowerLetter"/>
      <w:start w:val="1"/>
    </w:lvl>
  </w:abstractNum>
  <w:abstractNum w:abstractNumId="14">
    <w:nsid w:val="23F9C13C"/>
    <w:multiLevelType w:val="hybridMultilevel"/>
    <w:lvl w:ilvl="0">
      <w:lvlJc w:val="left"/>
      <w:lvlText w:val="%1."/>
      <w:numFmt w:val="decimal"/>
      <w:start w:val="18"/>
    </w:lvl>
  </w:abstractNum>
  <w:abstractNum w:abstractNumId="15">
    <w:nsid w:val="649BB77C"/>
    <w:multiLevelType w:val="hybridMultilevel"/>
    <w:lvl w:ilvl="0">
      <w:lvlJc w:val="left"/>
      <w:lvlText w:val="%1."/>
      <w:numFmt w:val="decimal"/>
      <w:start w:val="20"/>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lvl w:ilvl="1">
      <w:lvlJc w:val="left"/>
      <w:lvlText w:val="%2"/>
      <w:numFmt w:val="upperLetter"/>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1"/>
      <w:numFmt w:val="upperLetter"/>
      <w:start w:val="35"/>
    </w:lvl>
  </w:abstractNum>
  <w:abstractNum w:abstractNumId="23">
    <w:nsid w:val="15B5AF5C"/>
    <w:multiLevelType w:val="hybridMultilevel"/>
    <w:lvl w:ilvl="0">
      <w:lvlJc w:val="left"/>
      <w:lvlText w:val="(%1)"/>
      <w:numFmt w:val="upperLetter"/>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X"/>
      <w:numFmt w:val="bullet"/>
      <w:start w:val="1"/>
    </w:lvl>
  </w:abstractNum>
  <w:abstractNum w:abstractNumId="26">
    <w:nsid w:val="10233C99"/>
    <w:multiLevelType w:val="hybridMultilevel"/>
    <w:lvl w:ilvl="0">
      <w:lvlJc w:val="left"/>
      <w:lvlText w:val="X"/>
      <w:numFmt w:val="bullet"/>
      <w:start w:val="1"/>
    </w:lvl>
  </w:abstractNum>
  <w:abstractNum w:abstractNumId="27">
    <w:nsid w:val="3F6AB60F"/>
    <w:multiLevelType w:val="hybridMultilevel"/>
    <w:lvl w:ilvl="0">
      <w:lvlJc w:val="left"/>
      <w:lvlText w:val="(%1)"/>
      <w:numFmt w:val="lowerLetter"/>
      <w:start w:val="1"/>
    </w:lvl>
    <w:lvl w:ilvl="1">
      <w:lvlJc w:val="left"/>
      <w:lvlText w:val="(%2)"/>
      <w:numFmt w:val="lowerRoman"/>
      <w:start w:val="1"/>
    </w:lvl>
  </w:abstractNum>
  <w:abstractNum w:abstractNumId="28">
    <w:nsid w:val="61574095"/>
    <w:multiLevelType w:val="hybridMultilevel"/>
    <w:lvl w:ilvl="0">
      <w:lvlJc w:val="left"/>
      <w:lvlText w:val="(%1)"/>
      <w:numFmt w:val="lowerLetter"/>
      <w:start w:val="3"/>
    </w:lvl>
  </w:abstractNum>
  <w:abstractNum w:abstractNumId="29">
    <w:nsid w:val="7E0C57B1"/>
    <w:multiLevelType w:val="hybridMultilevel"/>
    <w:lvl w:ilvl="0">
      <w:lvlJc w:val="left"/>
      <w:lvlText w:val="(%1)"/>
      <w:numFmt w:val="lowerRoman"/>
      <w:start w:val="1"/>
    </w:lvl>
  </w:abstractNum>
  <w:abstractNum w:abstractNumId="30">
    <w:nsid w:val="77AE35EB"/>
    <w:multiLevelType w:val="hybridMultilevel"/>
    <w:lvl w:ilvl="0">
      <w:lvlJc w:val="left"/>
      <w:lvlText w:val="(%1)"/>
      <w:numFmt w:val="lowerRoman"/>
      <w:start w:val="5"/>
    </w:lvl>
  </w:abstractNum>
  <w:abstractNum w:abstractNumId="31">
    <w:nsid w:val="579BE4F1"/>
    <w:multiLevelType w:val="hybridMultilevel"/>
    <w:lvl w:ilvl="0">
      <w:lvlJc w:val="left"/>
      <w:lvlText w:val="(%1)"/>
      <w:numFmt w:val="lowerRoman"/>
      <w:start w:val="7"/>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1)"/>
      <w:numFmt w:val="lowerLetter"/>
      <w:start w:val="2"/>
    </w:lvl>
    <w:lvl w:ilvl="1">
      <w:lvlJc w:val="left"/>
      <w:lvlText w:val="(%2)"/>
      <w:numFmt w:val="lowerRoman"/>
      <w:start w:val="1"/>
    </w:lvl>
  </w:abstractNum>
  <w:abstractNum w:abstractNumId="34">
    <w:nsid w:val="2F305DEF"/>
    <w:multiLevelType w:val="hybridMultilevel"/>
    <w:lvl w:ilvl="0">
      <w:lvlJc w:val="left"/>
      <w:lvlText w:val="(%1)"/>
      <w:numFmt w:val="lowerLetter"/>
      <w:start w:val="3"/>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lowerLetter"/>
      <w:start w:val="2"/>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lvl w:ilvl="1">
      <w:lvlJc w:val="left"/>
      <w:lvlText w:val="(%2)"/>
      <w:numFmt w:val="lowerLetter"/>
      <w:start w:val="9"/>
    </w:lvl>
  </w:abstractNum>
  <w:abstractNum w:abstractNumId="41">
    <w:nsid w:val="100F8FCA"/>
    <w:multiLevelType w:val="hybridMultilevel"/>
    <w:lvl w:ilvl="0">
      <w:lvlJc w:val="left"/>
      <w:lvlText w:val="(%1)"/>
      <w:numFmt w:val="lowerRoman"/>
      <w:start w:val="2"/>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Roman"/>
      <w:start w:val="1"/>
    </w:lvl>
  </w:abstractNum>
  <w:abstractNum w:abstractNumId="44">
    <w:nsid w:val="5F5E7FD0"/>
    <w:multiLevelType w:val="hybridMultilevel"/>
    <w:lvl w:ilvl="0">
      <w:lvlJc w:val="left"/>
      <w:lvlText w:val="(%1)"/>
      <w:numFmt w:val="lowerLetter"/>
      <w:start w:val="3"/>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decimal"/>
      <w:start w:val="1"/>
    </w:lvl>
  </w:abstractNum>
  <w:abstractNum w:abstractNumId="47">
    <w:nsid w:val="6B94764"/>
    <w:multiLevelType w:val="hybridMultilevel"/>
    <w:lvl w:ilvl="0">
      <w:lvlJc w:val="left"/>
      <w:lvlText w:val="(%1)"/>
      <w:numFmt w:val="lowerLetter"/>
      <w:start w:val="2"/>
    </w:lvl>
  </w:abstractNum>
  <w:abstractNum w:abstractNumId="48">
    <w:nsid w:val="42C296BD"/>
    <w:multiLevelType w:val="hybridMultilevel"/>
    <w:lvl w:ilvl="0">
      <w:lvlJc w:val="left"/>
      <w:lvlText w:val="%1."/>
      <w:numFmt w:val="decimal"/>
      <w:start w:val="5"/>
    </w:lvl>
  </w:abstractNum>
  <w:abstractNum w:abstractNumId="49">
    <w:nsid w:val="168E121F"/>
    <w:multiLevelType w:val="hybridMultilevel"/>
    <w:lvl w:ilvl="0">
      <w:lvlJc w:val="left"/>
      <w:lvlText w:val="(%1)"/>
      <w:numFmt w:val="lowerLetter"/>
      <w:start w:val="2"/>
    </w:lvl>
  </w:abstractNum>
  <w:abstractNum w:abstractNumId="50">
    <w:nsid w:val="1EBA5D23"/>
    <w:multiLevelType w:val="hybridMultilevel"/>
    <w:lvl w:ilvl="0">
      <w:lvlJc w:val="left"/>
      <w:lvlText w:val="%1."/>
      <w:numFmt w:val="decimal"/>
      <w:start w:val="8"/>
    </w:lvl>
  </w:abstractNum>
  <w:abstractNum w:abstractNumId="51">
    <w:nsid w:val="661E3F1E"/>
    <w:multiLevelType w:val="hybridMultilevel"/>
    <w:lvl w:ilvl="0">
      <w:lvlJc w:val="left"/>
      <w:lvlText w:val="(%1)"/>
      <w:numFmt w:val="lowerLetter"/>
      <w:start w:val="2"/>
    </w:lvl>
  </w:abstractNum>
  <w:abstractNum w:abstractNumId="52">
    <w:nsid w:val="5DC79EA8"/>
    <w:multiLevelType w:val="hybridMultilevel"/>
    <w:lvl w:ilvl="0">
      <w:lvlJc w:val="left"/>
      <w:lvlText w:val="%1."/>
      <w:numFmt w:val="decimal"/>
      <w:start w:val="9"/>
    </w:lvl>
  </w:abstractNum>
  <w:abstractNum w:abstractNumId="53">
    <w:nsid w:val="540A471C"/>
    <w:multiLevelType w:val="hybridMultilevel"/>
    <w:lvl w:ilvl="0">
      <w:lvlJc w:val="left"/>
      <w:lvlText w:val="(%1)"/>
      <w:numFmt w:val="lowerLetter"/>
      <w:start w:val="2"/>
    </w:lvl>
  </w:abstractNum>
  <w:abstractNum w:abstractNumId="54">
    <w:nsid w:val="7BD3EE7B"/>
    <w:multiLevelType w:val="hybridMultilevel"/>
    <w:lvl w:ilvl="0">
      <w:lvlJc w:val="left"/>
      <w:lvlText w:val="%1."/>
      <w:numFmt w:val="decimal"/>
      <w:start w:val="10"/>
    </w:lvl>
  </w:abstractNum>
  <w:abstractNum w:abstractNumId="55">
    <w:nsid w:val="51D9C564"/>
    <w:multiLevelType w:val="hybridMultilevel"/>
    <w:lvl w:ilvl="0">
      <w:lvlJc w:val="left"/>
      <w:lvlText w:val="(%1)"/>
      <w:numFmt w:val="lowerRoman"/>
      <w:start w:val="1"/>
    </w:lvl>
  </w:abstractNum>
  <w:abstractNum w:abstractNumId="56">
    <w:nsid w:val="613EFDC5"/>
    <w:multiLevelType w:val="hybridMultilevel"/>
    <w:lvl w:ilvl="0">
      <w:lvlJc w:val="left"/>
      <w:lvlText w:val="%1"/>
      <w:numFmt w:val="decimal"/>
      <w:start w:val="1"/>
    </w:lvl>
    <w:lvl w:ilvl="1">
      <w:lvlJc w:val="left"/>
      <w:lvlText w:val="(%2)"/>
      <w:numFmt w:val="lowerRoman"/>
      <w:start w:val="4"/>
    </w:lvl>
  </w:abstractNum>
  <w:abstractNum w:abstractNumId="57">
    <w:nsid w:val="BF72B14"/>
    <w:multiLevelType w:val="hybridMultilevel"/>
    <w:lvl w:ilvl="0">
      <w:lvlJc w:val="left"/>
      <w:lvlText w:val="%1."/>
      <w:numFmt w:val="decimal"/>
      <w:start w:val="12"/>
    </w:lvl>
    <w:lvl w:ilvl="1">
      <w:lvlJc w:val="left"/>
      <w:lvlText w:val="%2"/>
      <w:numFmt w:val="lowerRoman"/>
      <w:start w:val="1"/>
    </w:lvl>
  </w:abstractNum>
  <w:abstractNum w:abstractNumId="58">
    <w:nsid w:val="11447B73"/>
    <w:multiLevelType w:val="hybridMultilevel"/>
    <w:lvl w:ilvl="0">
      <w:lvlJc w:val="left"/>
      <w:lvlText w:val="%1."/>
      <w:numFmt w:val="decimal"/>
      <w:start w:val="1"/>
    </w:lvl>
  </w:abstractNum>
  <w:abstractNum w:abstractNumId="59">
    <w:nsid w:val="42963E5A"/>
    <w:multiLevelType w:val="hybridMultilevel"/>
    <w:lvl w:ilvl="0">
      <w:lvlJc w:val="left"/>
      <w:lvlText w:val="%1."/>
      <w:numFmt w:val="decimal"/>
      <w:start w:val="2"/>
    </w:lvl>
  </w:abstractNum>
  <w:abstractNum w:abstractNumId="60">
    <w:nsid w:val="A0382C5"/>
    <w:multiLevelType w:val="hybridMultilevel"/>
    <w:lvl w:ilvl="0">
      <w:lvlJc w:val="left"/>
      <w:lvlText w:val="%1."/>
      <w:numFmt w:val="decimal"/>
      <w:start w:val="3"/>
    </w:lvl>
  </w:abstractNum>
  <w:abstractNum w:abstractNumId="61">
    <w:nsid w:val="8F2B15E"/>
    <w:multiLevelType w:val="hybridMultilevel"/>
    <w:lvl w:ilvl="0">
      <w:lvlJc w:val="left"/>
      <w:lvlText w:val="(%1)"/>
      <w:numFmt w:val="lowerLetter"/>
      <w:start w:val="1"/>
    </w:lvl>
  </w:abstractNum>
  <w:abstractNum w:abstractNumId="62">
    <w:nsid w:val="1A32234B"/>
    <w:multiLevelType w:val="hybridMultilevel"/>
    <w:lvl w:ilvl="0">
      <w:lvlJc w:val="left"/>
      <w:lvlText w:val="%1."/>
      <w:numFmt w:val="decimal"/>
      <w:start w:val="4"/>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2"/>
    </w:lvl>
    <w:lvl w:ilvl="1">
      <w:lvlJc w:val="left"/>
      <w:lvlText w:val="(%2)"/>
      <w:numFmt w:val="lowerLetter"/>
      <w:start w:val="61"/>
    </w:lvl>
  </w:abstractNum>
  <w:abstractNum w:abstractNumId="65">
    <w:nsid w:val="4962813B"/>
    <w:multiLevelType w:val="hybridMultilevel"/>
    <w:lvl w:ilvl="0">
      <w:lvlJc w:val="left"/>
      <w:lvlText w:val="%1."/>
      <w:numFmt w:val="decimal"/>
      <w:start w:val="5"/>
    </w:lvl>
  </w:abstractNum>
  <w:abstractNum w:abstractNumId="66">
    <w:nsid w:val="60B6DF70"/>
    <w:multiLevelType w:val="hybridMultilevel"/>
    <w:lvl w:ilvl="0">
      <w:lvlJc w:val="left"/>
      <w:lvlText w:val="(%1)"/>
      <w:numFmt w:val="lowerLetter"/>
      <w:start w:val="1"/>
    </w:lvl>
  </w:abstractNum>
  <w:abstractNum w:abstractNumId="67">
    <w:nsid w:val="6A5EE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8">
    <w:nsid w:val="1433062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9">
    <w:nsid w:val="7FFFCA11"/>
    <w:multiLevelType w:val="hybridMultilevel"/>
    <w:lvl w:ilvl="0">
      <w:lvlJc w:val="left"/>
      <w:lvlText w:val="%1."/>
      <w:numFmt w:val="decimal"/>
      <w:start w:val="6"/>
    </w:lvl>
  </w:abstractNum>
  <w:abstractNum w:abstractNumId="70">
    <w:nsid w:val="1A27709E"/>
    <w:multiLevelType w:val="hybridMultilevel"/>
    <w:lvl w:ilvl="0">
      <w:lvlJc w:val="left"/>
      <w:lvlText w:val="(%1)"/>
      <w:numFmt w:val="lowerLetter"/>
      <w:start w:val="1"/>
    </w:lvl>
    <w:lvl w:ilvl="1">
      <w:lvlJc w:val="left"/>
      <w:lvlText w:val="(%2)"/>
      <w:numFmt w:val="lowerRoman"/>
      <w:start w:val="1"/>
    </w:lvl>
  </w:abstractNum>
  <w:abstractNum w:abstractNumId="71">
    <w:nsid w:val="71EA1109"/>
    <w:multiLevelType w:val="hybridMultilevel"/>
    <w:lvl w:ilvl="0">
      <w:lvlJc w:val="left"/>
      <w:lvlText w:val="(%1)"/>
      <w:numFmt w:val="lowerRoman"/>
      <w:start w:val="2"/>
    </w:lvl>
    <w:lvl w:ilvl="1">
      <w:lvlJc w:val="left"/>
      <w:lvlText w:val="(%2)"/>
      <w:numFmt w:val="decimal"/>
      <w:start w:val="30"/>
    </w:lvl>
  </w:abstractNum>
  <w:abstractNum w:abstractNumId="72">
    <w:nsid w:val="100F59DC"/>
    <w:multiLevelType w:val="hybridMultilevel"/>
    <w:lvl w:ilvl="0">
      <w:lvlJc w:val="left"/>
      <w:lvlText w:val="(%1)"/>
      <w:numFmt w:val="lowerLetter"/>
      <w:start w:val="2"/>
    </w:lvl>
    <w:lvl w:ilvl="1">
      <w:lvlJc w:val="left"/>
      <w:lvlText w:val="(%2)"/>
      <w:numFmt w:val="lowerRoman"/>
      <w:start w:val="1"/>
    </w:lvl>
  </w:abstractNum>
  <w:abstractNum w:abstractNumId="73">
    <w:nsid w:val="7FB7E0AA"/>
    <w:multiLevelType w:val="hybridMultilevel"/>
    <w:lvl w:ilvl="0">
      <w:lvlJc w:val="left"/>
      <w:lvlText w:val="(%1)"/>
      <w:numFmt w:val="lowerLetter"/>
      <w:start w:val="3"/>
    </w:lvl>
    <w:lvl w:ilvl="1">
      <w:lvlJc w:val="left"/>
      <w:lvlText w:val="(%2)"/>
      <w:numFmt w:val="lowerRoman"/>
      <w:start w:val="1"/>
    </w:lvl>
  </w:abstractNum>
  <w:abstractNum w:abstractNumId="74">
    <w:nsid w:val="6EB5BD4"/>
    <w:multiLevelType w:val="hybridMultilevel"/>
    <w:lvl w:ilvl="0">
      <w:lvlJc w:val="left"/>
      <w:lvlText w:val="%1"/>
      <w:numFmt w:val="lowerLetter"/>
      <w:start w:val="1"/>
    </w:lvl>
    <w:lvl w:ilvl="1">
      <w:lvlJc w:val="left"/>
      <w:lvlText w:val="(%2)"/>
      <w:numFmt w:val="lowerLetter"/>
      <w:start w:val="35"/>
    </w:lvl>
  </w:abstractNum>
  <w:abstractNum w:abstractNumId="75">
    <w:nsid w:val="6F6DD9AC"/>
    <w:multiLevelType w:val="hybridMultilevel"/>
    <w:lvl w:ilvl="0">
      <w:lvlJc w:val="left"/>
      <w:lvlText w:val="(%1)"/>
      <w:numFmt w:val="lowerLetter"/>
      <w:start w:val="4"/>
    </w:lvl>
    <w:lvl w:ilvl="1">
      <w:lvlJc w:val="left"/>
      <w:lvlText w:val="(%2)"/>
      <w:numFmt w:val="lowerLetter"/>
      <w:start w:val="9"/>
    </w:lvl>
  </w:abstractNum>
  <w:abstractNum w:abstractNumId="76">
    <w:nsid w:val="94211F2"/>
    <w:multiLevelType w:val="hybridMultilevel"/>
    <w:lvl w:ilvl="0">
      <w:lvlJc w:val="left"/>
      <w:lvlText w:val="%1"/>
      <w:numFmt w:val="lowerLetter"/>
      <w:start w:val="1"/>
    </w:lvl>
    <w:lvl w:ilvl="1">
      <w:lvlJc w:val="left"/>
      <w:lvlText w:val="(%2)"/>
      <w:numFmt w:val="lowerLetter"/>
      <w:start w:val="35"/>
    </w:lvl>
  </w:abstractNum>
  <w:abstractNum w:abstractNumId="77">
    <w:nsid w:val="885E1B"/>
    <w:multiLevelType w:val="hybridMultilevel"/>
    <w:lvl w:ilvl="0">
      <w:lvlJc w:val="left"/>
      <w:lvlText w:val="(%1)"/>
      <w:numFmt w:val="lowerLetter"/>
      <w:start w:val="5"/>
    </w:lvl>
    <w:lvl w:ilvl="1">
      <w:lvlJc w:val="left"/>
      <w:lvlText w:val="(%2)"/>
      <w:numFmt w:val="lowerLetter"/>
      <w:start w:val="9"/>
    </w:lvl>
  </w:abstractNum>
  <w:abstractNum w:abstractNumId="78">
    <w:nsid w:val="76272110"/>
    <w:multiLevelType w:val="hybridMultilevel"/>
    <w:lvl w:ilvl="0">
      <w:lvlJc w:val="left"/>
      <w:lvlText w:val="(%1)"/>
      <w:numFmt w:val="lowerRoman"/>
      <w:start w:val="2"/>
    </w:lvl>
  </w:abstractNum>
  <w:abstractNum w:abstractNumId="79">
    <w:nsid w:val="4C04A8AF"/>
    <w:multiLevelType w:val="hybridMultilevel"/>
    <w:lvl w:ilvl="0">
      <w:lvlJc w:val="left"/>
      <w:lvlText w:val="%1"/>
      <w:numFmt w:val="lowerLetter"/>
      <w:start w:val="1"/>
    </w:lvl>
    <w:lvl w:ilvl="1">
      <w:lvlJc w:val="left"/>
      <w:lvlText w:val="(%2)"/>
      <w:numFmt w:val="lowerLetter"/>
      <w:start w:val="22"/>
    </w:lvl>
  </w:abstractNum>
  <w:abstractNum w:abstractNumId="80">
    <w:nsid w:val="1716703B"/>
    <w:multiLevelType w:val="hybridMultilevel"/>
    <w:lvl w:ilvl="0">
      <w:lvlJc w:val="left"/>
      <w:lvlText w:val="(%1)"/>
      <w:numFmt w:val="lowerLetter"/>
      <w:start w:val="6"/>
    </w:lvl>
    <w:lvl w:ilvl="1">
      <w:lvlJc w:val="left"/>
      <w:lvlText w:val="(%2)"/>
      <w:numFmt w:val="lowerLetter"/>
      <w:start w:val="9"/>
    </w:lvl>
  </w:abstractNum>
  <w:abstractNum w:abstractNumId="81">
    <w:nsid w:val="14E17E33"/>
    <w:multiLevelType w:val="hybridMultilevel"/>
    <w:lvl w:ilvl="0">
      <w:lvlJc w:val="left"/>
      <w:lvlText w:val="(%1)"/>
      <w:numFmt w:val="lowerRoman"/>
      <w:start w:val="2"/>
    </w:lvl>
  </w:abstractNum>
  <w:abstractNum w:abstractNumId="82">
    <w:nsid w:val="3222E7CD"/>
    <w:multiLevelType w:val="hybridMultilevel"/>
    <w:lvl w:ilvl="0">
      <w:lvlJc w:val="left"/>
      <w:lvlText w:val="%1."/>
      <w:numFmt w:val="decimal"/>
      <w:start w:val="7"/>
    </w:lvl>
  </w:abstractNum>
  <w:abstractNum w:abstractNumId="83">
    <w:nsid w:val="74DE0EE3"/>
    <w:multiLevelType w:val="hybridMultilevel"/>
    <w:lvl w:ilvl="0">
      <w:lvlJc w:val="left"/>
      <w:lvlText w:val="(%1)"/>
      <w:numFmt w:val="lowerLetter"/>
      <w:start w:val="1"/>
    </w:lvl>
    <w:lvl w:ilvl="1">
      <w:lvlJc w:val="left"/>
      <w:lvlText w:val="(%2)"/>
      <w:numFmt w:val="lowerRoman"/>
      <w:start w:val="1"/>
    </w:lvl>
  </w:abstractNum>
  <w:abstractNum w:abstractNumId="84">
    <w:nsid w:val="68EBC550"/>
    <w:multiLevelType w:val="hybridMultilevel"/>
    <w:lvl w:ilvl="0">
      <w:lvlJc w:val="left"/>
      <w:lvlText w:val="%1"/>
      <w:numFmt w:val="lowerLetter"/>
      <w:start w:val="1"/>
    </w:lvl>
    <w:lvl w:ilvl="1">
      <w:lvlJc w:val="left"/>
      <w:lvlText w:val="(%2)"/>
      <w:numFmt w:val="lowerRoman"/>
      <w:start w:val="5"/>
    </w:lvl>
    <w:lvl w:ilvl="2">
      <w:lvlJc w:val="left"/>
      <w:lvlText w:val="%3"/>
      <w:numFmt w:val="decimal"/>
      <w:start w:val="1"/>
    </w:lvl>
  </w:abstractNum>
  <w:abstractNum w:abstractNumId="85">
    <w:nsid w:val="2DF6D64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5"/>
    </w:lvl>
  </w:abstractNum>
  <w:abstractNum w:abstractNumId="86">
    <w:nsid w:val="46B7D447"/>
    <w:multiLevelType w:val="hybridMultilevel"/>
    <w:lvl w:ilvl="0">
      <w:lvlJc w:val="left"/>
      <w:lvlText w:val="(%1)"/>
      <w:numFmt w:val="lowerLetter"/>
      <w:start w:val="3"/>
    </w:lvl>
    <w:lvl w:ilvl="1">
      <w:lvlJc w:val="left"/>
      <w:lvlText w:val="(%2)"/>
      <w:numFmt w:val="lowerRoman"/>
      <w:start w:val="1"/>
    </w:lvl>
  </w:abstractNum>
  <w:abstractNum w:abstractNumId="87">
    <w:nsid w:val="4A2AC315"/>
    <w:multiLevelType w:val="hybridMultilevel"/>
    <w:lvl w:ilvl="0">
      <w:lvlJc w:val="left"/>
      <w:lvlText w:val="%1."/>
      <w:numFmt w:val="decimal"/>
      <w:start w:val="8"/>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4"/>
    </w:lvl>
    <w:lvl w:ilvl="1">
      <w:lvlJc w:val="left"/>
      <w:lvlText w:val="(%2)"/>
      <w:numFmt w:val="lowerLetter"/>
      <w:start w:val="35"/>
    </w:lvl>
  </w:abstractNum>
  <w:abstractNum w:abstractNumId="90">
    <w:nsid w:val="CC1016F"/>
    <w:multiLevelType w:val="hybridMultilevel"/>
    <w:lvl w:ilvl="0">
      <w:lvlJc w:val="left"/>
      <w:lvlText w:val="%1."/>
      <w:numFmt w:val="decimal"/>
      <w:start w:val="9"/>
    </w:lvl>
  </w:abstractNum>
  <w:abstractNum w:abstractNumId="91">
    <w:nsid w:val="43F18422"/>
    <w:multiLevelType w:val="hybridMultilevel"/>
    <w:lvl w:ilvl="0">
      <w:lvlJc w:val="left"/>
      <w:lvlText w:val="(%1)"/>
      <w:numFmt w:val="lowerLetter"/>
      <w:start w:val="1"/>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J.%1."/>
      <w:numFmt w:val="upp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2019-12-12T06:17:50Z</dcterms:created>
  <dcterms:modified xsi:type="dcterms:W3CDTF">2019-12-12T06:17:50Z</dcterms:modified>
</cp:coreProperties>
</file>