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September 28, 2012</w:t>
      </w:r>
    </w:p>
    <w:p>
      <w:pPr>
        <w:spacing w:after="0" w:line="21" w:lineRule="exact"/>
        <w:rPr>
          <w:sz w:val="24"/>
          <w:szCs w:val="24"/>
          <w:color w:val="auto"/>
        </w:rPr>
      </w:pPr>
    </w:p>
    <w:p>
      <w:pPr>
        <w:ind w:left="930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175895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WASTE MANAGEMENT,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tbl>
      <w:tblPr>
        <w:tblLayout w:type="fixed"/>
        <w:tblInd w:w="2020" w:type="dxa"/>
        <w:tblCellMar>
          <w:top w:w="0" w:type="dxa"/>
          <w:left w:w="0" w:type="dxa"/>
          <w:bottom w:w="0" w:type="dxa"/>
          <w:right w:w="0" w:type="dxa"/>
        </w:tblCellMar>
      </w:tblPr>
      <w:tr>
        <w:trPr>
          <w:trHeight w:val="218"/>
        </w:trPr>
        <w:tc>
          <w:tcPr>
            <w:tcW w:w="3860" w:type="dxa"/>
            <w:vAlign w:val="bottom"/>
          </w:tcPr>
          <w:p>
            <w:pPr>
              <w:jc w:val="center"/>
              <w:ind w:right="2046"/>
              <w:spacing w:after="0"/>
              <w:rPr>
                <w:sz w:val="20"/>
                <w:szCs w:val="20"/>
                <w:color w:val="auto"/>
              </w:rPr>
            </w:pPr>
            <w:r>
              <w:rPr>
                <w:rFonts w:ascii="Arial" w:cs="Arial" w:eastAsia="Arial" w:hAnsi="Arial"/>
                <w:sz w:val="18"/>
                <w:szCs w:val="18"/>
                <w:b w:val="1"/>
                <w:bCs w:val="1"/>
                <w:color w:val="auto"/>
                <w:w w:val="88"/>
              </w:rPr>
              <w:t>Delaware</w:t>
            </w:r>
          </w:p>
        </w:tc>
        <w:tc>
          <w:tcPr>
            <w:tcW w:w="3440" w:type="dxa"/>
            <w:vAlign w:val="bottom"/>
          </w:tcPr>
          <w:p>
            <w:pPr>
              <w:jc w:val="center"/>
              <w:ind w:left="2026"/>
              <w:spacing w:after="0"/>
              <w:rPr>
                <w:sz w:val="20"/>
                <w:szCs w:val="20"/>
                <w:color w:val="auto"/>
              </w:rPr>
            </w:pPr>
            <w:r>
              <w:rPr>
                <w:rFonts w:ascii="Arial" w:cs="Arial" w:eastAsia="Arial" w:hAnsi="Arial"/>
                <w:sz w:val="18"/>
                <w:szCs w:val="18"/>
                <w:b w:val="1"/>
                <w:bCs w:val="1"/>
                <w:color w:val="auto"/>
                <w:w w:val="89"/>
              </w:rPr>
              <w:t>73-1309529</w:t>
            </w:r>
          </w:p>
        </w:tc>
      </w:tr>
      <w:tr>
        <w:trPr>
          <w:trHeight w:val="149"/>
        </w:trPr>
        <w:tc>
          <w:tcPr>
            <w:tcW w:w="3860" w:type="dxa"/>
            <w:vAlign w:val="bottom"/>
          </w:tcPr>
          <w:p>
            <w:pPr>
              <w:jc w:val="center"/>
              <w:ind w:right="2046"/>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3440" w:type="dxa"/>
            <w:vAlign w:val="bottom"/>
          </w:tcPr>
          <w:p>
            <w:pPr>
              <w:jc w:val="center"/>
              <w:ind w:left="202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3860" w:type="dxa"/>
            <w:vAlign w:val="bottom"/>
          </w:tcPr>
          <w:p>
            <w:pPr>
              <w:jc w:val="center"/>
              <w:ind w:right="2026"/>
              <w:spacing w:after="0"/>
              <w:rPr>
                <w:sz w:val="20"/>
                <w:szCs w:val="20"/>
                <w:color w:val="auto"/>
              </w:rPr>
            </w:pPr>
            <w:r>
              <w:rPr>
                <w:rFonts w:ascii="Arial" w:cs="Arial" w:eastAsia="Arial" w:hAnsi="Arial"/>
                <w:sz w:val="14"/>
                <w:szCs w:val="14"/>
                <w:b w:val="1"/>
                <w:bCs w:val="1"/>
                <w:color w:val="auto"/>
                <w:w w:val="88"/>
              </w:rPr>
              <w:t>incorporation or organization)</w:t>
            </w:r>
          </w:p>
        </w:tc>
        <w:tc>
          <w:tcPr>
            <w:tcW w:w="3440" w:type="dxa"/>
            <w:vAlign w:val="bottom"/>
          </w:tcPr>
          <w:p>
            <w:pPr>
              <w:jc w:val="center"/>
              <w:ind w:left="2026"/>
              <w:spacing w:after="0"/>
              <w:rPr>
                <w:sz w:val="20"/>
                <w:szCs w:val="20"/>
                <w:color w:val="auto"/>
              </w:rPr>
            </w:pPr>
            <w:r>
              <w:rPr>
                <w:rFonts w:ascii="Arial" w:cs="Arial" w:eastAsia="Arial" w:hAnsi="Arial"/>
                <w:sz w:val="14"/>
                <w:szCs w:val="14"/>
                <w:b w:val="1"/>
                <w:bCs w:val="1"/>
                <w:color w:val="auto"/>
                <w:w w:val="90"/>
              </w:rPr>
              <w:t>Identification Number)</w:t>
            </w:r>
          </w:p>
        </w:tc>
      </w:tr>
    </w:tbl>
    <w:p>
      <w:pPr>
        <w:spacing w:after="0" w:line="1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1001 Fannin Street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Suite 4000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512-6200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WASTE MANAGEMENT RETIREMENT SAVINGS PLAN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WASTE MANAGEMENT RETIREMENT SAVINGS PLAN FOR BARGAINING UNIT EMPLOYEES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titles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Rick L Wittenbraker</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1001 Fannin Street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Suite 4000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512-6200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ind w:right="26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5140" w:type="dxa"/>
            <w:vAlign w:val="bottom"/>
            <w:gridSpan w:val="2"/>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4120" w:type="dxa"/>
            <w:vAlign w:val="bottom"/>
          </w:tcPr>
          <w:p>
            <w:pPr>
              <w:ind w:left="196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5140" w:type="dxa"/>
            <w:vAlign w:val="bottom"/>
            <w:gridSpan w:val="2"/>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4120" w:type="dxa"/>
            <w:vAlign w:val="bottom"/>
          </w:tcPr>
          <w:p>
            <w:pPr>
              <w:ind w:left="196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9"/>
        </w:trPr>
        <w:tc>
          <w:tcPr>
            <w:tcW w:w="17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412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ectPr>
          <w:pgSz w:w="11900" w:h="16838" w:orient="portrait"/>
          <w:cols w:equalWidth="0" w:num="1">
            <w:col w:w="11420"/>
          </w:cols>
          <w:pgMar w:left="240" w:top="233"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0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r>
      <w:tr>
        <w:trPr>
          <w:trHeight w:val="116"/>
        </w:trPr>
        <w:tc>
          <w:tcPr>
            <w:tcW w:w="20" w:type="dxa"/>
            <w:vAlign w:val="bottom"/>
          </w:tcPr>
          <w:p>
            <w:pPr>
              <w:spacing w:after="0"/>
              <w:rPr>
                <w:sz w:val="10"/>
                <w:szCs w:val="10"/>
                <w:color w:val="auto"/>
              </w:rPr>
            </w:pPr>
          </w:p>
        </w:tc>
        <w:tc>
          <w:tcPr>
            <w:tcW w:w="504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jc w:val="center"/>
              <w:ind w:left="9"/>
              <w:spacing w:after="0" w:line="117" w:lineRule="exact"/>
              <w:rPr>
                <w:sz w:val="20"/>
                <w:szCs w:val="20"/>
                <w:color w:val="auto"/>
              </w:rPr>
            </w:pPr>
            <w:r>
              <w:rPr>
                <w:rFonts w:ascii="Arial" w:cs="Arial" w:eastAsia="Arial" w:hAnsi="Arial"/>
                <w:sz w:val="12"/>
                <w:szCs w:val="12"/>
                <w:b w:val="1"/>
                <w:bCs w:val="1"/>
                <w:color w:val="auto"/>
              </w:rPr>
              <w:t>Proposed maximum</w:t>
            </w:r>
          </w:p>
        </w:tc>
        <w:tc>
          <w:tcPr>
            <w:tcW w:w="1600" w:type="dxa"/>
            <w:vAlign w:val="bottom"/>
            <w:tcBorders>
              <w:right w:val="single" w:sz="8" w:color="auto"/>
            </w:tcBorders>
          </w:tcPr>
          <w:p>
            <w:pPr>
              <w:jc w:val="center"/>
              <w:ind w:left="9"/>
              <w:spacing w:after="0" w:line="117" w:lineRule="exact"/>
              <w:rPr>
                <w:sz w:val="20"/>
                <w:szCs w:val="20"/>
                <w:color w:val="auto"/>
              </w:rPr>
            </w:pPr>
            <w:r>
              <w:rPr>
                <w:rFonts w:ascii="Arial" w:cs="Arial" w:eastAsia="Arial" w:hAnsi="Arial"/>
                <w:sz w:val="12"/>
                <w:szCs w:val="12"/>
                <w:b w:val="1"/>
                <w:bCs w:val="1"/>
                <w:color w:val="auto"/>
              </w:rPr>
              <w:t>Proposed maximum</w:t>
            </w:r>
          </w:p>
        </w:tc>
        <w:tc>
          <w:tcPr>
            <w:tcW w:w="156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tcPr>
          <w:p>
            <w:pPr>
              <w:jc w:val="right"/>
              <w:ind w:right="1966"/>
              <w:spacing w:after="0" w:line="149" w:lineRule="exact"/>
              <w:rPr>
                <w:sz w:val="20"/>
                <w:szCs w:val="20"/>
                <w:color w:val="auto"/>
              </w:rPr>
            </w:pPr>
            <w:r>
              <w:rPr>
                <w:rFonts w:ascii="Arial" w:cs="Arial" w:eastAsia="Arial" w:hAnsi="Arial"/>
                <w:sz w:val="14"/>
                <w:szCs w:val="14"/>
                <w:b w:val="1"/>
                <w:bCs w:val="1"/>
                <w:color w:val="auto"/>
              </w:rPr>
              <w:t>Title of securities</w:t>
            </w:r>
          </w:p>
        </w:tc>
        <w:tc>
          <w:tcPr>
            <w:tcW w:w="1600" w:type="dxa"/>
            <w:vAlign w:val="bottom"/>
            <w:tcBorders>
              <w:right w:val="single" w:sz="8" w:color="auto"/>
            </w:tcBorders>
          </w:tcPr>
          <w:p>
            <w:pPr>
              <w:jc w:val="center"/>
              <w:ind w:left="6"/>
              <w:spacing w:after="0" w:line="149" w:lineRule="exact"/>
              <w:rPr>
                <w:sz w:val="20"/>
                <w:szCs w:val="20"/>
                <w:color w:val="auto"/>
              </w:rPr>
            </w:pPr>
            <w:r>
              <w:rPr>
                <w:rFonts w:ascii="Arial" w:cs="Arial" w:eastAsia="Arial" w:hAnsi="Arial"/>
                <w:sz w:val="14"/>
                <w:szCs w:val="14"/>
                <w:b w:val="1"/>
                <w:bCs w:val="1"/>
                <w:color w:val="auto"/>
                <w:w w:val="88"/>
              </w:rPr>
              <w:t>Amount to be</w:t>
            </w:r>
          </w:p>
        </w:tc>
        <w:tc>
          <w:tcPr>
            <w:tcW w:w="1600" w:type="dxa"/>
            <w:vAlign w:val="bottom"/>
            <w:tcBorders>
              <w:right w:val="single" w:sz="8" w:color="auto"/>
            </w:tcBorders>
          </w:tcPr>
          <w:p>
            <w:pPr>
              <w:jc w:val="center"/>
              <w:ind w:left="9"/>
              <w:spacing w:after="0" w:line="149" w:lineRule="exact"/>
              <w:rPr>
                <w:sz w:val="20"/>
                <w:szCs w:val="20"/>
                <w:color w:val="auto"/>
              </w:rPr>
            </w:pPr>
            <w:r>
              <w:rPr>
                <w:rFonts w:ascii="Arial" w:cs="Arial" w:eastAsia="Arial" w:hAnsi="Arial"/>
                <w:sz w:val="14"/>
                <w:szCs w:val="14"/>
                <w:b w:val="1"/>
                <w:bCs w:val="1"/>
                <w:color w:val="auto"/>
                <w:w w:val="86"/>
              </w:rPr>
              <w:t>offering price per</w:t>
            </w:r>
          </w:p>
        </w:tc>
        <w:tc>
          <w:tcPr>
            <w:tcW w:w="1600" w:type="dxa"/>
            <w:vAlign w:val="bottom"/>
            <w:tcBorders>
              <w:right w:val="single" w:sz="8" w:color="auto"/>
            </w:tcBorders>
          </w:tcPr>
          <w:p>
            <w:pPr>
              <w:jc w:val="center"/>
              <w:ind w:left="9"/>
              <w:spacing w:after="0" w:line="149" w:lineRule="exact"/>
              <w:rPr>
                <w:sz w:val="20"/>
                <w:szCs w:val="20"/>
                <w:color w:val="auto"/>
              </w:rPr>
            </w:pPr>
            <w:r>
              <w:rPr>
                <w:rFonts w:ascii="Arial" w:cs="Arial" w:eastAsia="Arial" w:hAnsi="Arial"/>
                <w:sz w:val="14"/>
                <w:szCs w:val="14"/>
                <w:b w:val="1"/>
                <w:bCs w:val="1"/>
                <w:color w:val="auto"/>
                <w:w w:val="84"/>
              </w:rPr>
              <w:t>aggregate offering</w:t>
            </w:r>
          </w:p>
        </w:tc>
        <w:tc>
          <w:tcPr>
            <w:tcW w:w="1560" w:type="dxa"/>
            <w:vAlign w:val="bottom"/>
          </w:tcPr>
          <w:p>
            <w:pPr>
              <w:jc w:val="center"/>
              <w:ind w:left="26"/>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75"/>
        </w:trPr>
        <w:tc>
          <w:tcPr>
            <w:tcW w:w="20" w:type="dxa"/>
            <w:vAlign w:val="bottom"/>
          </w:tcPr>
          <w:p>
            <w:pPr>
              <w:spacing w:after="0"/>
              <w:rPr>
                <w:sz w:val="15"/>
                <w:szCs w:val="15"/>
                <w:color w:val="auto"/>
              </w:rPr>
            </w:pPr>
          </w:p>
        </w:tc>
        <w:tc>
          <w:tcPr>
            <w:tcW w:w="5040" w:type="dxa"/>
            <w:vAlign w:val="bottom"/>
            <w:tcBorders>
              <w:bottom w:val="single" w:sz="8" w:color="auto"/>
              <w:right w:val="single" w:sz="8" w:color="auto"/>
            </w:tcBorders>
          </w:tcPr>
          <w:p>
            <w:pPr>
              <w:jc w:val="right"/>
              <w:ind w:right="2026"/>
              <w:spacing w:after="0"/>
              <w:rPr>
                <w:sz w:val="20"/>
                <w:szCs w:val="20"/>
                <w:color w:val="auto"/>
              </w:rPr>
            </w:pPr>
            <w:r>
              <w:rPr>
                <w:rFonts w:ascii="Arial" w:cs="Arial" w:eastAsia="Arial" w:hAnsi="Arial"/>
                <w:sz w:val="14"/>
                <w:szCs w:val="14"/>
                <w:b w:val="1"/>
                <w:bCs w:val="1"/>
                <w:color w:val="auto"/>
              </w:rPr>
              <w:t>to be registered</w:t>
            </w:r>
          </w:p>
        </w:tc>
        <w:tc>
          <w:tcPr>
            <w:tcW w:w="160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4"/>
                <w:szCs w:val="14"/>
                <w:b w:val="1"/>
                <w:bCs w:val="1"/>
                <w:color w:val="auto"/>
                <w:w w:val="85"/>
              </w:rPr>
              <w:t>Registered (1)</w:t>
            </w:r>
          </w:p>
        </w:tc>
        <w:tc>
          <w:tcPr>
            <w:tcW w:w="1600" w:type="dxa"/>
            <w:vAlign w:val="bottom"/>
            <w:tcBorders>
              <w:bottom w:val="single" w:sz="8" w:color="auto"/>
              <w:right w:val="single" w:sz="8" w:color="auto"/>
            </w:tcBorders>
          </w:tcPr>
          <w:p>
            <w:pPr>
              <w:jc w:val="center"/>
              <w:ind w:left="29"/>
              <w:spacing w:after="0"/>
              <w:rPr>
                <w:sz w:val="20"/>
                <w:szCs w:val="20"/>
                <w:color w:val="auto"/>
              </w:rPr>
            </w:pPr>
            <w:r>
              <w:rPr>
                <w:rFonts w:ascii="Arial" w:cs="Arial" w:eastAsia="Arial" w:hAnsi="Arial"/>
                <w:sz w:val="14"/>
                <w:szCs w:val="14"/>
                <w:b w:val="1"/>
                <w:bCs w:val="1"/>
                <w:color w:val="auto"/>
                <w:w w:val="85"/>
              </w:rPr>
              <w:t>share (2)</w:t>
            </w:r>
          </w:p>
        </w:tc>
        <w:tc>
          <w:tcPr>
            <w:tcW w:w="1600" w:type="dxa"/>
            <w:vAlign w:val="bottom"/>
            <w:tcBorders>
              <w:bottom w:val="single" w:sz="8" w:color="auto"/>
              <w:right w:val="single" w:sz="8" w:color="auto"/>
            </w:tcBorders>
          </w:tcPr>
          <w:p>
            <w:pPr>
              <w:jc w:val="center"/>
              <w:ind w:left="9"/>
              <w:spacing w:after="0"/>
              <w:rPr>
                <w:sz w:val="20"/>
                <w:szCs w:val="20"/>
                <w:color w:val="auto"/>
              </w:rPr>
            </w:pPr>
            <w:r>
              <w:rPr>
                <w:rFonts w:ascii="Arial" w:cs="Arial" w:eastAsia="Arial" w:hAnsi="Arial"/>
                <w:sz w:val="14"/>
                <w:szCs w:val="14"/>
                <w:b w:val="1"/>
                <w:bCs w:val="1"/>
                <w:color w:val="auto"/>
                <w:w w:val="88"/>
              </w:rPr>
              <w:t>price (2)</w:t>
            </w:r>
          </w:p>
        </w:tc>
        <w:tc>
          <w:tcPr>
            <w:tcW w:w="1560" w:type="dxa"/>
            <w:vAlign w:val="bottom"/>
            <w:tcBorders>
              <w:bottom w:val="single" w:sz="8" w:color="auto"/>
            </w:tcBorders>
          </w:tcPr>
          <w:p>
            <w:pPr>
              <w:jc w:val="center"/>
              <w:ind w:left="26"/>
              <w:spacing w:after="0"/>
              <w:rPr>
                <w:sz w:val="20"/>
                <w:szCs w:val="20"/>
                <w:color w:val="auto"/>
              </w:rPr>
            </w:pPr>
            <w:r>
              <w:rPr>
                <w:rFonts w:ascii="Arial" w:cs="Arial" w:eastAsia="Arial" w:hAnsi="Arial"/>
                <w:sz w:val="14"/>
                <w:szCs w:val="14"/>
                <w:b w:val="1"/>
                <w:bCs w:val="1"/>
                <w:color w:val="auto"/>
                <w:w w:val="86"/>
              </w:rPr>
              <w:t>registration fee (2)</w:t>
            </w:r>
          </w:p>
        </w:tc>
      </w:tr>
      <w:tr>
        <w:trPr>
          <w:trHeight w:val="210"/>
        </w:trPr>
        <w:tc>
          <w:tcPr>
            <w:tcW w:w="20" w:type="dxa"/>
            <w:vAlign w:val="bottom"/>
            <w:tcBorders>
              <w:bottom w:val="single" w:sz="8" w:color="auto"/>
            </w:tcBorders>
          </w:tcPr>
          <w:p>
            <w:pPr>
              <w:spacing w:after="0"/>
              <w:rPr>
                <w:sz w:val="18"/>
                <w:szCs w:val="18"/>
                <w:color w:val="auto"/>
              </w:rPr>
            </w:pPr>
          </w:p>
        </w:tc>
        <w:tc>
          <w:tcPr>
            <w:tcW w:w="5040" w:type="dxa"/>
            <w:vAlign w:val="bottom"/>
            <w:tcBorders>
              <w:bottom w:val="single" w:sz="8" w:color="auto"/>
              <w:right w:val="single" w:sz="8" w:color="auto"/>
            </w:tcBorders>
          </w:tcPr>
          <w:p>
            <w:pPr>
              <w:jc w:val="right"/>
              <w:ind w:right="2026"/>
              <w:spacing w:after="0"/>
              <w:rPr>
                <w:sz w:val="20"/>
                <w:szCs w:val="20"/>
                <w:color w:val="auto"/>
              </w:rPr>
            </w:pPr>
            <w:r>
              <w:rPr>
                <w:rFonts w:ascii="Arial" w:cs="Arial" w:eastAsia="Arial" w:hAnsi="Arial"/>
                <w:sz w:val="18"/>
                <w:szCs w:val="18"/>
                <w:color w:val="auto"/>
                <w:w w:val="86"/>
              </w:rPr>
              <w:t>Common Stock, par value $0.01 per share</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3,500,000</w:t>
            </w:r>
          </w:p>
        </w:tc>
        <w:tc>
          <w:tcPr>
            <w:tcW w:w="1600" w:type="dxa"/>
            <w:vAlign w:val="bottom"/>
            <w:tcBorders>
              <w:bottom w:val="single" w:sz="8" w:color="auto"/>
              <w:right w:val="single" w:sz="8" w:color="auto"/>
            </w:tcBorders>
          </w:tcPr>
          <w:p>
            <w:pPr>
              <w:jc w:val="center"/>
              <w:ind w:left="9"/>
              <w:spacing w:after="0"/>
              <w:rPr>
                <w:sz w:val="20"/>
                <w:szCs w:val="20"/>
                <w:color w:val="auto"/>
              </w:rPr>
            </w:pPr>
            <w:r>
              <w:rPr>
                <w:rFonts w:ascii="Arial" w:cs="Arial" w:eastAsia="Arial" w:hAnsi="Arial"/>
                <w:sz w:val="18"/>
                <w:szCs w:val="18"/>
                <w:color w:val="auto"/>
                <w:w w:val="87"/>
              </w:rPr>
              <w:t>$32.31</w:t>
            </w:r>
          </w:p>
        </w:tc>
        <w:tc>
          <w:tcPr>
            <w:tcW w:w="1600" w:type="dxa"/>
            <w:vAlign w:val="bottom"/>
            <w:tcBorders>
              <w:bottom w:val="single" w:sz="8" w:color="auto"/>
              <w:right w:val="single" w:sz="8" w:color="auto"/>
            </w:tcBorders>
          </w:tcPr>
          <w:p>
            <w:pPr>
              <w:jc w:val="center"/>
              <w:ind w:left="9"/>
              <w:spacing w:after="0"/>
              <w:rPr>
                <w:sz w:val="20"/>
                <w:szCs w:val="20"/>
                <w:color w:val="auto"/>
              </w:rPr>
            </w:pPr>
            <w:r>
              <w:rPr>
                <w:rFonts w:ascii="Arial" w:cs="Arial" w:eastAsia="Arial" w:hAnsi="Arial"/>
                <w:sz w:val="18"/>
                <w:szCs w:val="18"/>
                <w:color w:val="auto"/>
                <w:w w:val="87"/>
              </w:rPr>
              <w:t>$113,085,000</w:t>
            </w:r>
          </w:p>
        </w:tc>
        <w:tc>
          <w:tcPr>
            <w:tcW w:w="1560" w:type="dxa"/>
            <w:vAlign w:val="bottom"/>
            <w:tcBorders>
              <w:bottom w:val="single" w:sz="8" w:color="auto"/>
            </w:tcBorders>
          </w:tcPr>
          <w:p>
            <w:pPr>
              <w:jc w:val="center"/>
              <w:ind w:left="6"/>
              <w:spacing w:after="0"/>
              <w:rPr>
                <w:sz w:val="20"/>
                <w:szCs w:val="20"/>
                <w:color w:val="auto"/>
              </w:rPr>
            </w:pPr>
            <w:r>
              <w:rPr>
                <w:rFonts w:ascii="Arial" w:cs="Arial" w:eastAsia="Arial" w:hAnsi="Arial"/>
                <w:sz w:val="18"/>
                <w:szCs w:val="18"/>
                <w:color w:val="auto"/>
                <w:w w:val="88"/>
              </w:rPr>
              <w:t>$12,959.54</w:t>
            </w:r>
          </w:p>
        </w:tc>
      </w:tr>
      <w:tr>
        <w:trPr>
          <w:trHeight w:val="20"/>
        </w:trPr>
        <w:tc>
          <w:tcPr>
            <w:tcW w:w="20" w:type="dxa"/>
            <w:vAlign w:val="bottom"/>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5" w:lineRule="exact"/>
        <w:rPr>
          <w:sz w:val="20"/>
          <w:szCs w:val="20"/>
          <w:color w:val="auto"/>
        </w:rPr>
      </w:pPr>
    </w:p>
    <w:p>
      <w:pPr>
        <w:ind w:left="460" w:right="60" w:hanging="452"/>
        <w:spacing w:after="0" w:line="253"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416(c) under the Securities Act of 1933, as amended (the “Securities Act”), the Registration Statement covers an indeterminate amount of interests to be offered or sold pursuant to the Waste Management Retirement Savings Plan and/or the Waste Management Retirement Savings Plan for Bargaining Unit Employees.</w:t>
      </w:r>
    </w:p>
    <w:p>
      <w:pPr>
        <w:ind w:left="460" w:right="100" w:hanging="452"/>
        <w:spacing w:after="0" w:line="255"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maximum offering price per share is estimated solely for the purpose of calculating the registration fee pursuant to Rule 457(c) and Rule 457(h) under the Securities Act based on the average of the high and low sales prices of the Common Stock as reported on the New York Stock Exchange on September 25,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STATEMENT</w:t>
      </w:r>
    </w:p>
    <w:p>
      <w:pPr>
        <w:spacing w:after="0" w:line="177" w:lineRule="exact"/>
        <w:rPr>
          <w:sz w:val="20"/>
          <w:szCs w:val="20"/>
          <w:color w:val="auto"/>
        </w:rPr>
      </w:pPr>
    </w:p>
    <w:p>
      <w:pPr>
        <w:ind w:right="100" w:firstLine="913"/>
        <w:spacing w:after="0" w:line="294" w:lineRule="auto"/>
        <w:rPr>
          <w:sz w:val="20"/>
          <w:szCs w:val="20"/>
          <w:color w:val="auto"/>
        </w:rPr>
      </w:pPr>
      <w:r>
        <w:rPr>
          <w:rFonts w:ascii="Arial" w:cs="Arial" w:eastAsia="Arial" w:hAnsi="Arial"/>
          <w:sz w:val="16"/>
          <w:szCs w:val="16"/>
          <w:color w:val="auto"/>
        </w:rPr>
        <w:t>In accordance with General Instruction E of Form S-8 under the Securities Act, the Registrant has filed this registration statement on Form S-8 to register the issuance of an additional 3,500,000 shares of Common Stock pursuant to the Waste Management Retirement Savings Plan and/or the Waste Management Retirement Savings Plan for Bargaining Unit Employees (the “Plans”). The contents of the Registration Statement on Form S-8 (Registration No. 333-153363) filed by the Registrant with the Securities and Exchange Commission (the “Commission”) on September 8, 2008 is incorporated herein by reference except to the extent otherwise updated or modified by this Registration Statement.</w:t>
      </w:r>
    </w:p>
    <w:p>
      <w:pPr>
        <w:spacing w:after="0" w:line="272"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following documents filed with the Commission by the Registrant are hereby incorporated by reference into this Registration Statement:</w:t>
      </w:r>
    </w:p>
    <w:p>
      <w:pPr>
        <w:spacing w:after="0" w:line="113"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December 31, 2011 filed February 16, 2012.</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Quarterly Reports on Form 10-Q for the quarters ended March 31, 2012 and June 30, 2012 filed April 26, 2012 and July 26, 2012, respectively.</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the Registrant’s Common Stock on Form 8-B filed with the Commission on July 13, 1995.</w:t>
      </w:r>
    </w:p>
    <w:p>
      <w:pPr>
        <w:spacing w:after="0" w:line="9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Current Reports on Form 8-K filed with the Commission on March 14, 2012, May 14, 2012, June 22, 2012, July 5, 2012, July 26, 2012 (except for the information furnished pursuant to Item 2.02), August 28, 2012 and September 11, 2012.</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Plans’ Annual Reports on Form 11-K for the fiscal year ended December 31, 2011 filed June 13, 2012.</w:t>
      </w:r>
    </w:p>
    <w:p>
      <w:pPr>
        <w:spacing w:after="0" w:line="171"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All documents subsequently filed by the Registrant and the Plans pursuant to Sections 13(a), 13(c), 14 and 15(d) of the Securities Exchange Act of 1934, prior to the filing of a post-effective amendment which indicates that all of the securities offered hereby have been sold or which deregisters all securities then remaining unsold, shall be deemed to be incorporated by reference in this Registration Statement and to be a part hereof from the date of filing of such documents. The Registrant is not, however, incorporating, in each case, any documents or information that the Registrant is deemed to furnish and not file in accordance with Commission rules.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96" w:lineRule="exact"/>
        <w:rPr>
          <w:sz w:val="20"/>
          <w:szCs w:val="20"/>
          <w:color w:val="auto"/>
        </w:rPr>
      </w:pPr>
    </w:p>
    <w:p>
      <w:pPr>
        <w:ind w:right="40" w:firstLine="913"/>
        <w:spacing w:after="0" w:line="289" w:lineRule="auto"/>
        <w:rPr>
          <w:sz w:val="20"/>
          <w:szCs w:val="20"/>
          <w:color w:val="auto"/>
        </w:rPr>
      </w:pPr>
      <w:r>
        <w:rPr>
          <w:rFonts w:ascii="Arial" w:cs="Arial" w:eastAsia="Arial" w:hAnsi="Arial"/>
          <w:sz w:val="16"/>
          <w:szCs w:val="16"/>
          <w:color w:val="auto"/>
        </w:rPr>
        <w:t>Section 145 of the Delaware General Corporation Law (the “DGCL”) provides that a corporation may indemnify directors and officers as well as other employees and individuals against expenses (including attorneys’ fees), judgments, fines and amounts paid in settlement in connection with specified actions, suits or proceedings, whether civil, criminal, administrative or investigative (other than an action by or in the right of the corporation—a “derivative action”), if they acted in good faith and in a manner they reasonably believed to be in or not opposed to the best interests of the corporation and, with respect to any criminal actions or proceedings, had no reasonable cause to believe their conduct was unlawful. A similar standard is applicable in the case of derivative actions, except that indemnification only extends to expenses (including attorneys’ fees) actually and reasonably incurred in connection with the defense or settlement of such action, and the DGCL requires court approval before there can be any indemnification where the person seeking indemnification has been found liable to the corporation.</w:t>
      </w:r>
    </w:p>
    <w:p>
      <w:pPr>
        <w:sectPr>
          <w:pgSz w:w="11900" w:h="16838" w:orient="portrait"/>
          <w:cols w:equalWidth="0" w:num="1">
            <w:col w:w="11240"/>
          </w:cols>
          <w:pgMar w:left="240" w:top="274" w:right="419" w:bottom="1440" w:gutter="0" w:footer="0" w:header="0"/>
        </w:sectPr>
      </w:pPr>
    </w:p>
    <w:bookmarkStart w:id="3" w:name="page4"/>
    <w:bookmarkEnd w:id="3"/>
    <w:p>
      <w:pPr>
        <w:ind w:firstLine="913"/>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Registrant’s Certificate of Incorporation and By-laws require that it provide indemnification to the maximum extent permitted from time to time under DCGL, and upon request shall advance expenses to any person who is or was a party or is threatened to be made a party to any threatened, pending or completed action, suit, proceeding or claim, whether civil, criminal, administrative or investigative, by reason of the fact that such person is or was or has agreed to be a director or officer of the Registrant or any of its direct or indirect subsidiaries or while such a director or officer is or was serving at the request of the Registrant as a director, officer, partner, trustee, employee or agent of any corporation, partnership, joint venture, trust or other enterprise, including service with respect to employee benefit plans, against expenses (including attorney’s fees and expenses), judgments, fines, penalties and amounts paid in settlement incurred in connection with the investigation, preparation to defend or defense of such action, suit, proceeding or claim; provided, however, that the Registrant is not required to indemnify or advance expenses to any person in connection with any action, suit, proceeding, claim or counterclaim initiated by or on behalf of such person. Such indemnification is not be exclusive of other indemnification rights arising under any By-laws, agreement, vote of directors or stockholders or otherwise and shall inure to the benefit of the heirs and legal representatives of such person. Additionally, the Registrant has entered into separate indemnification agreements with each of the members of its Board of Directors, and the employment agreements between the Registrant and its Chief Executive Officer and other executive and senior vice presidents contain a direct contractual obligation of the Registrant to provide indemnification to the executive. These agreements provide directors and officers with the same indemnification by the Registrant as described above and assure directors and officers that indemnification will continue to be provided despite future changes in the By-laws of the Registrant.</w:t>
      </w:r>
    </w:p>
    <w:p>
      <w:pPr>
        <w:spacing w:after="0" w:line="128"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Section 102(b)(7) of the DGCL permits a corporation to provide in its certificate of incorporation that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for payments of unlawful dividends or unlawful stock repurchases, redemptions or other distributions, or (iv) for any transaction from which the director derived an improper personal benefit. The Registrant’s Certificate of Incorporation provides that no director will be liable to the Registrant or its stockholders for any breach of fiduciary duty, except as limited under DGCL.</w:t>
      </w:r>
    </w:p>
    <w:p>
      <w:pPr>
        <w:spacing w:after="0" w:line="120" w:lineRule="exact"/>
        <w:rPr>
          <w:sz w:val="20"/>
          <w:szCs w:val="20"/>
          <w:color w:val="auto"/>
        </w:rPr>
      </w:pPr>
    </w:p>
    <w:p>
      <w:pPr>
        <w:ind w:right="140" w:firstLine="913"/>
        <w:spacing w:after="0" w:line="332" w:lineRule="auto"/>
        <w:rPr>
          <w:sz w:val="20"/>
          <w:szCs w:val="20"/>
          <w:color w:val="auto"/>
        </w:rPr>
      </w:pPr>
      <w:r>
        <w:rPr>
          <w:rFonts w:ascii="Arial" w:cs="Arial" w:eastAsia="Arial" w:hAnsi="Arial"/>
          <w:sz w:val="16"/>
          <w:szCs w:val="16"/>
          <w:color w:val="auto"/>
        </w:rPr>
        <w:t>The Registrant’s directors and officers are covered by insurance policies indemnifying against certain liabilities, including certain liabilities arising under the Securities Act that might be incurred by them in such capacities and against which the Registrant may not indemnify them.</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exhibits are filed as part of this Registration Statement:</w:t>
      </w:r>
    </w:p>
    <w:p>
      <w:pPr>
        <w:spacing w:after="0" w:line="212" w:lineRule="exact"/>
        <w:rPr>
          <w:sz w:val="20"/>
          <w:szCs w:val="20"/>
          <w:color w:val="auto"/>
        </w:rPr>
      </w:pPr>
    </w:p>
    <w:p>
      <w:pPr>
        <w:ind w:left="700" w:right="520" w:hanging="600"/>
        <w:spacing w:after="0" w:line="268" w:lineRule="auto"/>
        <w:rPr>
          <w:sz w:val="20"/>
          <w:szCs w:val="20"/>
          <w:color w:val="auto"/>
        </w:rPr>
      </w:pPr>
      <w:r>
        <w:rPr>
          <w:rFonts w:ascii="Arial" w:cs="Arial" w:eastAsia="Arial" w:hAnsi="Arial"/>
          <w:sz w:val="18"/>
          <w:szCs w:val="18"/>
          <w:color w:val="auto"/>
        </w:rPr>
        <w:t>4.1 — Third Restated Certificate of Incorporation (Incorporated by reference to Exhibit 3.1 to the Quarterly Report on Form 10-Q for the quarter ended June 30, 2010).</w:t>
      </w:r>
    </w:p>
    <w:p>
      <w:pPr>
        <w:spacing w:after="0" w:line="78" w:lineRule="exact"/>
        <w:rPr>
          <w:sz w:val="20"/>
          <w:szCs w:val="20"/>
          <w:color w:val="auto"/>
        </w:rPr>
      </w:pPr>
    </w:p>
    <w:p>
      <w:pPr>
        <w:ind w:left="100"/>
        <w:spacing w:after="0"/>
        <w:rPr>
          <w:sz w:val="20"/>
          <w:szCs w:val="20"/>
          <w:color w:val="auto"/>
        </w:rPr>
      </w:pPr>
      <w:r>
        <w:rPr>
          <w:rFonts w:ascii="Arial" w:cs="Arial" w:eastAsia="Arial" w:hAnsi="Arial"/>
          <w:sz w:val="16"/>
          <w:szCs w:val="16"/>
          <w:color w:val="auto"/>
        </w:rPr>
        <w:t>4.2 — Amended and Restated By-laws of Waste Management, Inc. (Incorporated by reference to Exhibit 3.2 to the Current Report on Form 8-K filed July 26,</w:t>
      </w:r>
    </w:p>
    <w:p>
      <w:pPr>
        <w:spacing w:after="0" w:line="3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2012).</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23.1 — Consent of 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23.2 — Consent of McConnell &amp; Jones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24.1 — Power of Attorney.</w:t>
      </w:r>
    </w:p>
    <w:p>
      <w:pPr>
        <w:spacing w:after="0" w:line="171" w:lineRule="exact"/>
        <w:rPr>
          <w:sz w:val="20"/>
          <w:szCs w:val="20"/>
          <w:color w:val="auto"/>
        </w:rPr>
      </w:pPr>
    </w:p>
    <w:p>
      <w:pPr>
        <w:ind w:right="360" w:firstLine="913"/>
        <w:spacing w:after="0" w:line="268" w:lineRule="auto"/>
        <w:rPr>
          <w:sz w:val="20"/>
          <w:szCs w:val="20"/>
          <w:color w:val="auto"/>
        </w:rPr>
      </w:pPr>
      <w:r>
        <w:rPr>
          <w:rFonts w:ascii="Arial" w:cs="Arial" w:eastAsia="Arial" w:hAnsi="Arial"/>
          <w:sz w:val="18"/>
          <w:szCs w:val="18"/>
          <w:color w:val="auto"/>
        </w:rPr>
        <w:t>The Registrant hereby undertakes that it will submit or has submitted the Plans and any amendment thereto to the Internal Revenue Service (the “IRS”) in a timely manner and has made or will make all changes required by the IRS in order to qualify the Plans.</w:t>
      </w:r>
    </w:p>
    <w:p>
      <w:pPr>
        <w:spacing w:after="0" w:line="132" w:lineRule="exact"/>
        <w:rPr>
          <w:sz w:val="20"/>
          <w:szCs w:val="20"/>
          <w:color w:val="auto"/>
        </w:rPr>
      </w:pPr>
    </w:p>
    <w:p>
      <w:pPr>
        <w:ind w:right="500" w:firstLine="913"/>
        <w:spacing w:after="0" w:line="268" w:lineRule="auto"/>
        <w:rPr>
          <w:sz w:val="20"/>
          <w:szCs w:val="20"/>
          <w:color w:val="auto"/>
        </w:rPr>
      </w:pPr>
      <w:r>
        <w:rPr>
          <w:rFonts w:ascii="Arial" w:cs="Arial" w:eastAsia="Arial" w:hAnsi="Arial"/>
          <w:sz w:val="18"/>
          <w:szCs w:val="18"/>
          <w:color w:val="auto"/>
        </w:rPr>
        <w:t>The securities being registered hereby for the Plans are not original issuance securities. Pursuant to Form S-8, Part II, Item 8(a), an opinion of counsel as to the legality of the shares purchased under the Plans is not required.</w:t>
      </w:r>
    </w:p>
    <w:p>
      <w:pPr>
        <w:sectPr>
          <w:pgSz w:w="11900" w:h="16838" w:orient="portrait"/>
          <w:cols w:equalWidth="0" w:num="1">
            <w:col w:w="11380"/>
          </w:cols>
          <w:pgMar w:left="240" w:top="280" w:right="279" w:bottom="1440" w:gutter="0" w:footer="0" w:header="0"/>
        </w:sectPr>
      </w:pPr>
    </w:p>
    <w:bookmarkStart w:id="4" w:name="page5"/>
    <w:bookmarkEnd w:id="4"/>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1" w:lineRule="exact"/>
        <w:rPr>
          <w:sz w:val="20"/>
          <w:szCs w:val="20"/>
          <w:color w:val="auto"/>
        </w:rPr>
      </w:pPr>
    </w:p>
    <w:p>
      <w:pPr>
        <w:ind w:right="100" w:firstLine="913"/>
        <w:spacing w:after="0" w:line="310" w:lineRule="auto"/>
        <w:rPr>
          <w:sz w:val="20"/>
          <w:szCs w:val="20"/>
          <w:color w:val="auto"/>
        </w:rPr>
      </w:pPr>
      <w:r>
        <w:rPr>
          <w:rFonts w:ascii="Arial" w:cs="Arial" w:eastAsia="Arial" w:hAnsi="Arial"/>
          <w:sz w:val="16"/>
          <w:szCs w:val="16"/>
          <w:b w:val="1"/>
          <w:bCs w:val="1"/>
          <w:color w:val="auto"/>
        </w:rPr>
        <w:t xml:space="preserve">The Registrant. </w:t>
      </w:r>
      <w:r>
        <w:rPr>
          <w:rFonts w:ascii="Arial" w:cs="Arial" w:eastAsia="Arial" w:hAnsi="Arial"/>
          <w:sz w:val="16"/>
          <w:szCs w:val="16"/>
          <w:color w:val="auto"/>
        </w:rPr>
        <w:t>Pursuant to the requirements of the Securities Act of 1933, the Registrant certifies that it has reasonable grounds to believe that it</w:t>
      </w:r>
      <w:r>
        <w:rPr>
          <w:rFonts w:ascii="Arial" w:cs="Arial" w:eastAsia="Arial" w:hAnsi="Arial"/>
          <w:sz w:val="16"/>
          <w:szCs w:val="16"/>
          <w:b w:val="1"/>
          <w:bCs w:val="1"/>
          <w:color w:val="auto"/>
        </w:rPr>
        <w:t xml:space="preserve"> </w:t>
      </w:r>
      <w:r>
        <w:rPr>
          <w:rFonts w:ascii="Arial" w:cs="Arial" w:eastAsia="Arial" w:hAnsi="Arial"/>
          <w:sz w:val="16"/>
          <w:szCs w:val="16"/>
          <w:color w:val="auto"/>
        </w:rPr>
        <w:t>meets all requirements for filing on Form S-8 and has duly caused this Registration Statement on Form S-8 to be signed on its behalf by the undersigned, thereunto duly authorized, in the City of Houston, State of Texas on the 28th day of September, 2012.</w:t>
      </w:r>
    </w:p>
    <w:p>
      <w:pPr>
        <w:spacing w:after="0" w:line="138" w:lineRule="exact"/>
        <w:rPr>
          <w:sz w:val="20"/>
          <w:szCs w:val="20"/>
          <w:color w:val="auto"/>
        </w:rPr>
      </w:pPr>
    </w:p>
    <w:p>
      <w:pPr>
        <w:ind w:left="7240"/>
        <w:spacing w:after="0"/>
        <w:rPr>
          <w:sz w:val="20"/>
          <w:szCs w:val="20"/>
          <w:color w:val="auto"/>
        </w:rPr>
      </w:pPr>
      <w:r>
        <w:rPr>
          <w:rFonts w:ascii="Arial" w:cs="Arial" w:eastAsia="Arial" w:hAnsi="Arial"/>
          <w:sz w:val="18"/>
          <w:szCs w:val="18"/>
          <w:b w:val="1"/>
          <w:bCs w:val="1"/>
          <w:color w:val="auto"/>
        </w:rPr>
        <w:t>WASTE MANAGEMENT, INC.</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David P. Steiner</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Chief Executive Officer and Director</w:t>
      </w:r>
    </w:p>
    <w:p>
      <w:pPr>
        <w:spacing w:after="0" w:line="165"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on Form S-8 has been signed by the following persons in the capacities indicated on the 28th day of September 2012.</w:t>
      </w:r>
    </w:p>
    <w:p>
      <w:pPr>
        <w:spacing w:after="0" w:line="249" w:lineRule="exact"/>
        <w:rPr>
          <w:sz w:val="20"/>
          <w:szCs w:val="20"/>
          <w:color w:val="auto"/>
        </w:rPr>
      </w:pPr>
    </w:p>
    <w:p>
      <w:pPr>
        <w:ind w:left="2260"/>
        <w:spacing w:after="0"/>
        <w:tabs>
          <w:tab w:leader="none" w:pos="89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p>
    <w:p>
      <w:pPr>
        <w:sectPr>
          <w:pgSz w:w="11900" w:h="16838" w:orient="portrait"/>
          <w:cols w:equalWidth="0" w:num="1">
            <w:col w:w="11300"/>
          </w:cols>
          <w:pgMar w:left="240" w:top="274" w:right="359" w:bottom="1440" w:gutter="0" w:footer="0" w:header="0"/>
        </w:sectPr>
      </w:pPr>
    </w:p>
    <w:p>
      <w:pPr>
        <w:spacing w:after="0" w:line="222"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/s/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2156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3"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David P. Steiner</w:t>
      </w:r>
    </w:p>
    <w:p>
      <w:pPr>
        <w:spacing w:after="0" w:line="239"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/s/ James C. Fish,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2156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16"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James C. Fish, Jr.</w:t>
      </w:r>
    </w:p>
    <w:p>
      <w:pPr>
        <w:spacing w:after="0" w:line="225"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/s/ Don P. Carpenter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2156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16"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Don P. Carpenter</w:t>
      </w:r>
    </w:p>
    <w:p>
      <w:pPr>
        <w:spacing w:after="0" w:line="225"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2156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16"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Bradbury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32156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420"/>
        <w:spacing w:after="0"/>
        <w:rPr>
          <w:sz w:val="20"/>
          <w:szCs w:val="20"/>
          <w:color w:val="auto"/>
        </w:rPr>
      </w:pPr>
      <w:r>
        <w:rPr>
          <w:rFonts w:ascii="Arial" w:cs="Arial" w:eastAsia="Arial" w:hAnsi="Arial"/>
          <w:sz w:val="15"/>
          <w:szCs w:val="15"/>
          <w:color w:val="auto"/>
        </w:rPr>
        <w:t>Pastora San Juan Cafferty</w:t>
      </w:r>
    </w:p>
    <w:p>
      <w:pPr>
        <w:spacing w:after="0" w:line="260"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2156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16"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Frank M. Clark, Jr.</w:t>
      </w:r>
    </w:p>
    <w:p>
      <w:pPr>
        <w:spacing w:after="0" w:line="225"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2156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16"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Patrick W. Gross</w:t>
      </w:r>
    </w:p>
    <w:p>
      <w:pPr>
        <w:spacing w:after="0" w:line="225"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2156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16"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John C. Pope</w:t>
      </w:r>
    </w:p>
    <w:p>
      <w:pPr>
        <w:spacing w:after="0" w:line="225"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2156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16"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W. Robert Reum</w:t>
      </w:r>
    </w:p>
    <w:p>
      <w:pPr>
        <w:spacing w:after="0" w:line="225"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21564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16" w:lineRule="exact"/>
        <w:rPr>
          <w:sz w:val="20"/>
          <w:szCs w:val="20"/>
          <w:color w:val="auto"/>
        </w:rPr>
      </w:pPr>
    </w:p>
    <w:p>
      <w:pPr>
        <w:jc w:val="center"/>
        <w:ind w:right="1420"/>
        <w:spacing w:after="0"/>
        <w:rPr>
          <w:sz w:val="20"/>
          <w:szCs w:val="20"/>
          <w:color w:val="auto"/>
        </w:rPr>
      </w:pPr>
      <w:r>
        <w:rPr>
          <w:rFonts w:ascii="Arial" w:cs="Arial" w:eastAsia="Arial" w:hAnsi="Arial"/>
          <w:sz w:val="16"/>
          <w:szCs w:val="16"/>
          <w:color w:val="auto"/>
        </w:rPr>
        <w:t>Thomas H. Weidemeyer</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President, Chief Executive Officer and Director</w:t>
      </w:r>
    </w:p>
    <w:p>
      <w:pPr>
        <w:spacing w:after="0" w:line="15"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(Principal Executive Officer)</w:t>
      </w:r>
    </w:p>
    <w:p>
      <w:pPr>
        <w:spacing w:after="0" w:line="246"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Executive Vice President and Chief Financial Officer</w:t>
      </w:r>
    </w:p>
    <w:p>
      <w:pPr>
        <w:spacing w:after="0" w:line="38"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(Principal Financial Officer)</w:t>
      </w:r>
    </w:p>
    <w:p>
      <w:pPr>
        <w:spacing w:after="0" w:line="259"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Vice President and Chief Accounting Officer</w:t>
      </w:r>
    </w:p>
    <w:p>
      <w:pPr>
        <w:spacing w:after="0" w:line="15"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(Principal Accounting Officer)</w:t>
      </w:r>
    </w:p>
    <w:p>
      <w:pPr>
        <w:spacing w:after="0" w:line="246"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Chairman of the Board and Director</w:t>
      </w:r>
    </w:p>
    <w:p>
      <w:pPr>
        <w:spacing w:after="0" w:line="200" w:lineRule="exact"/>
        <w:rPr>
          <w:sz w:val="20"/>
          <w:szCs w:val="20"/>
          <w:color w:val="auto"/>
        </w:rPr>
      </w:pPr>
    </w:p>
    <w:p>
      <w:pPr>
        <w:spacing w:after="0" w:line="268"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Director</w:t>
      </w:r>
    </w:p>
    <w:p>
      <w:pPr>
        <w:spacing w:after="0" w:line="393" w:lineRule="exact"/>
        <w:rPr>
          <w:sz w:val="20"/>
          <w:szCs w:val="20"/>
          <w:color w:val="auto"/>
        </w:rPr>
      </w:pPr>
    </w:p>
    <w:p>
      <w:pPr>
        <w:sectPr>
          <w:pgSz w:w="11900" w:h="16838" w:orient="portrait"/>
          <w:cols w:equalWidth="0" w:num="2">
            <w:col w:w="6500" w:space="720"/>
            <w:col w:w="4080"/>
          </w:cols>
          <w:pgMar w:left="240" w:top="274" w:right="359" w:bottom="1440" w:gutter="0" w:footer="0" w:header="0"/>
          <w:type w:val="continuous"/>
        </w:sectPr>
      </w:pPr>
    </w:p>
    <w:p>
      <w:pPr>
        <w:spacing w:after="0" w:line="35" w:lineRule="exact"/>
        <w:rPr>
          <w:sz w:val="20"/>
          <w:szCs w:val="20"/>
          <w:color w:val="auto"/>
        </w:rPr>
      </w:pPr>
    </w:p>
    <w:p>
      <w:pPr>
        <w:ind w:left="220" w:right="380" w:hanging="212"/>
        <w:spacing w:after="0" w:line="26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Rick L Wittenbraker hereby signs this registration statement on behalf of the indicated persons for whom he is attorney-in-fact on September 28th, 2012 pursuant to a power of attorney filed herewith.</w:t>
      </w:r>
    </w:p>
    <w:p>
      <w:pPr>
        <w:spacing w:after="0" w:line="172" w:lineRule="exact"/>
        <w:rPr>
          <w:sz w:val="20"/>
          <w:szCs w:val="20"/>
          <w:color w:val="auto"/>
        </w:rPr>
      </w:pPr>
    </w:p>
    <w:p>
      <w:pPr>
        <w:jc w:val="center"/>
        <w:ind w:right="8100"/>
        <w:spacing w:after="0"/>
        <w:tabs>
          <w:tab w:leader="none" w:pos="200" w:val="left"/>
        </w:tabs>
        <w:rPr>
          <w:sz w:val="20"/>
          <w:szCs w:val="20"/>
          <w:color w:val="auto"/>
        </w:rPr>
      </w:pPr>
      <w:r>
        <w:rPr>
          <w:rFonts w:ascii="Arial" w:cs="Arial" w:eastAsia="Arial" w:hAnsi="Arial"/>
          <w:sz w:val="18"/>
          <w:szCs w:val="18"/>
          <w:color w:val="auto"/>
        </w:rPr>
        <w:t>By:</w:t>
        <w:tab/>
        <w:t>/s/ Rick L Wittenbraker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10795</wp:posOffset>
            </wp:positionV>
            <wp:extent cx="23755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16" w:lineRule="exact"/>
        <w:rPr>
          <w:sz w:val="20"/>
          <w:szCs w:val="20"/>
          <w:color w:val="auto"/>
        </w:rPr>
      </w:pPr>
    </w:p>
    <w:p>
      <w:pPr>
        <w:jc w:val="center"/>
        <w:ind w:right="8500"/>
        <w:spacing w:after="0"/>
        <w:rPr>
          <w:sz w:val="20"/>
          <w:szCs w:val="20"/>
          <w:color w:val="auto"/>
        </w:rPr>
      </w:pPr>
      <w:r>
        <w:rPr>
          <w:rFonts w:ascii="Arial" w:cs="Arial" w:eastAsia="Arial" w:hAnsi="Arial"/>
          <w:sz w:val="18"/>
          <w:szCs w:val="18"/>
          <w:color w:val="auto"/>
        </w:rPr>
        <w:t>Attorney-in-fact</w:t>
      </w:r>
    </w:p>
    <w:p>
      <w:pPr>
        <w:sectPr>
          <w:pgSz w:w="11900" w:h="16838" w:orient="portrait"/>
          <w:cols w:equalWidth="0" w:num="1">
            <w:col w:w="11300"/>
          </w:cols>
          <w:pgMar w:left="240" w:top="274" w:right="359" w:bottom="1440" w:gutter="0" w:footer="0" w:header="0"/>
          <w:type w:val="continuous"/>
        </w:sectPr>
      </w:pPr>
    </w:p>
    <w:bookmarkStart w:id="5" w:name="page6"/>
    <w:bookmarkEnd w:id="5"/>
    <w:p>
      <w:pPr>
        <w:jc w:val="both"/>
        <w:ind w:right="60"/>
        <w:spacing w:after="0" w:line="26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Plan. </w:t>
      </w:r>
      <w:r>
        <w:rPr>
          <w:rFonts w:ascii="Arial" w:cs="Arial" w:eastAsia="Arial" w:hAnsi="Arial"/>
          <w:sz w:val="18"/>
          <w:szCs w:val="18"/>
          <w:color w:val="auto"/>
        </w:rPr>
        <w:t>Pursuant to the requirements of the Securities Act of 1933, the Administrative Committee of the Waste Management Employee Benefit Plans has duly</w:t>
      </w:r>
      <w:r>
        <w:rPr>
          <w:rFonts w:ascii="Arial" w:cs="Arial" w:eastAsia="Arial" w:hAnsi="Arial"/>
          <w:sz w:val="18"/>
          <w:szCs w:val="18"/>
          <w:b w:val="1"/>
          <w:bCs w:val="1"/>
          <w:color w:val="auto"/>
        </w:rPr>
        <w:t xml:space="preserve"> </w:t>
      </w:r>
      <w:r>
        <w:rPr>
          <w:rFonts w:ascii="Arial" w:cs="Arial" w:eastAsia="Arial" w:hAnsi="Arial"/>
          <w:sz w:val="18"/>
          <w:szCs w:val="18"/>
          <w:color w:val="auto"/>
        </w:rPr>
        <w:t>caused this registration statement to be signed on its behalf by the undersigned, thereunto duly authorized, in the City of Houston, State of Texas on the 28th day of September, 2012.</w:t>
      </w:r>
    </w:p>
    <w:p>
      <w:pPr>
        <w:spacing w:after="0" w:line="173"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WASTE MANAGEMENT RETIREMENT SAVINGS PLAN</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WASTE MANAGEMENT RETIREMENT SAVINGS PLAN</w:t>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FOR BARGAINING UNIT EMPLOYEES</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Administrative Committee of the Waste Management</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Employee Benefit Plans</w:t>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Krista DelSota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Krista DelSota</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Vice President – Compensation, Benefits and HRIM</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Waste Management, Inc.</w:t>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Member—Administrative Committee of the Waste Management</w:t>
      </w:r>
    </w:p>
    <w:p>
      <w:pPr>
        <w:spacing w:after="0" w:line="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Employee Benefit Plans</w:t>
      </w:r>
    </w:p>
    <w:p>
      <w:pPr>
        <w:sectPr>
          <w:pgSz w:w="11900" w:h="16838" w:orient="portrait"/>
          <w:cols w:equalWidth="0" w:num="1">
            <w:col w:w="11400"/>
          </w:cols>
          <w:pgMar w:left="240" w:top="274" w:right="259" w:bottom="1440" w:gutter="0" w:footer="0" w:header="0"/>
        </w:sectPr>
      </w:pPr>
    </w:p>
    <w:bookmarkStart w:id="6" w:name="page7"/>
    <w:bookmarkEnd w:id="6"/>
    <w:p>
      <w:pPr>
        <w:jc w:val="center"/>
        <w:ind w:right="-1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INDEX TO EXHIBITS</w:t>
      </w:r>
    </w:p>
    <w:p>
      <w:pPr>
        <w:spacing w:after="0" w:line="218" w:lineRule="exact"/>
        <w:rPr>
          <w:sz w:val="20"/>
          <w:szCs w:val="20"/>
          <w:color w:val="auto"/>
        </w:rPr>
      </w:pPr>
    </w:p>
    <w:p>
      <w:pPr>
        <w:ind w:left="700" w:right="460" w:hanging="600"/>
        <w:spacing w:after="0" w:line="268" w:lineRule="auto"/>
        <w:rPr>
          <w:sz w:val="20"/>
          <w:szCs w:val="20"/>
          <w:color w:val="auto"/>
        </w:rPr>
      </w:pPr>
      <w:r>
        <w:rPr>
          <w:rFonts w:ascii="Arial" w:cs="Arial" w:eastAsia="Arial" w:hAnsi="Arial"/>
          <w:sz w:val="18"/>
          <w:szCs w:val="18"/>
          <w:color w:val="auto"/>
        </w:rPr>
        <w:t>4.1 — Third Restated Certificate of Incorporation (Incorporated by reference to Exhibit 3.1 to the Quarterly Report on Form 10-Q for the quarter ended June 30, 2010).</w:t>
      </w:r>
    </w:p>
    <w:p>
      <w:pPr>
        <w:spacing w:after="0" w:line="78" w:lineRule="exact"/>
        <w:rPr>
          <w:sz w:val="20"/>
          <w:szCs w:val="20"/>
          <w:color w:val="auto"/>
        </w:rPr>
      </w:pPr>
    </w:p>
    <w:p>
      <w:pPr>
        <w:ind w:left="100"/>
        <w:spacing w:after="0"/>
        <w:rPr>
          <w:sz w:val="20"/>
          <w:szCs w:val="20"/>
          <w:color w:val="auto"/>
        </w:rPr>
      </w:pPr>
      <w:r>
        <w:rPr>
          <w:rFonts w:ascii="Arial" w:cs="Arial" w:eastAsia="Arial" w:hAnsi="Arial"/>
          <w:sz w:val="16"/>
          <w:szCs w:val="16"/>
          <w:color w:val="auto"/>
        </w:rPr>
        <w:t>4.2 — Amended and Restated By-laws of Waste Management, Inc. (Incorporated by reference to Exhibit 3.2 to the Current Report on Form 8-K filed July 26,</w:t>
      </w:r>
    </w:p>
    <w:p>
      <w:pPr>
        <w:spacing w:after="0" w:line="3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2012).</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23.1 — Consent of 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23.2 — Consent of McConnell &amp; Jones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24.1 — Power of Attorney.</w:t>
      </w:r>
    </w:p>
    <w:p>
      <w:pPr>
        <w:sectPr>
          <w:pgSz w:w="11900" w:h="16838" w:orient="portrait"/>
          <w:cols w:equalWidth="0" w:num="1">
            <w:col w:w="11320"/>
          </w:cols>
          <w:pgMar w:left="240" w:top="274"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23.1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71"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We consent to the incorporation by reference in the Registration Statement (Form S-8) pertaining to the Waste Management Retirement Savings Plan and the Waste Management Retirement Savings Plan for Bargaining Unit Employees of our reports dated February 16, 2012, with respect to the consolidated financial statements and schedule of Waste Management, Inc. and the effectiveness of internal control over financial reporting of Waste Management, Inc. included in its Annual Report (Form 10-K) for the year ended December 31, 2011, filed with the Securities and Exchange Commission.</w:t>
      </w:r>
    </w:p>
    <w:p>
      <w:pPr>
        <w:spacing w:after="0" w:line="113"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27, 2012</w:t>
      </w:r>
    </w:p>
    <w:p>
      <w:pPr>
        <w:sectPr>
          <w:pgSz w:w="11900" w:h="16838" w:orient="portrait"/>
          <w:cols w:equalWidth="0" w:num="1">
            <w:col w:w="11420"/>
          </w:cols>
          <w:pgMar w:left="240" w:top="125"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23.2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consent to the incorporation by reference in this Registration Statement on Form S-8 of our reports dated June 13, 2012 appearing in the Annual Reports (Forms 11-K) of the Waste Management Retirement Savings Plan for Bargaining Unit Employees and the Waste Management Retirement Savings Plan for the year ended December 31, 2011, filed with the Securities and Exchange Commission.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 McConnell &amp; Jones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27, 2012</w:t>
      </w:r>
    </w:p>
    <w:p>
      <w:pPr>
        <w:sectPr>
          <w:pgSz w:w="11900" w:h="16838" w:orient="portrait"/>
          <w:cols w:equalWidth="0" w:num="1">
            <w:col w:w="11420"/>
          </w:cols>
          <w:pgMar w:left="240" w:top="125"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24.1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AUGUST 24, 2012</w:t>
      </w:r>
    </w:p>
    <w:p>
      <w:pPr>
        <w:spacing w:after="0" w:line="17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Each person whose signature appears below appoints David P. Steiner, James C. Fish, Jr. and Rick L Wittenbraker, and each of them severally, as his true and lawful attorney or attorneys-in-fact and agent or agents, each of whom shall be authorized to act with or without the other, with full power of substitution and resubstitution, for him and in his name, place and stead in his capacity as a director or officer or both, as the case may be, to sign a Registration Statement on Form S-8 and any and all amendments to the Registration Statement and all documents or instruments necessary to comply with the Securities Act of 1933, as amended, and to file the same with the Securities and Exchange Commission, with full power and authority to each of said attorneys-in-fact and agents to do and perform in the name and on behalf of each such director or officer, or both, as the case may be, each and every act whatsoever that is necessary, appropriate or advisable in connection with any or all of the above-described matters and to all intents and purposes as he might or could do in person, hereby ratifying and confirming all that said attorneys-in-fact and agents or any of them or their substitutes, may lawfully do or cause to be done by virtue hereof.</w:t>
      </w:r>
    </w:p>
    <w:p>
      <w:pPr>
        <w:sectPr>
          <w:pgSz w:w="11900" w:h="16838" w:orient="portrait"/>
          <w:cols w:equalWidth="0" w:num="1">
            <w:col w:w="11420"/>
          </w:cols>
          <w:pgMar w:left="240" w:top="125" w:right="239" w:bottom="1440" w:gutter="0" w:footer="0" w:header="0"/>
        </w:sectPr>
      </w:pPr>
    </w:p>
    <w:p>
      <w:pPr>
        <w:spacing w:after="0" w:line="235" w:lineRule="exact"/>
        <w:rPr>
          <w:sz w:val="20"/>
          <w:szCs w:val="20"/>
          <w:color w:val="auto"/>
        </w:rPr>
      </w:pPr>
    </w:p>
    <w:p>
      <w:pPr>
        <w:ind w:left="2260"/>
        <w:spacing w:after="0"/>
        <w:rPr>
          <w:sz w:val="20"/>
          <w:szCs w:val="20"/>
          <w:color w:val="auto"/>
        </w:rPr>
      </w:pPr>
      <w:r>
        <w:rPr>
          <w:rFonts w:ascii="Arial" w:cs="Arial" w:eastAsia="Arial" w:hAnsi="Arial"/>
          <w:sz w:val="14"/>
          <w:szCs w:val="14"/>
          <w:b w:val="1"/>
          <w:bCs w:val="1"/>
          <w:u w:val="single" w:color="auto"/>
          <w:color w:val="auto"/>
        </w:rPr>
        <w:t>Signature</w:t>
      </w:r>
    </w:p>
    <w:p>
      <w:pPr>
        <w:spacing w:after="0" w:line="22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2245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David P. Steiner</w:t>
      </w:r>
    </w:p>
    <w:p>
      <w:pPr>
        <w:spacing w:after="0" w:line="23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 James C. Fish,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2245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James C. Fish, Jr.</w:t>
      </w:r>
    </w:p>
    <w:p>
      <w:pPr>
        <w:spacing w:after="0" w:line="23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 Don P. Carpenter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2245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1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Don P. Carpenter</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/s/ Bradbury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32245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3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Bradbury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322453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Pastora San Juan Cafferty</w:t>
      </w:r>
    </w:p>
    <w:p>
      <w:pPr>
        <w:spacing w:after="0" w:line="24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 Frank M. Clark,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22453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1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Frank M. Clark, Jr.</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 Patrick W. Gross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2245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1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Patrick W. Gross</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 John C. Pope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22453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1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John C. Pope</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 W. Robert Reum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22453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1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 Robert Reum</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5"/>
          <w:szCs w:val="15"/>
          <w:color w:val="auto"/>
        </w:rPr>
        <w:t>/s/ Thomas H. Weidemeyer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322453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51"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Thomas H. Weidemeyer</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1740"/>
        <w:spacing w:after="0"/>
        <w:rPr>
          <w:sz w:val="20"/>
          <w:szCs w:val="20"/>
          <w:color w:val="auto"/>
        </w:rPr>
      </w:pPr>
      <w:r>
        <w:rPr>
          <w:rFonts w:ascii="Arial" w:cs="Arial" w:eastAsia="Arial" w:hAnsi="Arial"/>
          <w:sz w:val="14"/>
          <w:szCs w:val="14"/>
          <w:b w:val="1"/>
          <w:bCs w:val="1"/>
          <w:u w:val="single" w:color="auto"/>
          <w:color w:val="auto"/>
        </w:rPr>
        <w:t>Title</w:t>
      </w:r>
    </w:p>
    <w:p>
      <w:pPr>
        <w:spacing w:after="0" w:line="235"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President, Chief Executive Officer and Director</w:t>
      </w:r>
    </w:p>
    <w:p>
      <w:pPr>
        <w:spacing w:after="0" w:line="15"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(Principal Executive Officer)</w:t>
      </w:r>
    </w:p>
    <w:p>
      <w:pPr>
        <w:spacing w:after="0" w:line="246" w:lineRule="exact"/>
        <w:rPr>
          <w:sz w:val="20"/>
          <w:szCs w:val="20"/>
          <w:color w:val="auto"/>
        </w:rPr>
      </w:pPr>
    </w:p>
    <w:p>
      <w:pPr>
        <w:jc w:val="center"/>
        <w:ind w:right="680"/>
        <w:spacing w:after="0"/>
        <w:rPr>
          <w:sz w:val="20"/>
          <w:szCs w:val="20"/>
          <w:color w:val="auto"/>
        </w:rPr>
      </w:pPr>
      <w:r>
        <w:rPr>
          <w:rFonts w:ascii="Arial" w:cs="Arial" w:eastAsia="Arial" w:hAnsi="Arial"/>
          <w:sz w:val="16"/>
          <w:szCs w:val="16"/>
          <w:color w:val="auto"/>
        </w:rPr>
        <w:t>Executive Vice President and Chief Financial Officer</w:t>
      </w:r>
    </w:p>
    <w:p>
      <w:pPr>
        <w:spacing w:after="0" w:line="38"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(Principal Financial Officer)</w:t>
      </w:r>
    </w:p>
    <w:p>
      <w:pPr>
        <w:spacing w:after="0" w:line="259"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Vice President and Chief Accounting Officer</w:t>
      </w:r>
    </w:p>
    <w:p>
      <w:pPr>
        <w:spacing w:after="0" w:line="15"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(Principal Accounting Officer)</w:t>
      </w:r>
    </w:p>
    <w:p>
      <w:pPr>
        <w:spacing w:after="0" w:line="246"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Chairman of the Board and Director</w:t>
      </w:r>
    </w:p>
    <w:p>
      <w:pPr>
        <w:spacing w:after="0" w:line="200" w:lineRule="exact"/>
        <w:rPr>
          <w:sz w:val="20"/>
          <w:szCs w:val="20"/>
          <w:color w:val="auto"/>
        </w:rPr>
      </w:pPr>
    </w:p>
    <w:p>
      <w:pPr>
        <w:spacing w:after="0" w:line="268"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Director</w:t>
      </w:r>
    </w:p>
    <w:sectPr>
      <w:pgSz w:w="11900" w:h="16838" w:orient="portrait"/>
      <w:cols w:equalWidth="0" w:num="2">
        <w:col w:w="6280" w:space="720"/>
        <w:col w:w="4420"/>
      </w:cols>
      <w:pgMar w:left="240" w:top="125"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2019-12-09T09:56:21Z</dcterms:created>
  <dcterms:modified xsi:type="dcterms:W3CDTF">2019-12-09T09:56:21Z</dcterms:modified>
</cp:coreProperties>
</file>