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 Prospectus Supplement</w:t>
        </w:r>
      </w:hyperlink>
    </w:p>
    <w:p>
      <w:pPr>
        <w:spacing w:after="0"/>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333-207628</w:t>
      </w:r>
    </w:p>
    <w:p>
      <w:pPr>
        <w:spacing w:after="0" w:line="213" w:lineRule="exact"/>
        <w:rPr>
          <w:sz w:val="24"/>
          <w:szCs w:val="24"/>
          <w:color w:val="auto"/>
        </w:rPr>
      </w:pPr>
    </w:p>
    <w:p>
      <w:pPr>
        <w:ind w:right="240"/>
        <w:spacing w:after="0" w:line="262" w:lineRule="auto"/>
        <w:rPr>
          <w:sz w:val="20"/>
          <w:szCs w:val="20"/>
          <w:color w:val="auto"/>
        </w:rPr>
      </w:pPr>
      <w:r>
        <w:rPr>
          <w:rFonts w:ascii="Arial" w:cs="Arial" w:eastAsia="Arial" w:hAnsi="Arial"/>
          <w:sz w:val="18"/>
          <w:szCs w:val="18"/>
          <w:b w:val="1"/>
          <w:bCs w:val="1"/>
          <w:color w:val="FF4040"/>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OCTOBER 30,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27, 2015)</w:t>
      </w:r>
    </w:p>
    <w:p>
      <w:pPr>
        <w:spacing w:after="0" w:line="199" w:lineRule="exact"/>
        <w:rPr>
          <w:sz w:val="24"/>
          <w:szCs w:val="24"/>
          <w:color w:val="auto"/>
        </w:rPr>
      </w:pPr>
    </w:p>
    <w:p>
      <w:pPr>
        <w:ind w:left="5340"/>
        <w:spacing w:after="0"/>
        <w:rPr>
          <w:sz w:val="20"/>
          <w:szCs w:val="20"/>
          <w:color w:val="auto"/>
        </w:rPr>
      </w:pPr>
      <w:r>
        <w:rPr>
          <w:rFonts w:ascii="Arial" w:cs="Arial" w:eastAsia="Arial" w:hAnsi="Arial"/>
          <w:sz w:val="24"/>
          <w:szCs w:val="2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160020</wp:posOffset>
            </wp:positionV>
            <wp:extent cx="198945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945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 Senior Notes due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11420"/>
          </w:cols>
          <w:pgMar w:left="240" w:top="685" w:right="239" w:bottom="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360"/>
        <w:spacing w:after="0"/>
        <w:tabs>
          <w:tab w:leader="none" w:pos="1960" w:val="left"/>
          <w:tab w:leader="none" w:pos="310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8"/>
          <w:szCs w:val="18"/>
          <w:color w:val="auto"/>
        </w:rPr>
        <w:t>million of our</w:t>
      </w:r>
      <w:r>
        <w:rPr>
          <w:sz w:val="20"/>
          <w:szCs w:val="20"/>
          <w:color w:val="auto"/>
        </w:rPr>
        <w:tab/>
      </w:r>
      <w:r>
        <w:rPr>
          <w:rFonts w:ascii="Arial" w:cs="Arial" w:eastAsia="Arial" w:hAnsi="Arial"/>
          <w:sz w:val="15"/>
          <w:szCs w:val="15"/>
          <w:color w:val="auto"/>
        </w:rPr>
        <w:t>% senior notes due</w:t>
      </w:r>
    </w:p>
    <w:p>
      <w:pPr>
        <w:spacing w:after="0" w:line="15" w:lineRule="exact"/>
        <w:rPr>
          <w:sz w:val="24"/>
          <w:szCs w:val="24"/>
          <w:color w:val="auto"/>
        </w:rPr>
      </w:pPr>
    </w:p>
    <w:p>
      <w:pPr>
        <w:spacing w:after="0"/>
        <w:tabs>
          <w:tab w:leader="none" w:pos="1220" w:val="left"/>
          <w:tab w:leader="none" w:pos="256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5"/>
          <w:szCs w:val="15"/>
          <w:color w:val="auto"/>
        </w:rPr>
        <w:t>of each year, beginning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220"/>
        <w:spacing w:after="0"/>
        <w:tabs>
          <w:tab w:leader="none" w:pos="3660" w:val="left"/>
        </w:tabs>
        <w:rPr>
          <w:sz w:val="20"/>
          <w:szCs w:val="20"/>
          <w:color w:val="auto"/>
        </w:rPr>
      </w:pPr>
      <w:r>
        <w:rPr>
          <w:rFonts w:ascii="Arial" w:cs="Arial" w:eastAsia="Arial" w:hAnsi="Arial"/>
          <w:sz w:val="18"/>
          <w:szCs w:val="18"/>
          <w:color w:val="auto"/>
        </w:rPr>
        <w:t>. Interest on the notes will accrue from</w:t>
      </w:r>
      <w:r>
        <w:rPr>
          <w:sz w:val="20"/>
          <w:szCs w:val="20"/>
          <w:color w:val="auto"/>
        </w:rPr>
        <w:tab/>
      </w:r>
      <w:r>
        <w:rPr>
          <w:rFonts w:ascii="Arial" w:cs="Arial" w:eastAsia="Arial" w:hAnsi="Arial"/>
          <w:sz w:val="16"/>
          <w:szCs w:val="16"/>
          <w:color w:val="auto"/>
        </w:rPr>
        <w:t>, 2017 and will be payable</w:t>
      </w:r>
    </w:p>
    <w:p>
      <w:pPr>
        <w:spacing w:after="0" w:line="15" w:lineRule="exact"/>
        <w:rPr>
          <w:sz w:val="24"/>
          <w:szCs w:val="24"/>
          <w:color w:val="auto"/>
        </w:rPr>
      </w:pPr>
    </w:p>
    <w:p>
      <w:pPr>
        <w:spacing w:after="0"/>
        <w:tabs>
          <w:tab w:leader="none" w:pos="2960" w:val="left"/>
          <w:tab w:leader="none" w:pos="3700" w:val="left"/>
        </w:tabs>
        <w:rPr>
          <w:sz w:val="20"/>
          <w:szCs w:val="20"/>
          <w:color w:val="auto"/>
        </w:rPr>
      </w:pPr>
      <w:r>
        <w:rPr>
          <w:rFonts w:ascii="Arial" w:cs="Arial" w:eastAsia="Arial" w:hAnsi="Arial"/>
          <w:sz w:val="18"/>
          <w:szCs w:val="18"/>
          <w:color w:val="auto"/>
        </w:rPr>
        <w:t>, 2018. The notes will mature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0" w:lineRule="exact"/>
        <w:rPr>
          <w:sz w:val="24"/>
          <w:szCs w:val="24"/>
          <w:color w:val="auto"/>
        </w:rPr>
      </w:pPr>
    </w:p>
    <w:p>
      <w:pPr>
        <w:sectPr>
          <w:pgSz w:w="11900" w:h="16838" w:orient="portrait"/>
          <w:cols w:equalWidth="0" w:num="2">
            <w:col w:w="4460" w:space="480"/>
            <w:col w:w="6480"/>
          </w:cols>
          <w:pgMar w:left="240" w:top="685" w:right="239" w:bottom="9" w:gutter="0" w:footer="0" w:header="0"/>
          <w:type w:val="continuous"/>
        </w:sectPr>
      </w:pPr>
    </w:p>
    <w:p>
      <w:pPr>
        <w:spacing w:after="0" w:line="19" w:lineRule="exact"/>
        <w:rPr>
          <w:sz w:val="24"/>
          <w:szCs w:val="24"/>
          <w:color w:val="auto"/>
        </w:rPr>
      </w:pPr>
    </w:p>
    <w:p>
      <w:pPr>
        <w:ind w:right="60" w:firstLine="348"/>
        <w:spacing w:after="0" w:line="259" w:lineRule="auto"/>
        <w:rPr>
          <w:sz w:val="20"/>
          <w:szCs w:val="20"/>
          <w:color w:val="auto"/>
        </w:rPr>
      </w:pPr>
      <w:r>
        <w:rPr>
          <w:rFonts w:ascii="Arial" w:cs="Arial" w:eastAsia="Arial" w:hAnsi="Arial"/>
          <w:sz w:val="18"/>
          <w:szCs w:val="18"/>
          <w:color w:val="auto"/>
        </w:rPr>
        <w:t>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194" w:lineRule="exact"/>
        <w:rPr>
          <w:sz w:val="24"/>
          <w:szCs w:val="24"/>
          <w:color w:val="auto"/>
        </w:rPr>
      </w:pPr>
    </w:p>
    <w:p>
      <w:pPr>
        <w:ind w:right="80" w:firstLine="348"/>
        <w:spacing w:after="0" w:line="268" w:lineRule="auto"/>
        <w:rPr>
          <w:sz w:val="20"/>
          <w:szCs w:val="20"/>
          <w:color w:val="auto"/>
        </w:rPr>
      </w:pPr>
      <w:r>
        <w:rPr>
          <w:rFonts w:ascii="Arial" w:cs="Arial" w:eastAsia="Arial" w:hAnsi="Arial"/>
          <w:sz w:val="18"/>
          <w:szCs w:val="18"/>
          <w:color w:val="auto"/>
        </w:rPr>
        <w:t>We may redeem the notes, in whole or in part, at any time at the redemption prices described beginning on page S-13. If a change of control triggering event as described beginning on page S-16 occurs, we may be required to offer to purchase the notes from holders.</w:t>
      </w:r>
    </w:p>
    <w:p>
      <w:pPr>
        <w:spacing w:after="0" w:line="167" w:lineRule="exact"/>
        <w:rPr>
          <w:sz w:val="24"/>
          <w:szCs w:val="24"/>
          <w:color w:val="auto"/>
        </w:rPr>
      </w:pPr>
    </w:p>
    <w:p>
      <w:pPr>
        <w:ind w:right="640" w:firstLine="351"/>
        <w:spacing w:after="0" w:line="256" w:lineRule="auto"/>
        <w:rPr>
          <w:sz w:val="20"/>
          <w:szCs w:val="20"/>
          <w:color w:val="auto"/>
        </w:rPr>
      </w:pPr>
      <w:r>
        <w:rPr>
          <w:rFonts w:ascii="Arial" w:cs="Arial" w:eastAsia="Arial" w:hAnsi="Arial"/>
          <w:sz w:val="22"/>
          <w:szCs w:val="22"/>
          <w:b w:val="1"/>
          <w:bCs w:val="1"/>
          <w:color w:val="auto"/>
        </w:rPr>
        <w:t>Investing in the notes involves risks. See "Risk Factors" beginning on page S-6 of this prospectus supplement and page 6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120650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right="60" w:firstLine="351"/>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75565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33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Per Note</w:t>
            </w:r>
          </w:p>
        </w:tc>
        <w:tc>
          <w:tcPr>
            <w:tcW w:w="136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Public Offering Price(1)</w:t>
            </w:r>
          </w:p>
        </w:tc>
        <w:tc>
          <w:tcPr>
            <w:tcW w:w="3320" w:type="dxa"/>
            <w:vAlign w:val="bottom"/>
          </w:tcPr>
          <w:p>
            <w:pPr>
              <w:spacing w:after="0"/>
              <w:rPr>
                <w:sz w:val="18"/>
                <w:szCs w:val="18"/>
                <w:color w:val="auto"/>
              </w:rPr>
            </w:pPr>
          </w:p>
        </w:tc>
        <w:tc>
          <w:tcPr>
            <w:tcW w:w="1260" w:type="dxa"/>
            <w:vAlign w:val="bottom"/>
          </w:tcPr>
          <w:p>
            <w:pPr>
              <w:jc w:val="right"/>
              <w:ind w:right="417"/>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6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3320" w:type="dxa"/>
            <w:vAlign w:val="bottom"/>
          </w:tcPr>
          <w:p>
            <w:pPr>
              <w:spacing w:after="0"/>
              <w:rPr>
                <w:sz w:val="18"/>
                <w:szCs w:val="18"/>
                <w:color w:val="auto"/>
              </w:rPr>
            </w:pPr>
          </w:p>
        </w:tc>
        <w:tc>
          <w:tcPr>
            <w:tcW w:w="1260" w:type="dxa"/>
            <w:vAlign w:val="bottom"/>
          </w:tcPr>
          <w:p>
            <w:pPr>
              <w:jc w:val="right"/>
              <w:ind w:right="417"/>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6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60" w:type="dxa"/>
            <w:vAlign w:val="bottom"/>
            <w:tcBorders>
              <w:bottom w:val="single" w:sz="8" w:color="auto"/>
            </w:tcBorders>
            <w:gridSpan w:val="3"/>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Proceeds to Us (excluding expenses)</w:t>
            </w:r>
          </w:p>
        </w:tc>
        <w:tc>
          <w:tcPr>
            <w:tcW w:w="1260" w:type="dxa"/>
            <w:vAlign w:val="bottom"/>
          </w:tcPr>
          <w:p>
            <w:pPr>
              <w:jc w:val="right"/>
              <w:ind w:right="417"/>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6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80" w:type="dxa"/>
            <w:vAlign w:val="bottom"/>
            <w:vMerge w:val="restart"/>
          </w:tcPr>
          <w:p>
            <w:pPr>
              <w:jc w:val="right"/>
              <w:ind w:right="72"/>
              <w:spacing w:after="0"/>
              <w:rPr>
                <w:sz w:val="20"/>
                <w:szCs w:val="20"/>
                <w:color w:val="auto"/>
              </w:rPr>
            </w:pPr>
            <w:r>
              <w:rPr>
                <w:rFonts w:ascii="Arial" w:cs="Arial" w:eastAsia="Arial" w:hAnsi="Arial"/>
                <w:sz w:val="18"/>
                <w:szCs w:val="18"/>
                <w:color w:val="auto"/>
                <w:w w:val="90"/>
              </w:rPr>
              <w:t>(1)</w:t>
            </w:r>
          </w:p>
        </w:tc>
        <w:tc>
          <w:tcPr>
            <w:tcW w:w="140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80" w:type="dxa"/>
            <w:vAlign w:val="bottom"/>
            <w:vMerge w:val="continue"/>
          </w:tcPr>
          <w:p>
            <w:pPr>
              <w:spacing w:after="0"/>
              <w:rPr>
                <w:sz w:val="24"/>
                <w:szCs w:val="24"/>
                <w:color w:val="auto"/>
              </w:rPr>
            </w:pPr>
          </w:p>
        </w:tc>
        <w:tc>
          <w:tcPr>
            <w:tcW w:w="3340" w:type="dxa"/>
            <w:vAlign w:val="bottom"/>
            <w:gridSpan w:val="3"/>
          </w:tcPr>
          <w:p>
            <w:pPr>
              <w:ind w:left="160"/>
              <w:spacing w:after="0"/>
              <w:rPr>
                <w:sz w:val="20"/>
                <w:szCs w:val="20"/>
                <w:color w:val="auto"/>
              </w:rPr>
            </w:pPr>
            <w:r>
              <w:rPr>
                <w:rFonts w:ascii="Arial" w:cs="Arial" w:eastAsia="Arial" w:hAnsi="Arial"/>
                <w:sz w:val="18"/>
                <w:szCs w:val="18"/>
                <w:color w:val="auto"/>
              </w:rPr>
              <w:t>Plus accrued interest from</w:t>
            </w:r>
          </w:p>
        </w:tc>
        <w:tc>
          <w:tcPr>
            <w:tcW w:w="3320" w:type="dxa"/>
            <w:vAlign w:val="bottom"/>
          </w:tcPr>
          <w:p>
            <w:pPr>
              <w:ind w:left="240"/>
              <w:spacing w:after="0"/>
              <w:rPr>
                <w:sz w:val="20"/>
                <w:szCs w:val="20"/>
                <w:color w:val="auto"/>
              </w:rPr>
            </w:pPr>
            <w:r>
              <w:rPr>
                <w:rFonts w:ascii="Arial" w:cs="Arial" w:eastAsia="Arial" w:hAnsi="Arial"/>
                <w:sz w:val="18"/>
                <w:szCs w:val="18"/>
                <w:color w:val="auto"/>
                <w:w w:val="97"/>
              </w:rPr>
              <w:t>, 2017, if delivery occurs after that date.</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225" w:lineRule="exact"/>
        <w:rPr>
          <w:sz w:val="24"/>
          <w:szCs w:val="24"/>
          <w:color w:val="auto"/>
        </w:rPr>
      </w:pPr>
    </w:p>
    <w:p>
      <w:pPr>
        <w:ind w:right="520" w:firstLine="348"/>
        <w:spacing w:after="0" w:line="332" w:lineRule="auto"/>
        <w:rPr>
          <w:sz w:val="20"/>
          <w:szCs w:val="20"/>
          <w:color w:val="auto"/>
        </w:rPr>
      </w:pPr>
      <w:r>
        <w:rPr>
          <w:rFonts w:ascii="Arial" w:cs="Arial" w:eastAsia="Arial" w:hAnsi="Arial"/>
          <w:sz w:val="16"/>
          <w:szCs w:val="16"/>
          <w:color w:val="auto"/>
        </w:rPr>
        <w:t>The underwriters expect to deliver the notes to investors on or about , 2017 only in book-entry form through the facilities of The Depository Trust Company and its participants, including Clearstream Banking S.A. and Euroclear Bank SA/NV, as operator of the Euroclear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93980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11420"/>
          </w:cols>
          <w:pgMar w:left="240" w:top="685" w:right="239" w:bottom="9"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Joint Book-Running Managers</w:t>
      </w:r>
    </w:p>
    <w:p>
      <w:pPr>
        <w:sectPr>
          <w:pgSz w:w="11900" w:h="16838" w:orient="portrait"/>
          <w:cols w:equalWidth="0" w:num="1">
            <w:col w:w="11420"/>
          </w:cols>
          <w:pgMar w:left="240" w:top="685" w:right="239" w:bottom="9" w:gutter="0" w:footer="0" w:header="0"/>
          <w:type w:val="continuous"/>
        </w:sectPr>
      </w:pPr>
    </w:p>
    <w:bookmarkStart w:id="1" w:name="page2"/>
    <w:bookmarkEnd w:id="1"/>
    <w:p>
      <w:pPr>
        <w:spacing w:after="0"/>
        <w:tabs>
          <w:tab w:leader="none" w:pos="4320" w:val="left"/>
          <w:tab w:leader="none" w:pos="9720" w:val="left"/>
        </w:tabs>
        <w:rPr>
          <w:sz w:val="20"/>
          <w:szCs w:val="20"/>
          <w:color w:val="auto"/>
        </w:rPr>
      </w:pPr>
      <w:r>
        <w:rPr>
          <w:rFonts w:ascii="Arial" w:cs="Arial" w:eastAsia="Arial" w:hAnsi="Arial"/>
          <w:sz w:val="32"/>
          <w:szCs w:val="32"/>
          <w:b w:val="1"/>
          <w:bCs w:val="1"/>
          <w:color w:val="auto"/>
        </w:rPr>
        <w:t>Barclays</w:t>
      </w:r>
      <w:r>
        <w:rPr>
          <w:sz w:val="20"/>
          <w:szCs w:val="20"/>
          <w:color w:val="auto"/>
        </w:rPr>
        <w:tab/>
      </w:r>
      <w:r>
        <w:rPr>
          <w:rFonts w:ascii="Arial" w:cs="Arial" w:eastAsia="Arial" w:hAnsi="Arial"/>
          <w:sz w:val="32"/>
          <w:szCs w:val="32"/>
          <w:b w:val="1"/>
          <w:bCs w:val="1"/>
          <w:color w:val="auto"/>
        </w:rPr>
        <w:t>BofA Merrill Lynch</w:t>
      </w:r>
      <w:r>
        <w:rPr>
          <w:sz w:val="20"/>
          <w:szCs w:val="20"/>
          <w:color w:val="auto"/>
        </w:rPr>
        <w:tab/>
      </w: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161925</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tabs>
          <w:tab w:leader="none" w:pos="300" w:val="left"/>
        </w:tabs>
        <w:rPr>
          <w:sz w:val="20"/>
          <w:szCs w:val="20"/>
          <w:color w:val="auto"/>
        </w:rPr>
      </w:pPr>
      <w:r>
        <w:rPr>
          <w:rFonts w:ascii="Arial" w:cs="Arial" w:eastAsia="Arial" w:hAnsi="Arial"/>
          <w:sz w:val="18"/>
          <w:szCs w:val="18"/>
          <w:color w:val="auto"/>
        </w:rPr>
        <w:t>October</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of operations and prospects may have changed since those dates.</w:t>
      </w:r>
    </w:p>
    <w:p>
      <w:pPr>
        <w:spacing w:after="0" w:line="382"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80" w:type="dxa"/>
            <w:vAlign w:val="bottom"/>
            <w:gridSpan w:val="4"/>
          </w:tcPr>
          <w:p>
            <w:pPr>
              <w:jc w:val="center"/>
              <w:ind w:right="3260"/>
              <w:spacing w:after="0"/>
              <w:rPr>
                <w:sz w:val="20"/>
                <w:szCs w:val="20"/>
                <w:color w:val="auto"/>
              </w:rPr>
            </w:pPr>
            <w:r>
              <w:rPr>
                <w:rFonts w:ascii="Arial" w:cs="Arial" w:eastAsia="Arial" w:hAnsi="Arial"/>
                <w:sz w:val="18"/>
                <w:szCs w:val="18"/>
                <w:b w:val="1"/>
                <w:bCs w:val="1"/>
                <w:color w:val="auto"/>
                <w:w w:val="96"/>
              </w:rPr>
              <w:t>TABLE OF CONTENTS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80" w:type="dxa"/>
            <w:vAlign w:val="bottom"/>
            <w:gridSpan w:val="4"/>
          </w:tcPr>
          <w:p>
            <w:pPr>
              <w:jc w:val="center"/>
              <w:ind w:right="3300"/>
              <w:spacing w:after="0"/>
              <w:rPr>
                <w:sz w:val="20"/>
                <w:szCs w:val="20"/>
                <w:color w:val="auto"/>
              </w:rPr>
            </w:pPr>
            <w:r>
              <w:rPr>
                <w:rFonts w:ascii="Arial" w:cs="Arial" w:eastAsia="Arial" w:hAnsi="Arial"/>
                <w:sz w:val="18"/>
                <w:szCs w:val="18"/>
                <w:b w:val="1"/>
                <w:bCs w:val="1"/>
                <w:color w:val="auto"/>
                <w:w w:val="85"/>
              </w:rPr>
              <w:t>Prospectus Supplement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800" w:type="dxa"/>
            <w:vAlign w:val="bottom"/>
            <w:gridSpan w:val="20"/>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20"/>
            <w:vMerge w:val="continue"/>
          </w:tcPr>
          <w:p>
            <w:pPr>
              <w:spacing w:after="0"/>
              <w:rPr>
                <w:sz w:val="14"/>
                <w:szCs w:val="14"/>
                <w:color w:val="auto"/>
              </w:rPr>
            </w:pPr>
          </w:p>
        </w:tc>
        <w:tc>
          <w:tcPr>
            <w:tcW w:w="340" w:type="dxa"/>
            <w:vAlign w:val="bottom"/>
            <w:gridSpan w:val="3"/>
          </w:tcPr>
          <w:p>
            <w:pPr>
              <w:jc w:val="right"/>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S-1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S-6</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7"/>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USE OF PROCEEDS</w:t>
              </w:r>
            </w:hyperlink>
          </w:p>
        </w:tc>
        <w:tc>
          <w:tcPr>
            <w:tcW w:w="7240" w:type="dxa"/>
            <w:vAlign w:val="bottom"/>
            <w:gridSpan w:val="1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S-9</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CAPITALIZATION</w:t>
              </w:r>
            </w:hyperlink>
          </w:p>
        </w:tc>
        <w:tc>
          <w:tcPr>
            <w:tcW w:w="120" w:type="dxa"/>
            <w:vAlign w:val="bottom"/>
          </w:tcPr>
          <w:p>
            <w:pPr>
              <w:spacing w:after="0"/>
              <w:rPr>
                <w:sz w:val="17"/>
                <w:szCs w:val="17"/>
                <w:color w:val="auto"/>
              </w:rPr>
            </w:pPr>
          </w:p>
        </w:tc>
        <w:tc>
          <w:tcPr>
            <w:tcW w:w="7240" w:type="dxa"/>
            <w:vAlign w:val="bottom"/>
            <w:gridSpan w:val="13"/>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13">
              <w:r>
                <w:rPr>
                  <w:rFonts w:ascii="Arial" w:cs="Arial" w:eastAsia="Arial" w:hAnsi="Arial"/>
                  <w:sz w:val="18"/>
                  <w:szCs w:val="18"/>
                  <w:color w:val="0000EE"/>
                  <w:w w:val="84"/>
                </w:rPr>
                <w:t>S-10</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NOTES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S-12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CERTAIN U.S. FEDERAL TAX CONSIDERATIONS FOR NON-U.S. HOLDERS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S-24</w:t>
              </w:r>
            </w:hyperlink>
          </w:p>
        </w:tc>
        <w:tc>
          <w:tcPr>
            <w:tcW w:w="0" w:type="dxa"/>
            <w:vAlign w:val="bottom"/>
          </w:tcPr>
          <w:p>
            <w:pPr>
              <w:spacing w:after="0"/>
              <w:rPr>
                <w:sz w:val="1"/>
                <w:szCs w:val="1"/>
                <w:color w:val="auto"/>
              </w:rPr>
            </w:pPr>
          </w:p>
        </w:tc>
      </w:tr>
      <w:tr>
        <w:trPr>
          <w:trHeight w:val="196"/>
        </w:trPr>
        <w:tc>
          <w:tcPr>
            <w:tcW w:w="59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UNDERWRITING (CONFLICTS OF INTEREST)</w:t>
              </w:r>
            </w:hyperlink>
          </w:p>
        </w:tc>
        <w:tc>
          <w:tcPr>
            <w:tcW w:w="2900" w:type="dxa"/>
            <w:vAlign w:val="bottom"/>
          </w:tcPr>
          <w:p>
            <w:pPr>
              <w:spacing w:after="0"/>
              <w:rPr>
                <w:sz w:val="17"/>
                <w:szCs w:val="17"/>
                <w:color w:val="auto"/>
              </w:rPr>
            </w:pPr>
          </w:p>
        </w:tc>
        <w:tc>
          <w:tcPr>
            <w:tcW w:w="3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4"/>
              </w:rPr>
            </w:pPr>
            <w:hyperlink w:anchor="page31">
              <w:r>
                <w:rPr>
                  <w:rFonts w:ascii="Arial" w:cs="Arial" w:eastAsia="Arial" w:hAnsi="Arial"/>
                  <w:sz w:val="18"/>
                  <w:szCs w:val="18"/>
                  <w:color w:val="0000EE"/>
                  <w:w w:val="84"/>
                </w:rPr>
                <w:t>S-28</w:t>
              </w:r>
            </w:hyperlink>
          </w:p>
        </w:tc>
        <w:tc>
          <w:tcPr>
            <w:tcW w:w="0" w:type="dxa"/>
            <w:vAlign w:val="bottom"/>
          </w:tcPr>
          <w:p>
            <w:pPr>
              <w:spacing w:after="0"/>
              <w:rPr>
                <w:sz w:val="1"/>
                <w:szCs w:val="1"/>
                <w:color w:val="auto"/>
              </w:rPr>
            </w:pPr>
          </w:p>
        </w:tc>
      </w:tr>
      <w:tr>
        <w:trPr>
          <w:trHeight w:val="196"/>
        </w:trPr>
        <w:tc>
          <w:tcPr>
            <w:tcW w:w="3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LEGAL MATTERS</w:t>
              </w:r>
            </w:hyperlink>
          </w:p>
        </w:tc>
        <w:tc>
          <w:tcPr>
            <w:tcW w:w="5180" w:type="dxa"/>
            <w:vAlign w:val="bottom"/>
            <w:gridSpan w:val="4"/>
          </w:tcPr>
          <w:p>
            <w:pPr>
              <w:spacing w:after="0"/>
              <w:rPr>
                <w:sz w:val="17"/>
                <w:szCs w:val="17"/>
                <w:color w:val="auto"/>
              </w:rPr>
            </w:pPr>
          </w:p>
        </w:tc>
        <w:tc>
          <w:tcPr>
            <w:tcW w:w="3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S-34</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17"/>
                <w:szCs w:val="17"/>
                <w:color w:val="auto"/>
              </w:rPr>
            </w:pPr>
          </w:p>
        </w:tc>
        <w:tc>
          <w:tcPr>
            <w:tcW w:w="7380" w:type="dxa"/>
            <w:vAlign w:val="bottom"/>
            <w:gridSpan w:val="15"/>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S-34</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INCORPORATION OF CERTAIN DOCUMENTS BY REFERENCE</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S-35</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60" w:type="dxa"/>
            <w:vAlign w:val="bottom"/>
            <w:tcBorders>
              <w:right w:val="single" w:sz="8" w:color="0000EE"/>
            </w:tcBorders>
            <w:gridSpan w:val="2"/>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83"/>
              </w:rPr>
              <w:t>Prospectus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800" w:type="dxa"/>
            <w:vAlign w:val="bottom"/>
            <w:gridSpan w:val="20"/>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FORWARD-LOOKING STATEMENTS</w:t>
              </w:r>
            </w:hyperlink>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20"/>
            <w:vMerge w:val="continue"/>
          </w:tcPr>
          <w:p>
            <w:pPr>
              <w:spacing w:after="0"/>
              <w:rPr>
                <w:sz w:val="14"/>
                <w:szCs w:val="14"/>
                <w:color w:val="auto"/>
              </w:rPr>
            </w:pPr>
          </w:p>
        </w:tc>
        <w:tc>
          <w:tcPr>
            <w:tcW w:w="340" w:type="dxa"/>
            <w:vAlign w:val="bottom"/>
            <w:gridSpan w:val="3"/>
          </w:tcPr>
          <w:p>
            <w:pPr>
              <w:jc w:val="right"/>
              <w:spacing w:after="0" w:line="170" w:lineRule="exact"/>
              <w:rPr>
                <w:rFonts w:ascii="Arial" w:cs="Arial" w:eastAsia="Arial" w:hAnsi="Arial"/>
                <w:sz w:val="18"/>
                <w:szCs w:val="18"/>
                <w:color w:val="0000EE"/>
              </w:rPr>
            </w:pPr>
            <w:hyperlink w:anchor="page40">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gridSpan w:val="1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ABOUT THIS PROSPECTUS</w:t>
              </w:r>
            </w:hyperlink>
          </w:p>
        </w:tc>
        <w:tc>
          <w:tcPr>
            <w:tcW w:w="6000" w:type="dxa"/>
            <w:vAlign w:val="bottom"/>
            <w:gridSpan w:val="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INCORPORATION OF CERTAIN DOCUMENTS BY REFERENCE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17"/>
          </w:tcPr>
          <w:p>
            <w:pPr>
              <w:spacing w:after="0" w:line="196"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WHERE YOU CAN FIND MORE INFORMATION</w:t>
              </w:r>
            </w:hyperlink>
          </w:p>
        </w:tc>
        <w:tc>
          <w:tcPr>
            <w:tcW w:w="1200" w:type="dxa"/>
            <w:vAlign w:val="bottom"/>
          </w:tcPr>
          <w:p>
            <w:pPr>
              <w:spacing w:after="0"/>
              <w:rPr>
                <w:sz w:val="17"/>
                <w:szCs w:val="17"/>
                <w:color w:val="auto"/>
              </w:rPr>
            </w:pPr>
          </w:p>
        </w:tc>
        <w:tc>
          <w:tcPr>
            <w:tcW w:w="386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THE COMPANY</w:t>
              </w:r>
            </w:hyperlink>
          </w:p>
        </w:tc>
        <w:tc>
          <w:tcPr>
            <w:tcW w:w="2480" w:type="dxa"/>
            <w:vAlign w:val="bottom"/>
            <w:gridSpan w:val="13"/>
          </w:tcPr>
          <w:p>
            <w:pPr>
              <w:spacing w:after="0"/>
              <w:rPr>
                <w:sz w:val="17"/>
                <w:szCs w:val="17"/>
                <w:color w:val="auto"/>
              </w:rPr>
            </w:pPr>
          </w:p>
        </w:tc>
        <w:tc>
          <w:tcPr>
            <w:tcW w:w="506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RISK FACTORS</w:t>
              </w:r>
            </w:hyperlink>
          </w:p>
        </w:tc>
        <w:tc>
          <w:tcPr>
            <w:tcW w:w="7540" w:type="dxa"/>
            <w:vAlign w:val="bottom"/>
            <w:gridSpan w:val="1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RATIO OF EARNINGS TO FIXED CHARGES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560" w:type="dxa"/>
            <w:vAlign w:val="bottom"/>
            <w:gridSpan w:val="7"/>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7"/>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USE OF PROCEEDS</w:t>
              </w:r>
            </w:hyperlink>
          </w:p>
        </w:tc>
        <w:tc>
          <w:tcPr>
            <w:tcW w:w="1860" w:type="dxa"/>
            <w:vAlign w:val="bottom"/>
            <w:gridSpan w:val="8"/>
          </w:tcPr>
          <w:p>
            <w:pPr>
              <w:spacing w:after="0"/>
              <w:rPr>
                <w:sz w:val="17"/>
                <w:szCs w:val="17"/>
                <w:color w:val="auto"/>
              </w:rPr>
            </w:pPr>
          </w:p>
        </w:tc>
        <w:tc>
          <w:tcPr>
            <w:tcW w:w="538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56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THE DEBT SECURITIES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DESCRIPTION OF GUARANTEES</w:t>
              </w:r>
            </w:hyperlink>
          </w:p>
        </w:tc>
        <w:tc>
          <w:tcPr>
            <w:tcW w:w="700" w:type="dxa"/>
            <w:vAlign w:val="bottom"/>
            <w:gridSpan w:val="3"/>
          </w:tcPr>
          <w:p>
            <w:pPr>
              <w:spacing w:after="0"/>
              <w:rPr>
                <w:sz w:val="17"/>
                <w:szCs w:val="17"/>
                <w:color w:val="auto"/>
              </w:rPr>
            </w:pPr>
          </w:p>
        </w:tc>
        <w:tc>
          <w:tcPr>
            <w:tcW w:w="546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17</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DESCRIPTION OF CAPITAL STOCK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OTHER SECURITIES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196"/>
        </w:trPr>
        <w:tc>
          <w:tcPr>
            <w:tcW w:w="30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PLAN OF DISTRIBUTION</w:t>
              </w:r>
            </w:hyperlink>
          </w:p>
        </w:tc>
        <w:tc>
          <w:tcPr>
            <w:tcW w:w="572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20</w:t>
              </w:r>
            </w:hyperlink>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SELLING SECURITYHOLDERS</w:t>
              </w:r>
            </w:hyperlink>
          </w:p>
        </w:tc>
        <w:tc>
          <w:tcPr>
            <w:tcW w:w="634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LEGAL MATTERS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17"/>
                <w:szCs w:val="17"/>
                <w:color w:val="auto"/>
              </w:rPr>
            </w:pPr>
          </w:p>
        </w:tc>
        <w:tc>
          <w:tcPr>
            <w:tcW w:w="738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4832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83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the documents incorporated by reference, in their entirety before making an investment decision.</w:t>
      </w:r>
    </w:p>
    <w:p>
      <w:pPr>
        <w:spacing w:after="0" w:line="167" w:lineRule="exact"/>
        <w:rPr>
          <w:sz w:val="20"/>
          <w:szCs w:val="20"/>
          <w:color w:val="auto"/>
        </w:rPr>
      </w:pPr>
    </w:p>
    <w:p>
      <w:pPr>
        <w:ind w:left="240" w:right="380" w:firstLine="351"/>
        <w:spacing w:after="0" w:line="268" w:lineRule="auto"/>
        <w:rPr>
          <w:sz w:val="20"/>
          <w:szCs w:val="20"/>
          <w:color w:val="auto"/>
        </w:rPr>
      </w:pPr>
      <w:r>
        <w:rPr>
          <w:rFonts w:ascii="Arial" w:cs="Arial" w:eastAsia="Arial" w:hAnsi="Arial"/>
          <w:sz w:val="18"/>
          <w:szCs w:val="18"/>
          <w:i w:val="1"/>
          <w:iCs w:val="1"/>
          <w:color w:val="auto"/>
        </w:rPr>
        <w:t>As used in this prospectus supplement, the terms "Waste Management," "we," "us" or "our" refer to Waste Management, Inc. and its consolidated subsidiaries, taken as a whole, unless the context clearly indicates otherwise.</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240" w:right="120" w:firstLine="348"/>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70" w:lineRule="exact"/>
        <w:rPr>
          <w:sz w:val="20"/>
          <w:szCs w:val="20"/>
          <w:color w:val="auto"/>
        </w:rPr>
      </w:pPr>
    </w:p>
    <w:p>
      <w:pPr>
        <w:ind w:left="240" w:right="160" w:firstLine="351"/>
        <w:spacing w:after="0" w:line="255" w:lineRule="auto"/>
        <w:rPr>
          <w:sz w:val="20"/>
          <w:szCs w:val="20"/>
          <w:color w:val="auto"/>
        </w:rPr>
      </w:pPr>
      <w:r>
        <w:rPr>
          <w:rFonts w:ascii="Arial" w:cs="Arial" w:eastAsia="Arial" w:hAnsi="Arial"/>
          <w:sz w:val="18"/>
          <w:szCs w:val="18"/>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Waste Management Holdings, Inc.</w:t>
      </w:r>
    </w:p>
    <w:p>
      <w:pPr>
        <w:spacing w:after="0" w:line="231" w:lineRule="exact"/>
        <w:rPr>
          <w:sz w:val="20"/>
          <w:szCs w:val="20"/>
          <w:color w:val="auto"/>
        </w:rPr>
      </w:pPr>
    </w:p>
    <w:p>
      <w:pPr>
        <w:ind w:left="240" w:right="100" w:firstLine="348"/>
        <w:spacing w:after="0" w:line="268"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Inc. WM Holdings is a holding company.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181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718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right="580" w:firstLine="351"/>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ind w:left="1340"/>
              <w:spacing w:after="0"/>
              <w:rPr>
                <w:sz w:val="20"/>
                <w:szCs w:val="20"/>
                <w:color w:val="auto"/>
              </w:rPr>
            </w:pPr>
            <w:r>
              <w:rPr>
                <w:rFonts w:ascii="Arial" w:cs="Arial" w:eastAsia="Arial" w:hAnsi="Arial"/>
                <w:sz w:val="18"/>
                <w:szCs w:val="18"/>
                <w:color w:val="auto"/>
              </w:rPr>
              <w:t>Issuer</w:t>
            </w:r>
          </w:p>
        </w:tc>
        <w:tc>
          <w:tcPr>
            <w:tcW w:w="4060" w:type="dxa"/>
            <w:vAlign w:val="bottom"/>
            <w:gridSpan w:val="3"/>
          </w:tcPr>
          <w:p>
            <w:pPr>
              <w:ind w:left="680"/>
              <w:spacing w:after="0"/>
              <w:rPr>
                <w:sz w:val="20"/>
                <w:szCs w:val="20"/>
                <w:color w:val="auto"/>
              </w:rPr>
            </w:pPr>
            <w:r>
              <w:rPr>
                <w:rFonts w:ascii="Arial" w:cs="Arial" w:eastAsia="Arial" w:hAnsi="Arial"/>
                <w:sz w:val="18"/>
                <w:szCs w:val="18"/>
                <w:color w:val="auto"/>
              </w:rPr>
              <w:t>Waste Management, Inc.</w:t>
            </w:r>
          </w:p>
        </w:tc>
        <w:tc>
          <w:tcPr>
            <w:tcW w:w="3600" w:type="dxa"/>
            <w:vAlign w:val="bottom"/>
          </w:tcPr>
          <w:p>
            <w:pPr>
              <w:spacing w:after="0"/>
              <w:rPr>
                <w:sz w:val="19"/>
                <w:szCs w:val="19"/>
                <w:color w:val="auto"/>
              </w:rPr>
            </w:pPr>
          </w:p>
        </w:tc>
      </w:tr>
      <w:tr>
        <w:trPr>
          <w:trHeight w:val="459"/>
        </w:trPr>
        <w:tc>
          <w:tcPr>
            <w:tcW w:w="3760" w:type="dxa"/>
            <w:vAlign w:val="bottom"/>
          </w:tcPr>
          <w:p>
            <w:pPr>
              <w:ind w:left="1340"/>
              <w:spacing w:after="0"/>
              <w:rPr>
                <w:sz w:val="20"/>
                <w:szCs w:val="20"/>
                <w:color w:val="auto"/>
              </w:rPr>
            </w:pPr>
            <w:r>
              <w:rPr>
                <w:rFonts w:ascii="Arial" w:cs="Arial" w:eastAsia="Arial" w:hAnsi="Arial"/>
                <w:sz w:val="18"/>
                <w:szCs w:val="18"/>
                <w:color w:val="auto"/>
              </w:rPr>
              <w:t>Securities Offered</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3180" w:type="dxa"/>
            <w:vAlign w:val="bottom"/>
            <w:gridSpan w:val="2"/>
          </w:tcPr>
          <w:p>
            <w:pPr>
              <w:ind w:left="240"/>
              <w:spacing w:after="0"/>
              <w:rPr>
                <w:sz w:val="20"/>
                <w:szCs w:val="20"/>
                <w:color w:val="auto"/>
              </w:rPr>
            </w:pPr>
            <w:r>
              <w:rPr>
                <w:rFonts w:ascii="Arial" w:cs="Arial" w:eastAsia="Arial" w:hAnsi="Arial"/>
                <w:sz w:val="18"/>
                <w:szCs w:val="18"/>
                <w:color w:val="auto"/>
                <w:w w:val="99"/>
              </w:rPr>
              <w:t>million aggregate principal amount of</w:t>
            </w:r>
          </w:p>
        </w:tc>
        <w:tc>
          <w:tcPr>
            <w:tcW w:w="3600" w:type="dxa"/>
            <w:vAlign w:val="bottom"/>
          </w:tcPr>
          <w:p>
            <w:pPr>
              <w:jc w:val="right"/>
              <w:ind w:right="2032"/>
              <w:spacing w:after="0"/>
              <w:rPr>
                <w:sz w:val="20"/>
                <w:szCs w:val="20"/>
                <w:color w:val="auto"/>
              </w:rPr>
            </w:pPr>
            <w:r>
              <w:rPr>
                <w:rFonts w:ascii="Arial" w:cs="Arial" w:eastAsia="Arial" w:hAnsi="Arial"/>
                <w:sz w:val="18"/>
                <w:szCs w:val="18"/>
                <w:color w:val="auto"/>
                <w:w w:val="91"/>
              </w:rPr>
              <w:t>% Senior Notes due</w:t>
            </w:r>
          </w:p>
        </w:tc>
      </w:tr>
      <w:tr>
        <w:trPr>
          <w:trHeight w:val="453"/>
        </w:trPr>
        <w:tc>
          <w:tcPr>
            <w:tcW w:w="3760" w:type="dxa"/>
            <w:vAlign w:val="bottom"/>
          </w:tcPr>
          <w:p>
            <w:pPr>
              <w:ind w:left="1340"/>
              <w:spacing w:after="0"/>
              <w:rPr>
                <w:sz w:val="20"/>
                <w:szCs w:val="20"/>
                <w:color w:val="auto"/>
              </w:rPr>
            </w:pPr>
            <w:r>
              <w:rPr>
                <w:rFonts w:ascii="Arial" w:cs="Arial" w:eastAsia="Arial" w:hAnsi="Arial"/>
                <w:sz w:val="18"/>
                <w:szCs w:val="18"/>
                <w:color w:val="auto"/>
              </w:rPr>
              <w:t>Subsidiary Guarantee</w:t>
            </w: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WM Holdings will fully and unconditionally guarantee, on a senior unsecured</w:t>
            </w:r>
          </w:p>
        </w:tc>
      </w:tr>
      <w:tr>
        <w:trPr>
          <w:trHeight w:val="216"/>
        </w:trPr>
        <w:tc>
          <w:tcPr>
            <w:tcW w:w="3760" w:type="dxa"/>
            <w:vAlign w:val="bottom"/>
          </w:tcPr>
          <w:p>
            <w:pPr>
              <w:spacing w:after="0"/>
              <w:rPr>
                <w:sz w:val="18"/>
                <w:szCs w:val="18"/>
                <w:color w:val="auto"/>
              </w:rPr>
            </w:pP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basis, the full and prompt payment of the principal and any premium and</w:t>
            </w:r>
          </w:p>
        </w:tc>
      </w:tr>
      <w:tr>
        <w:trPr>
          <w:trHeight w:val="216"/>
        </w:trPr>
        <w:tc>
          <w:tcPr>
            <w:tcW w:w="3760" w:type="dxa"/>
            <w:vAlign w:val="bottom"/>
          </w:tcPr>
          <w:p>
            <w:pPr>
              <w:spacing w:after="0"/>
              <w:rPr>
                <w:sz w:val="18"/>
                <w:szCs w:val="18"/>
                <w:color w:val="auto"/>
              </w:rPr>
            </w:pP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interest on the notes, when and as they become due and payable, whether at</w:t>
            </w:r>
          </w:p>
        </w:tc>
      </w:tr>
      <w:tr>
        <w:trPr>
          <w:trHeight w:val="222"/>
        </w:trPr>
        <w:tc>
          <w:tcPr>
            <w:tcW w:w="3760" w:type="dxa"/>
            <w:vAlign w:val="bottom"/>
          </w:tcPr>
          <w:p>
            <w:pPr>
              <w:spacing w:after="0"/>
              <w:rPr>
                <w:sz w:val="19"/>
                <w:szCs w:val="19"/>
                <w:color w:val="auto"/>
              </w:rPr>
            </w:pPr>
          </w:p>
        </w:tc>
        <w:tc>
          <w:tcPr>
            <w:tcW w:w="4060" w:type="dxa"/>
            <w:vAlign w:val="bottom"/>
            <w:gridSpan w:val="3"/>
          </w:tcPr>
          <w:p>
            <w:pPr>
              <w:ind w:left="680"/>
              <w:spacing w:after="0"/>
              <w:rPr>
                <w:sz w:val="20"/>
                <w:szCs w:val="20"/>
                <w:color w:val="auto"/>
              </w:rPr>
            </w:pPr>
            <w:r>
              <w:rPr>
                <w:rFonts w:ascii="Arial" w:cs="Arial" w:eastAsia="Arial" w:hAnsi="Arial"/>
                <w:sz w:val="18"/>
                <w:szCs w:val="18"/>
                <w:color w:val="auto"/>
              </w:rPr>
              <w:t>maturity or otherwise.</w:t>
            </w:r>
          </w:p>
        </w:tc>
        <w:tc>
          <w:tcPr>
            <w:tcW w:w="3600" w:type="dxa"/>
            <w:vAlign w:val="bottom"/>
          </w:tcPr>
          <w:p>
            <w:pPr>
              <w:spacing w:after="0"/>
              <w:rPr>
                <w:sz w:val="19"/>
                <w:szCs w:val="19"/>
                <w:color w:val="auto"/>
              </w:rPr>
            </w:pPr>
          </w:p>
        </w:tc>
      </w:tr>
      <w:tr>
        <w:trPr>
          <w:trHeight w:val="459"/>
        </w:trPr>
        <w:tc>
          <w:tcPr>
            <w:tcW w:w="3760" w:type="dxa"/>
            <w:vAlign w:val="bottom"/>
          </w:tcPr>
          <w:p>
            <w:pPr>
              <w:ind w:left="1340"/>
              <w:spacing w:after="0"/>
              <w:rPr>
                <w:sz w:val="20"/>
                <w:szCs w:val="20"/>
                <w:color w:val="auto"/>
              </w:rPr>
            </w:pPr>
            <w:r>
              <w:rPr>
                <w:rFonts w:ascii="Arial" w:cs="Arial" w:eastAsia="Arial" w:hAnsi="Arial"/>
                <w:sz w:val="18"/>
                <w:szCs w:val="18"/>
                <w:color w:val="auto"/>
              </w:rPr>
              <w:t>Maturity Date</w:t>
            </w:r>
          </w:p>
        </w:tc>
        <w:tc>
          <w:tcPr>
            <w:tcW w:w="88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9"/>
        </w:trPr>
        <w:tc>
          <w:tcPr>
            <w:tcW w:w="3760" w:type="dxa"/>
            <w:vAlign w:val="bottom"/>
          </w:tcPr>
          <w:p>
            <w:pPr>
              <w:ind w:left="1340"/>
              <w:spacing w:after="0"/>
              <w:rPr>
                <w:sz w:val="20"/>
                <w:szCs w:val="20"/>
                <w:color w:val="auto"/>
              </w:rPr>
            </w:pPr>
            <w:r>
              <w:rPr>
                <w:rFonts w:ascii="Arial" w:cs="Arial" w:eastAsia="Arial" w:hAnsi="Arial"/>
                <w:sz w:val="18"/>
                <w:szCs w:val="18"/>
                <w:color w:val="auto"/>
              </w:rPr>
              <w:t>Interest Rate</w:t>
            </w:r>
          </w:p>
        </w:tc>
        <w:tc>
          <w:tcPr>
            <w:tcW w:w="88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w w:val="94"/>
              </w:rPr>
              <w:t>% per year</w:t>
            </w:r>
          </w:p>
        </w:tc>
        <w:tc>
          <w:tcPr>
            <w:tcW w:w="22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9"/>
        </w:trPr>
        <w:tc>
          <w:tcPr>
            <w:tcW w:w="3760" w:type="dxa"/>
            <w:vAlign w:val="bottom"/>
          </w:tcPr>
          <w:p>
            <w:pPr>
              <w:ind w:left="1340"/>
              <w:spacing w:after="0"/>
              <w:rPr>
                <w:sz w:val="20"/>
                <w:szCs w:val="20"/>
                <w:color w:val="auto"/>
              </w:rPr>
            </w:pPr>
            <w:r>
              <w:rPr>
                <w:rFonts w:ascii="Arial" w:cs="Arial" w:eastAsia="Arial" w:hAnsi="Arial"/>
                <w:sz w:val="18"/>
                <w:szCs w:val="18"/>
                <w:color w:val="auto"/>
              </w:rPr>
              <w:t>Interest Payment Dates</w:t>
            </w:r>
          </w:p>
        </w:tc>
        <w:tc>
          <w:tcPr>
            <w:tcW w:w="880" w:type="dxa"/>
            <w:vAlign w:val="bottom"/>
          </w:tcPr>
          <w:p>
            <w:pPr>
              <w:spacing w:after="0"/>
              <w:rPr>
                <w:sz w:val="24"/>
                <w:szCs w:val="24"/>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and</w:t>
            </w:r>
          </w:p>
        </w:tc>
        <w:tc>
          <w:tcPr>
            <w:tcW w:w="2280" w:type="dxa"/>
            <w:vAlign w:val="bottom"/>
          </w:tcPr>
          <w:p>
            <w:pPr>
              <w:ind w:left="560"/>
              <w:spacing w:after="0"/>
              <w:rPr>
                <w:sz w:val="20"/>
                <w:szCs w:val="20"/>
                <w:color w:val="auto"/>
              </w:rPr>
            </w:pPr>
            <w:r>
              <w:rPr>
                <w:rFonts w:ascii="Arial" w:cs="Arial" w:eastAsia="Arial" w:hAnsi="Arial"/>
                <w:sz w:val="18"/>
                <w:szCs w:val="18"/>
                <w:color w:val="auto"/>
                <w:w w:val="90"/>
              </w:rPr>
              <w:t>of each year, beginning</w:t>
            </w:r>
          </w:p>
        </w:tc>
        <w:tc>
          <w:tcPr>
            <w:tcW w:w="3600" w:type="dxa"/>
            <w:vAlign w:val="bottom"/>
          </w:tcPr>
          <w:p>
            <w:pPr>
              <w:jc w:val="right"/>
              <w:ind w:right="2452"/>
              <w:spacing w:after="0"/>
              <w:rPr>
                <w:sz w:val="20"/>
                <w:szCs w:val="20"/>
                <w:color w:val="auto"/>
              </w:rPr>
            </w:pPr>
            <w:r>
              <w:rPr>
                <w:rFonts w:ascii="Arial" w:cs="Arial" w:eastAsia="Arial" w:hAnsi="Arial"/>
                <w:sz w:val="18"/>
                <w:szCs w:val="18"/>
                <w:color w:val="auto"/>
              </w:rPr>
              <w:t>, 2018</w:t>
            </w:r>
          </w:p>
        </w:tc>
      </w:tr>
      <w:tr>
        <w:trPr>
          <w:trHeight w:val="453"/>
        </w:trPr>
        <w:tc>
          <w:tcPr>
            <w:tcW w:w="3760" w:type="dxa"/>
            <w:vAlign w:val="bottom"/>
          </w:tcPr>
          <w:p>
            <w:pPr>
              <w:ind w:left="1340"/>
              <w:spacing w:after="0"/>
              <w:rPr>
                <w:sz w:val="20"/>
                <w:szCs w:val="20"/>
                <w:color w:val="auto"/>
              </w:rPr>
            </w:pPr>
            <w:r>
              <w:rPr>
                <w:rFonts w:ascii="Arial" w:cs="Arial" w:eastAsia="Arial" w:hAnsi="Arial"/>
                <w:sz w:val="18"/>
                <w:szCs w:val="18"/>
                <w:color w:val="auto"/>
              </w:rPr>
              <w:t>Optional Redemption</w:t>
            </w: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We may elect to redeem and repay any or all of the notes at any time in</w:t>
            </w:r>
          </w:p>
        </w:tc>
      </w:tr>
      <w:tr>
        <w:trPr>
          <w:trHeight w:val="216"/>
        </w:trPr>
        <w:tc>
          <w:tcPr>
            <w:tcW w:w="3760" w:type="dxa"/>
            <w:vAlign w:val="bottom"/>
          </w:tcPr>
          <w:p>
            <w:pPr>
              <w:spacing w:after="0"/>
              <w:rPr>
                <w:sz w:val="18"/>
                <w:szCs w:val="18"/>
                <w:color w:val="auto"/>
              </w:rPr>
            </w:pP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minimum principal amounts of $2,000 or any integral multiple of $1,000 in</w:t>
            </w:r>
          </w:p>
        </w:tc>
      </w:tr>
      <w:tr>
        <w:trPr>
          <w:trHeight w:val="216"/>
        </w:trPr>
        <w:tc>
          <w:tcPr>
            <w:tcW w:w="3760" w:type="dxa"/>
            <w:vAlign w:val="bottom"/>
          </w:tcPr>
          <w:p>
            <w:pPr>
              <w:spacing w:after="0"/>
              <w:rPr>
                <w:sz w:val="18"/>
                <w:szCs w:val="18"/>
                <w:color w:val="auto"/>
              </w:rPr>
            </w:pP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excess thereof. If we elect to redeem and repay the notes before the date that</w:t>
            </w:r>
          </w:p>
        </w:tc>
      </w:tr>
      <w:tr>
        <w:trPr>
          <w:trHeight w:val="216"/>
        </w:trPr>
        <w:tc>
          <w:tcPr>
            <w:tcW w:w="376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rPr>
              <w:t>is</w:t>
            </w:r>
          </w:p>
        </w:tc>
        <w:tc>
          <w:tcPr>
            <w:tcW w:w="6780" w:type="dxa"/>
            <w:vAlign w:val="bottom"/>
            <w:gridSpan w:val="3"/>
          </w:tcPr>
          <w:p>
            <w:pPr>
              <w:ind w:left="440"/>
              <w:spacing w:after="0"/>
              <w:rPr>
                <w:sz w:val="20"/>
                <w:szCs w:val="20"/>
                <w:color w:val="auto"/>
              </w:rPr>
            </w:pPr>
            <w:r>
              <w:rPr>
                <w:rFonts w:ascii="Arial" w:cs="Arial" w:eastAsia="Arial" w:hAnsi="Arial"/>
                <w:sz w:val="18"/>
                <w:szCs w:val="18"/>
                <w:color w:val="auto"/>
              </w:rPr>
              <w:t>months prior to the maturity date, we will pay an amount equal to the</w:t>
            </w:r>
          </w:p>
        </w:tc>
      </w:tr>
      <w:tr>
        <w:trPr>
          <w:trHeight w:val="216"/>
        </w:trPr>
        <w:tc>
          <w:tcPr>
            <w:tcW w:w="3760" w:type="dxa"/>
            <w:vAlign w:val="bottom"/>
          </w:tcPr>
          <w:p>
            <w:pPr>
              <w:spacing w:after="0"/>
              <w:rPr>
                <w:sz w:val="18"/>
                <w:szCs w:val="18"/>
                <w:color w:val="auto"/>
              </w:rPr>
            </w:pP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greater of 100% of the principal amount of the notes redeemed and repaid, or</w:t>
            </w:r>
          </w:p>
        </w:tc>
      </w:tr>
      <w:tr>
        <w:trPr>
          <w:trHeight w:val="216"/>
        </w:trPr>
        <w:tc>
          <w:tcPr>
            <w:tcW w:w="3760" w:type="dxa"/>
            <w:vAlign w:val="bottom"/>
          </w:tcPr>
          <w:p>
            <w:pPr>
              <w:spacing w:after="0"/>
              <w:rPr>
                <w:sz w:val="18"/>
                <w:szCs w:val="18"/>
                <w:color w:val="auto"/>
              </w:rPr>
            </w:pP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the sum of the present values of the remaining scheduled payments of principal</w:t>
            </w:r>
          </w:p>
        </w:tc>
      </w:tr>
      <w:tr>
        <w:trPr>
          <w:trHeight w:val="216"/>
        </w:trPr>
        <w:tc>
          <w:tcPr>
            <w:tcW w:w="3760" w:type="dxa"/>
            <w:vAlign w:val="bottom"/>
          </w:tcPr>
          <w:p>
            <w:pPr>
              <w:spacing w:after="0"/>
              <w:rPr>
                <w:sz w:val="18"/>
                <w:szCs w:val="18"/>
                <w:color w:val="auto"/>
              </w:rPr>
            </w:pP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and interest on the notes to be redeemed and repaid that would be due if the</w:t>
            </w:r>
          </w:p>
        </w:tc>
      </w:tr>
      <w:tr>
        <w:trPr>
          <w:trHeight w:val="216"/>
        </w:trPr>
        <w:tc>
          <w:tcPr>
            <w:tcW w:w="3760" w:type="dxa"/>
            <w:vAlign w:val="bottom"/>
          </w:tcPr>
          <w:p>
            <w:pPr>
              <w:spacing w:after="0"/>
              <w:rPr>
                <w:sz w:val="18"/>
                <w:szCs w:val="18"/>
                <w:color w:val="auto"/>
              </w:rPr>
            </w:pPr>
          </w:p>
        </w:tc>
        <w:tc>
          <w:tcPr>
            <w:tcW w:w="1780" w:type="dxa"/>
            <w:vAlign w:val="bottom"/>
            <w:gridSpan w:val="2"/>
          </w:tcPr>
          <w:p>
            <w:pPr>
              <w:ind w:left="680"/>
              <w:spacing w:after="0"/>
              <w:rPr>
                <w:sz w:val="20"/>
                <w:szCs w:val="20"/>
                <w:color w:val="auto"/>
              </w:rPr>
            </w:pPr>
            <w:r>
              <w:rPr>
                <w:rFonts w:ascii="Arial" w:cs="Arial" w:eastAsia="Arial" w:hAnsi="Arial"/>
                <w:sz w:val="18"/>
                <w:szCs w:val="18"/>
                <w:color w:val="auto"/>
                <w:w w:val="93"/>
              </w:rPr>
              <w:t>notes matured</w:t>
            </w:r>
          </w:p>
        </w:tc>
        <w:tc>
          <w:tcPr>
            <w:tcW w:w="5880" w:type="dxa"/>
            <w:vAlign w:val="bottom"/>
            <w:gridSpan w:val="2"/>
          </w:tcPr>
          <w:p>
            <w:pPr>
              <w:jc w:val="right"/>
              <w:ind w:right="1492"/>
              <w:spacing w:after="0"/>
              <w:rPr>
                <w:sz w:val="20"/>
                <w:szCs w:val="20"/>
                <w:color w:val="auto"/>
              </w:rPr>
            </w:pPr>
            <w:r>
              <w:rPr>
                <w:rFonts w:ascii="Arial" w:cs="Arial" w:eastAsia="Arial" w:hAnsi="Arial"/>
                <w:sz w:val="18"/>
                <w:szCs w:val="18"/>
                <w:color w:val="auto"/>
                <w:w w:val="98"/>
              </w:rPr>
              <w:t>months prior to the maturity date. If we elect to redeem</w:t>
            </w:r>
          </w:p>
        </w:tc>
      </w:tr>
      <w:tr>
        <w:trPr>
          <w:trHeight w:val="216"/>
        </w:trPr>
        <w:tc>
          <w:tcPr>
            <w:tcW w:w="3760" w:type="dxa"/>
            <w:vAlign w:val="bottom"/>
          </w:tcPr>
          <w:p>
            <w:pPr>
              <w:spacing w:after="0"/>
              <w:rPr>
                <w:sz w:val="18"/>
                <w:szCs w:val="18"/>
                <w:color w:val="auto"/>
              </w:rPr>
            </w:pPr>
          </w:p>
        </w:tc>
        <w:tc>
          <w:tcPr>
            <w:tcW w:w="4060" w:type="dxa"/>
            <w:vAlign w:val="bottom"/>
            <w:gridSpan w:val="3"/>
          </w:tcPr>
          <w:p>
            <w:pPr>
              <w:ind w:left="680"/>
              <w:spacing w:after="0"/>
              <w:rPr>
                <w:sz w:val="20"/>
                <w:szCs w:val="20"/>
                <w:color w:val="auto"/>
              </w:rPr>
            </w:pPr>
            <w:r>
              <w:rPr>
                <w:rFonts w:ascii="Arial" w:cs="Arial" w:eastAsia="Arial" w:hAnsi="Arial"/>
                <w:sz w:val="18"/>
                <w:szCs w:val="18"/>
                <w:color w:val="auto"/>
                <w:w w:val="90"/>
              </w:rPr>
              <w:t>and repay the notes on or after the date that is</w:t>
            </w:r>
          </w:p>
        </w:tc>
        <w:tc>
          <w:tcPr>
            <w:tcW w:w="3600" w:type="dxa"/>
            <w:vAlign w:val="bottom"/>
          </w:tcPr>
          <w:p>
            <w:pPr>
              <w:jc w:val="right"/>
              <w:ind w:right="1812"/>
              <w:spacing w:after="0"/>
              <w:rPr>
                <w:sz w:val="20"/>
                <w:szCs w:val="20"/>
                <w:color w:val="auto"/>
              </w:rPr>
            </w:pPr>
            <w:r>
              <w:rPr>
                <w:rFonts w:ascii="Arial" w:cs="Arial" w:eastAsia="Arial" w:hAnsi="Arial"/>
                <w:sz w:val="18"/>
                <w:szCs w:val="18"/>
                <w:color w:val="auto"/>
              </w:rPr>
              <w:t>months prior to the</w:t>
            </w:r>
          </w:p>
        </w:tc>
      </w:tr>
      <w:tr>
        <w:trPr>
          <w:trHeight w:val="216"/>
        </w:trPr>
        <w:tc>
          <w:tcPr>
            <w:tcW w:w="3760" w:type="dxa"/>
            <w:vAlign w:val="bottom"/>
          </w:tcPr>
          <w:p>
            <w:pPr>
              <w:spacing w:after="0"/>
              <w:rPr>
                <w:sz w:val="18"/>
                <w:szCs w:val="18"/>
                <w:color w:val="auto"/>
              </w:rPr>
            </w:pP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maturity date, we will pay an amount equal to 100% of the principal amount of</w:t>
            </w:r>
          </w:p>
        </w:tc>
      </w:tr>
      <w:tr>
        <w:trPr>
          <w:trHeight w:val="222"/>
        </w:trPr>
        <w:tc>
          <w:tcPr>
            <w:tcW w:w="3760" w:type="dxa"/>
            <w:vAlign w:val="bottom"/>
          </w:tcPr>
          <w:p>
            <w:pPr>
              <w:spacing w:after="0"/>
              <w:rPr>
                <w:sz w:val="19"/>
                <w:szCs w:val="19"/>
                <w:color w:val="auto"/>
              </w:rPr>
            </w:pPr>
          </w:p>
        </w:tc>
        <w:tc>
          <w:tcPr>
            <w:tcW w:w="4060" w:type="dxa"/>
            <w:vAlign w:val="bottom"/>
            <w:gridSpan w:val="3"/>
          </w:tcPr>
          <w:p>
            <w:pPr>
              <w:ind w:left="680"/>
              <w:spacing w:after="0"/>
              <w:rPr>
                <w:sz w:val="20"/>
                <w:szCs w:val="20"/>
                <w:color w:val="auto"/>
              </w:rPr>
            </w:pPr>
            <w:r>
              <w:rPr>
                <w:rFonts w:ascii="Arial" w:cs="Arial" w:eastAsia="Arial" w:hAnsi="Arial"/>
                <w:sz w:val="18"/>
                <w:szCs w:val="18"/>
                <w:color w:val="auto"/>
              </w:rPr>
              <w:t>the notes redeemed and repaid.</w:t>
            </w:r>
          </w:p>
        </w:tc>
        <w:tc>
          <w:tcPr>
            <w:tcW w:w="3600" w:type="dxa"/>
            <w:vAlign w:val="bottom"/>
          </w:tcPr>
          <w:p>
            <w:pPr>
              <w:spacing w:after="0"/>
              <w:rPr>
                <w:sz w:val="19"/>
                <w:szCs w:val="19"/>
                <w:color w:val="auto"/>
              </w:rPr>
            </w:pPr>
          </w:p>
        </w:tc>
      </w:tr>
      <w:tr>
        <w:trPr>
          <w:trHeight w:val="453"/>
        </w:trPr>
        <w:tc>
          <w:tcPr>
            <w:tcW w:w="3760" w:type="dxa"/>
            <w:vAlign w:val="bottom"/>
          </w:tcPr>
          <w:p>
            <w:pPr>
              <w:spacing w:after="0"/>
              <w:rPr>
                <w:sz w:val="24"/>
                <w:szCs w:val="24"/>
                <w:color w:val="auto"/>
              </w:rPr>
            </w:pP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We will pay accrued interest on the notes redeemed to the redemption date. See</w:t>
            </w:r>
          </w:p>
        </w:tc>
      </w:tr>
      <w:tr>
        <w:trPr>
          <w:trHeight w:val="222"/>
        </w:trPr>
        <w:tc>
          <w:tcPr>
            <w:tcW w:w="3760" w:type="dxa"/>
            <w:vAlign w:val="bottom"/>
          </w:tcPr>
          <w:p>
            <w:pPr>
              <w:spacing w:after="0"/>
              <w:rPr>
                <w:sz w:val="19"/>
                <w:szCs w:val="19"/>
                <w:color w:val="auto"/>
              </w:rPr>
            </w:pP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"Description of Notes—Optional Redemption" in this prospectus supplement.</w:t>
            </w:r>
          </w:p>
        </w:tc>
      </w:tr>
      <w:tr>
        <w:trPr>
          <w:trHeight w:val="453"/>
        </w:trPr>
        <w:tc>
          <w:tcPr>
            <w:tcW w:w="3760" w:type="dxa"/>
            <w:vAlign w:val="bottom"/>
          </w:tcPr>
          <w:p>
            <w:pPr>
              <w:ind w:left="1340"/>
              <w:spacing w:after="0"/>
              <w:rPr>
                <w:sz w:val="20"/>
                <w:szCs w:val="20"/>
                <w:color w:val="auto"/>
              </w:rPr>
            </w:pPr>
            <w:r>
              <w:rPr>
                <w:rFonts w:ascii="Arial" w:cs="Arial" w:eastAsia="Arial" w:hAnsi="Arial"/>
                <w:sz w:val="18"/>
                <w:szCs w:val="18"/>
                <w:color w:val="auto"/>
              </w:rPr>
              <w:t>Change of Control Offer</w:t>
            </w: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If a change of control triggering event occurs, holders of the notes may require</w:t>
            </w:r>
          </w:p>
        </w:tc>
      </w:tr>
      <w:tr>
        <w:trPr>
          <w:trHeight w:val="216"/>
        </w:trPr>
        <w:tc>
          <w:tcPr>
            <w:tcW w:w="3760" w:type="dxa"/>
            <w:vAlign w:val="bottom"/>
          </w:tcPr>
          <w:p>
            <w:pPr>
              <w:spacing w:after="0"/>
              <w:rPr>
                <w:sz w:val="18"/>
                <w:szCs w:val="18"/>
                <w:color w:val="auto"/>
              </w:rPr>
            </w:pP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us to purchase all or a portion of such holders' notes at a price equal to 101% of</w:t>
            </w:r>
          </w:p>
        </w:tc>
      </w:tr>
      <w:tr>
        <w:trPr>
          <w:trHeight w:val="216"/>
        </w:trPr>
        <w:tc>
          <w:tcPr>
            <w:tcW w:w="3760" w:type="dxa"/>
            <w:vAlign w:val="bottom"/>
          </w:tcPr>
          <w:p>
            <w:pPr>
              <w:spacing w:after="0"/>
              <w:rPr>
                <w:sz w:val="18"/>
                <w:szCs w:val="18"/>
                <w:color w:val="auto"/>
              </w:rPr>
            </w:pP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the principal amount, plus accrued interest, if any, to the date of purchase. See</w:t>
            </w:r>
          </w:p>
        </w:tc>
      </w:tr>
      <w:tr>
        <w:trPr>
          <w:trHeight w:val="216"/>
        </w:trPr>
        <w:tc>
          <w:tcPr>
            <w:tcW w:w="3760" w:type="dxa"/>
            <w:vAlign w:val="bottom"/>
          </w:tcPr>
          <w:p>
            <w:pPr>
              <w:spacing w:after="0"/>
              <w:rPr>
                <w:sz w:val="18"/>
                <w:szCs w:val="18"/>
                <w:color w:val="auto"/>
              </w:rPr>
            </w:pP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"Description of Notes—Change of Control Offer" in this prospectus</w:t>
            </w:r>
          </w:p>
        </w:tc>
      </w:tr>
      <w:tr>
        <w:trPr>
          <w:trHeight w:val="222"/>
        </w:trPr>
        <w:tc>
          <w:tcPr>
            <w:tcW w:w="3760" w:type="dxa"/>
            <w:vAlign w:val="bottom"/>
          </w:tcPr>
          <w:p>
            <w:pPr>
              <w:spacing w:after="0"/>
              <w:rPr>
                <w:sz w:val="19"/>
                <w:szCs w:val="19"/>
                <w:color w:val="auto"/>
              </w:rPr>
            </w:pPr>
          </w:p>
        </w:tc>
        <w:tc>
          <w:tcPr>
            <w:tcW w:w="1780" w:type="dxa"/>
            <w:vAlign w:val="bottom"/>
            <w:gridSpan w:val="2"/>
          </w:tcPr>
          <w:p>
            <w:pPr>
              <w:ind w:left="680"/>
              <w:spacing w:after="0"/>
              <w:rPr>
                <w:sz w:val="20"/>
                <w:szCs w:val="20"/>
                <w:color w:val="auto"/>
              </w:rPr>
            </w:pPr>
            <w:r>
              <w:rPr>
                <w:rFonts w:ascii="Arial" w:cs="Arial" w:eastAsia="Arial" w:hAnsi="Arial"/>
                <w:sz w:val="18"/>
                <w:szCs w:val="18"/>
                <w:color w:val="auto"/>
              </w:rPr>
              <w:t>supplement.</w:t>
            </w:r>
          </w:p>
        </w:tc>
        <w:tc>
          <w:tcPr>
            <w:tcW w:w="228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53"/>
        </w:trPr>
        <w:tc>
          <w:tcPr>
            <w:tcW w:w="3760" w:type="dxa"/>
            <w:vAlign w:val="bottom"/>
          </w:tcPr>
          <w:p>
            <w:pPr>
              <w:ind w:left="1340"/>
              <w:spacing w:after="0"/>
              <w:rPr>
                <w:sz w:val="20"/>
                <w:szCs w:val="20"/>
                <w:color w:val="auto"/>
              </w:rPr>
            </w:pPr>
            <w:r>
              <w:rPr>
                <w:rFonts w:ascii="Arial" w:cs="Arial" w:eastAsia="Arial" w:hAnsi="Arial"/>
                <w:sz w:val="18"/>
                <w:szCs w:val="18"/>
                <w:color w:val="auto"/>
              </w:rPr>
              <w:t>Ranking</w:t>
            </w: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The notes and the guarantee will constitute the senior unsecured debt of Waste</w:t>
            </w:r>
          </w:p>
        </w:tc>
      </w:tr>
      <w:tr>
        <w:trPr>
          <w:trHeight w:val="216"/>
        </w:trPr>
        <w:tc>
          <w:tcPr>
            <w:tcW w:w="3760" w:type="dxa"/>
            <w:vAlign w:val="bottom"/>
          </w:tcPr>
          <w:p>
            <w:pPr>
              <w:spacing w:after="0"/>
              <w:rPr>
                <w:sz w:val="18"/>
                <w:szCs w:val="18"/>
                <w:color w:val="auto"/>
              </w:rPr>
            </w:pP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Management, Inc. and WM Holdings, respectively, and will rank equally with</w:t>
            </w:r>
          </w:p>
        </w:tc>
      </w:tr>
      <w:tr>
        <w:trPr>
          <w:trHeight w:val="216"/>
        </w:trPr>
        <w:tc>
          <w:tcPr>
            <w:tcW w:w="3760" w:type="dxa"/>
            <w:vAlign w:val="bottom"/>
          </w:tcPr>
          <w:p>
            <w:pPr>
              <w:spacing w:after="0"/>
              <w:rPr>
                <w:sz w:val="18"/>
                <w:szCs w:val="18"/>
                <w:color w:val="auto"/>
              </w:rPr>
            </w:pPr>
          </w:p>
        </w:tc>
        <w:tc>
          <w:tcPr>
            <w:tcW w:w="7660" w:type="dxa"/>
            <w:vAlign w:val="bottom"/>
            <w:gridSpan w:val="4"/>
          </w:tcPr>
          <w:p>
            <w:pPr>
              <w:ind w:left="680"/>
              <w:spacing w:after="0"/>
              <w:rPr>
                <w:sz w:val="20"/>
                <w:szCs w:val="20"/>
                <w:color w:val="auto"/>
              </w:rPr>
            </w:pPr>
            <w:r>
              <w:rPr>
                <w:rFonts w:ascii="Arial" w:cs="Arial" w:eastAsia="Arial" w:hAnsi="Arial"/>
                <w:sz w:val="18"/>
                <w:szCs w:val="18"/>
                <w:color w:val="auto"/>
              </w:rPr>
              <w:t>all of our and its other existing and future senior obligations from time to time</w:t>
            </w:r>
          </w:p>
        </w:tc>
      </w:tr>
      <w:tr>
        <w:trPr>
          <w:trHeight w:val="222"/>
        </w:trPr>
        <w:tc>
          <w:tcPr>
            <w:tcW w:w="3760" w:type="dxa"/>
            <w:vAlign w:val="bottom"/>
          </w:tcPr>
          <w:p>
            <w:pPr>
              <w:spacing w:after="0"/>
              <w:rPr>
                <w:sz w:val="19"/>
                <w:szCs w:val="19"/>
                <w:color w:val="auto"/>
              </w:rPr>
            </w:pPr>
          </w:p>
        </w:tc>
        <w:tc>
          <w:tcPr>
            <w:tcW w:w="1780" w:type="dxa"/>
            <w:vAlign w:val="bottom"/>
            <w:gridSpan w:val="2"/>
          </w:tcPr>
          <w:p>
            <w:pPr>
              <w:ind w:left="680"/>
              <w:spacing w:after="0"/>
              <w:rPr>
                <w:sz w:val="20"/>
                <w:szCs w:val="20"/>
                <w:color w:val="auto"/>
              </w:rPr>
            </w:pPr>
            <w:r>
              <w:rPr>
                <w:rFonts w:ascii="Arial" w:cs="Arial" w:eastAsia="Arial" w:hAnsi="Arial"/>
                <w:sz w:val="18"/>
                <w:szCs w:val="18"/>
                <w:color w:val="auto"/>
              </w:rPr>
              <w:t>outstanding.</w:t>
            </w:r>
          </w:p>
        </w:tc>
        <w:tc>
          <w:tcPr>
            <w:tcW w:w="228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44"/>
        </w:trPr>
        <w:tc>
          <w:tcPr>
            <w:tcW w:w="37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427"/>
        </w:trPr>
        <w:tc>
          <w:tcPr>
            <w:tcW w:w="3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80" w:type="dxa"/>
            <w:vAlign w:val="bottom"/>
          </w:tcPr>
          <w:p>
            <w:pPr>
              <w:ind w:left="60"/>
              <w:spacing w:after="0"/>
              <w:rPr>
                <w:sz w:val="20"/>
                <w:szCs w:val="20"/>
                <w:color w:val="auto"/>
              </w:rPr>
            </w:pPr>
            <w:r>
              <w:rPr>
                <w:rFonts w:ascii="Arial" w:cs="Arial" w:eastAsia="Arial" w:hAnsi="Arial"/>
                <w:sz w:val="18"/>
                <w:szCs w:val="18"/>
                <w:color w:val="auto"/>
              </w:rPr>
              <w:t>S-2</w:t>
            </w:r>
          </w:p>
        </w:tc>
        <w:tc>
          <w:tcPr>
            <w:tcW w:w="3600" w:type="dxa"/>
            <w:vAlign w:val="bottom"/>
          </w:tcPr>
          <w:p>
            <w:pPr>
              <w:spacing w:after="0"/>
              <w:rPr>
                <w:sz w:val="24"/>
                <w:szCs w:val="24"/>
                <w:color w:val="auto"/>
              </w:rPr>
            </w:pPr>
          </w:p>
        </w:tc>
      </w:tr>
      <w:tr>
        <w:trPr>
          <w:trHeight w:val="228"/>
        </w:trPr>
        <w:tc>
          <w:tcPr>
            <w:tcW w:w="37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5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Covenants</w:t>
            </w:r>
          </w:p>
        </w:tc>
        <w:tc>
          <w:tcPr>
            <w:tcW w:w="7920" w:type="dxa"/>
            <w:vAlign w:val="bottom"/>
            <w:tcBorders>
              <w:top w:val="single" w:sz="8" w:color="auto"/>
              <w:right w:val="single" w:sz="8" w:color="auto"/>
            </w:tcBorders>
            <w:gridSpan w:val="2"/>
          </w:tcPr>
          <w:p>
            <w:pPr>
              <w:ind w:left="940"/>
              <w:spacing w:after="0"/>
              <w:rPr>
                <w:sz w:val="20"/>
                <w:szCs w:val="20"/>
                <w:color w:val="auto"/>
              </w:rPr>
            </w:pPr>
            <w:r>
              <w:rPr>
                <w:rFonts w:ascii="Arial" w:cs="Arial" w:eastAsia="Arial" w:hAnsi="Arial"/>
                <w:sz w:val="18"/>
                <w:szCs w:val="18"/>
                <w:color w:val="auto"/>
              </w:rPr>
              <w:t>We will issue the notes under an indenture containing covenants for your</w:t>
            </w:r>
          </w:p>
        </w:tc>
      </w:tr>
      <w:tr>
        <w:trPr>
          <w:trHeight w:val="222"/>
        </w:trPr>
        <w:tc>
          <w:tcPr>
            <w:tcW w:w="350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benefit. These covenants restrict our ability, with certain exceptions, to:</w:t>
            </w:r>
          </w:p>
        </w:tc>
      </w:tr>
      <w:tr>
        <w:trPr>
          <w:trHeight w:val="432"/>
        </w:trPr>
        <w:tc>
          <w:tcPr>
            <w:tcW w:w="3500" w:type="dxa"/>
            <w:vAlign w:val="bottom"/>
            <w:tcBorders>
              <w:left w:val="single" w:sz="8" w:color="auto"/>
            </w:tcBorders>
          </w:tcPr>
          <w:p>
            <w:pPr>
              <w:spacing w:after="0"/>
              <w:rPr>
                <w:sz w:val="24"/>
                <w:szCs w:val="24"/>
                <w:color w:val="auto"/>
              </w:rPr>
            </w:pPr>
          </w:p>
        </w:tc>
        <w:tc>
          <w:tcPr>
            <w:tcW w:w="5800" w:type="dxa"/>
            <w:vAlign w:val="bottom"/>
          </w:tcPr>
          <w:p>
            <w:pPr>
              <w:ind w:left="940"/>
              <w:spacing w:after="0"/>
              <w:rPr>
                <w:sz w:val="20"/>
                <w:szCs w:val="20"/>
                <w:color w:val="auto"/>
              </w:rPr>
            </w:pPr>
            <w:r>
              <w:rPr>
                <w:rFonts w:ascii="Arial" w:cs="Arial" w:eastAsia="Arial" w:hAnsi="Arial"/>
                <w:sz w:val="18"/>
                <w:szCs w:val="18"/>
                <w:color w:val="auto"/>
              </w:rPr>
              <w:t>•  create, incur or assume debt secured by liens;</w:t>
            </w:r>
          </w:p>
        </w:tc>
        <w:tc>
          <w:tcPr>
            <w:tcW w:w="2120" w:type="dxa"/>
            <w:vAlign w:val="bottom"/>
            <w:tcBorders>
              <w:right w:val="single" w:sz="8" w:color="auto"/>
            </w:tcBorders>
          </w:tcPr>
          <w:p>
            <w:pPr>
              <w:spacing w:after="0"/>
              <w:rPr>
                <w:sz w:val="24"/>
                <w:szCs w:val="24"/>
                <w:color w:val="auto"/>
              </w:rPr>
            </w:pPr>
          </w:p>
        </w:tc>
      </w:tr>
      <w:tr>
        <w:trPr>
          <w:trHeight w:val="432"/>
        </w:trPr>
        <w:tc>
          <w:tcPr>
            <w:tcW w:w="3500" w:type="dxa"/>
            <w:vAlign w:val="bottom"/>
            <w:tcBorders>
              <w:left w:val="single" w:sz="8" w:color="auto"/>
            </w:tcBorders>
          </w:tcPr>
          <w:p>
            <w:pPr>
              <w:spacing w:after="0"/>
              <w:rPr>
                <w:sz w:val="24"/>
                <w:szCs w:val="24"/>
                <w:color w:val="auto"/>
              </w:rPr>
            </w:pPr>
          </w:p>
        </w:tc>
        <w:tc>
          <w:tcPr>
            <w:tcW w:w="5800" w:type="dxa"/>
            <w:vAlign w:val="bottom"/>
          </w:tcPr>
          <w:p>
            <w:pPr>
              <w:ind w:left="940"/>
              <w:spacing w:after="0"/>
              <w:rPr>
                <w:sz w:val="20"/>
                <w:szCs w:val="20"/>
                <w:color w:val="auto"/>
              </w:rPr>
            </w:pPr>
            <w:r>
              <w:rPr>
                <w:rFonts w:ascii="Arial" w:cs="Arial" w:eastAsia="Arial" w:hAnsi="Arial"/>
                <w:sz w:val="18"/>
                <w:szCs w:val="18"/>
                <w:color w:val="auto"/>
              </w:rPr>
              <w:t>•  engage in sale and leaseback transactions; and</w:t>
            </w:r>
          </w:p>
        </w:tc>
        <w:tc>
          <w:tcPr>
            <w:tcW w:w="2120" w:type="dxa"/>
            <w:vAlign w:val="bottom"/>
            <w:tcBorders>
              <w:right w:val="single" w:sz="8" w:color="auto"/>
            </w:tcBorders>
          </w:tcPr>
          <w:p>
            <w:pPr>
              <w:spacing w:after="0"/>
              <w:rPr>
                <w:sz w:val="24"/>
                <w:szCs w:val="24"/>
                <w:color w:val="auto"/>
              </w:rPr>
            </w:pPr>
          </w:p>
        </w:tc>
      </w:tr>
      <w:tr>
        <w:trPr>
          <w:trHeight w:val="432"/>
        </w:trPr>
        <w:tc>
          <w:tcPr>
            <w:tcW w:w="3500" w:type="dxa"/>
            <w:vAlign w:val="bottom"/>
            <w:tcBorders>
              <w:left w:val="single" w:sz="8" w:color="auto"/>
            </w:tcBorders>
          </w:tcPr>
          <w:p>
            <w:pPr>
              <w:spacing w:after="0"/>
              <w:rPr>
                <w:sz w:val="24"/>
                <w:szCs w:val="24"/>
                <w:color w:val="auto"/>
              </w:rPr>
            </w:pPr>
          </w:p>
        </w:tc>
        <w:tc>
          <w:tcPr>
            <w:tcW w:w="5800" w:type="dxa"/>
            <w:vAlign w:val="bottom"/>
          </w:tcPr>
          <w:p>
            <w:pPr>
              <w:ind w:left="940"/>
              <w:spacing w:after="0"/>
              <w:rPr>
                <w:sz w:val="20"/>
                <w:szCs w:val="20"/>
                <w:color w:val="auto"/>
              </w:rPr>
            </w:pPr>
            <w:r>
              <w:rPr>
                <w:rFonts w:ascii="Arial" w:cs="Arial" w:eastAsia="Arial" w:hAnsi="Arial"/>
                <w:sz w:val="18"/>
                <w:szCs w:val="18"/>
                <w:color w:val="auto"/>
                <w:w w:val="89"/>
              </w:rPr>
              <w:t>•  merge, consolidate or transfer all or substantially all of our assets.</w:t>
            </w:r>
          </w:p>
        </w:tc>
        <w:tc>
          <w:tcPr>
            <w:tcW w:w="2120" w:type="dxa"/>
            <w:vAlign w:val="bottom"/>
            <w:tcBorders>
              <w:right w:val="single" w:sz="8" w:color="auto"/>
            </w:tcBorders>
          </w:tcPr>
          <w:p>
            <w:pPr>
              <w:spacing w:after="0"/>
              <w:rPr>
                <w:sz w:val="24"/>
                <w:szCs w:val="24"/>
                <w:color w:val="auto"/>
              </w:rPr>
            </w:pPr>
          </w:p>
        </w:tc>
      </w:tr>
      <w:tr>
        <w:trPr>
          <w:trHeight w:val="453"/>
        </w:trPr>
        <w:tc>
          <w:tcPr>
            <w:tcW w:w="35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 Proceeds</w:t>
            </w:r>
          </w:p>
        </w:tc>
        <w:tc>
          <w:tcPr>
            <w:tcW w:w="5800" w:type="dxa"/>
            <w:vAlign w:val="bottom"/>
          </w:tcPr>
          <w:p>
            <w:pPr>
              <w:ind w:left="940"/>
              <w:spacing w:after="0"/>
              <w:rPr>
                <w:sz w:val="20"/>
                <w:szCs w:val="20"/>
                <w:color w:val="auto"/>
              </w:rPr>
            </w:pPr>
            <w:r>
              <w:rPr>
                <w:rFonts w:ascii="Arial" w:cs="Arial" w:eastAsia="Arial" w:hAnsi="Arial"/>
                <w:sz w:val="18"/>
                <w:szCs w:val="18"/>
                <w:color w:val="auto"/>
                <w:w w:val="93"/>
              </w:rPr>
              <w:t>We expect the net proceeds from the offering of the notes to be $</w:t>
            </w:r>
          </w:p>
        </w:tc>
        <w:tc>
          <w:tcPr>
            <w:tcW w:w="2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million,</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after deducting the underwriting discount and estimated expenses of the</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offering that we will pay. We intend to use the net proceeds from the offering of</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the notes to redeem our $590 million aggregate principal amount of 6.10%</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Senior Notes due 2018. Pending application of the net proceeds as described</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immediately above, we anticipate that we may repay borrowings under our</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commercial paper program used for working capital, which is fully supported</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by our U.S. revolving credit facility (referred to herein as our "$2.25 billion</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revolving credit facility"), and we may temporarily invest in short-term</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investments. Any excess proceeds will be used for general corporate purposes.</w:t>
            </w:r>
          </w:p>
        </w:tc>
      </w:tr>
      <w:tr>
        <w:trPr>
          <w:trHeight w:val="222"/>
        </w:trPr>
        <w:tc>
          <w:tcPr>
            <w:tcW w:w="3500" w:type="dxa"/>
            <w:vAlign w:val="bottom"/>
            <w:tcBorders>
              <w:left w:val="single" w:sz="8" w:color="auto"/>
            </w:tcBorders>
          </w:tcPr>
          <w:p>
            <w:pPr>
              <w:spacing w:after="0"/>
              <w:rPr>
                <w:sz w:val="19"/>
                <w:szCs w:val="19"/>
                <w:color w:val="auto"/>
              </w:rPr>
            </w:pPr>
          </w:p>
        </w:tc>
        <w:tc>
          <w:tcPr>
            <w:tcW w:w="5800" w:type="dxa"/>
            <w:vAlign w:val="bottom"/>
          </w:tcPr>
          <w:p>
            <w:pPr>
              <w:ind w:left="940"/>
              <w:spacing w:after="0"/>
              <w:rPr>
                <w:sz w:val="20"/>
                <w:szCs w:val="20"/>
                <w:color w:val="auto"/>
              </w:rPr>
            </w:pPr>
            <w:r>
              <w:rPr>
                <w:rFonts w:ascii="Arial" w:cs="Arial" w:eastAsia="Arial" w:hAnsi="Arial"/>
                <w:sz w:val="18"/>
                <w:szCs w:val="18"/>
                <w:color w:val="auto"/>
              </w:rPr>
              <w:t>See "Use of Proceeds" in this prospectus supplement.</w:t>
            </w:r>
          </w:p>
        </w:tc>
        <w:tc>
          <w:tcPr>
            <w:tcW w:w="2120" w:type="dxa"/>
            <w:vAlign w:val="bottom"/>
            <w:tcBorders>
              <w:right w:val="single" w:sz="8" w:color="auto"/>
            </w:tcBorders>
          </w:tcPr>
          <w:p>
            <w:pPr>
              <w:spacing w:after="0"/>
              <w:rPr>
                <w:sz w:val="19"/>
                <w:szCs w:val="19"/>
                <w:color w:val="auto"/>
              </w:rPr>
            </w:pPr>
          </w:p>
        </w:tc>
      </w:tr>
      <w:tr>
        <w:trPr>
          <w:trHeight w:val="453"/>
        </w:trPr>
        <w:tc>
          <w:tcPr>
            <w:tcW w:w="3500" w:type="dxa"/>
            <w:vAlign w:val="bottom"/>
            <w:tcBorders>
              <w:left w:val="single" w:sz="8" w:color="auto"/>
            </w:tcBorders>
          </w:tcPr>
          <w:p>
            <w:pPr>
              <w:spacing w:after="0"/>
              <w:rPr>
                <w:sz w:val="24"/>
                <w:szCs w:val="24"/>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Certain affiliates of some of the underwriters in this offering are lenders to us</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under our $2.25 billion revolving credit facility and may receive 5% or more of</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the net proceeds of this offering by reason of the repayment of amounts</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outstanding under our commercial paper program, which is fully supported by</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such credit facility, pending application of the net proceeds as described in the</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initial paragraph under "Use of Proceeds" in this prospectus supplement.</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Accordingly, such underwriters are deemed to have a "conflict of interest"</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within the meaning of FINRA Rule 5121, and this offering will be conducted in</w:t>
            </w:r>
          </w:p>
        </w:tc>
      </w:tr>
      <w:tr>
        <w:trPr>
          <w:trHeight w:val="222"/>
        </w:trPr>
        <w:tc>
          <w:tcPr>
            <w:tcW w:w="350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accordance with FINRA Rule 5121. See "Underwriting (Conflicts of Interest)."</w:t>
            </w:r>
          </w:p>
        </w:tc>
      </w:tr>
      <w:tr>
        <w:trPr>
          <w:trHeight w:val="459"/>
        </w:trPr>
        <w:tc>
          <w:tcPr>
            <w:tcW w:w="35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Trustee</w:t>
            </w:r>
          </w:p>
        </w:tc>
        <w:tc>
          <w:tcPr>
            <w:tcW w:w="5800" w:type="dxa"/>
            <w:vAlign w:val="bottom"/>
          </w:tcPr>
          <w:p>
            <w:pPr>
              <w:ind w:left="940"/>
              <w:spacing w:after="0"/>
              <w:rPr>
                <w:sz w:val="20"/>
                <w:szCs w:val="20"/>
                <w:color w:val="auto"/>
              </w:rPr>
            </w:pPr>
            <w:r>
              <w:rPr>
                <w:rFonts w:ascii="Arial" w:cs="Arial" w:eastAsia="Arial" w:hAnsi="Arial"/>
                <w:sz w:val="18"/>
                <w:szCs w:val="18"/>
                <w:color w:val="auto"/>
              </w:rPr>
              <w:t>The Bank of New York Mellon Trust Company, N.A.</w:t>
            </w:r>
          </w:p>
        </w:tc>
        <w:tc>
          <w:tcPr>
            <w:tcW w:w="2120" w:type="dxa"/>
            <w:vAlign w:val="bottom"/>
            <w:tcBorders>
              <w:right w:val="single" w:sz="8" w:color="auto"/>
            </w:tcBorders>
          </w:tcPr>
          <w:p>
            <w:pPr>
              <w:spacing w:after="0"/>
              <w:rPr>
                <w:sz w:val="24"/>
                <w:szCs w:val="24"/>
                <w:color w:val="auto"/>
              </w:rPr>
            </w:pPr>
          </w:p>
        </w:tc>
      </w:tr>
      <w:tr>
        <w:trPr>
          <w:trHeight w:val="453"/>
        </w:trPr>
        <w:tc>
          <w:tcPr>
            <w:tcW w:w="35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Additional Issues</w:t>
            </w: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We may create and issue additional notes ranking equally and ratably with the</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notes offered by this prospectus supplement in all respects, so that such</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additional notes will be consolidated and form a single series with the notes</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offered by this prospectus supplement and will have the same terms, as to</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status, redemption or otherwise except for the issue date, the initial interest</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payment date, if applicable, and the payment of interest accruing prior to the</w:t>
            </w:r>
          </w:p>
        </w:tc>
      </w:tr>
      <w:tr>
        <w:trPr>
          <w:trHeight w:val="222"/>
        </w:trPr>
        <w:tc>
          <w:tcPr>
            <w:tcW w:w="3500" w:type="dxa"/>
            <w:vAlign w:val="bottom"/>
            <w:tcBorders>
              <w:left w:val="single" w:sz="8" w:color="auto"/>
            </w:tcBorders>
          </w:tcPr>
          <w:p>
            <w:pPr>
              <w:spacing w:after="0"/>
              <w:rPr>
                <w:sz w:val="19"/>
                <w:szCs w:val="19"/>
                <w:color w:val="auto"/>
              </w:rPr>
            </w:pPr>
          </w:p>
        </w:tc>
        <w:tc>
          <w:tcPr>
            <w:tcW w:w="5800" w:type="dxa"/>
            <w:vAlign w:val="bottom"/>
          </w:tcPr>
          <w:p>
            <w:pPr>
              <w:ind w:left="940"/>
              <w:spacing w:after="0"/>
              <w:rPr>
                <w:sz w:val="20"/>
                <w:szCs w:val="20"/>
                <w:color w:val="auto"/>
              </w:rPr>
            </w:pPr>
            <w:r>
              <w:rPr>
                <w:rFonts w:ascii="Arial" w:cs="Arial" w:eastAsia="Arial" w:hAnsi="Arial"/>
                <w:sz w:val="18"/>
                <w:szCs w:val="18"/>
                <w:color w:val="auto"/>
              </w:rPr>
              <w:t>issue date of such additional notes.</w:t>
            </w:r>
          </w:p>
        </w:tc>
        <w:tc>
          <w:tcPr>
            <w:tcW w:w="2120" w:type="dxa"/>
            <w:vAlign w:val="bottom"/>
            <w:tcBorders>
              <w:right w:val="single" w:sz="8" w:color="auto"/>
            </w:tcBorders>
          </w:tcPr>
          <w:p>
            <w:pPr>
              <w:spacing w:after="0"/>
              <w:rPr>
                <w:sz w:val="19"/>
                <w:szCs w:val="19"/>
                <w:color w:val="auto"/>
              </w:rPr>
            </w:pPr>
          </w:p>
        </w:tc>
      </w:tr>
      <w:tr>
        <w:trPr>
          <w:trHeight w:val="453"/>
        </w:trPr>
        <w:tc>
          <w:tcPr>
            <w:tcW w:w="35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See page S-6 of this prospectus supplement and page 6 of the accompanying</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940"/>
              <w:spacing w:after="0"/>
              <w:rPr>
                <w:sz w:val="20"/>
                <w:szCs w:val="20"/>
                <w:color w:val="auto"/>
              </w:rPr>
            </w:pPr>
            <w:r>
              <w:rPr>
                <w:rFonts w:ascii="Arial" w:cs="Arial" w:eastAsia="Arial" w:hAnsi="Arial"/>
                <w:sz w:val="18"/>
                <w:szCs w:val="18"/>
                <w:color w:val="auto"/>
              </w:rPr>
              <w:t>prospectus for a discussion of the risks you should consider before investing in</w:t>
            </w:r>
          </w:p>
        </w:tc>
      </w:tr>
      <w:tr>
        <w:trPr>
          <w:trHeight w:val="222"/>
        </w:trPr>
        <w:tc>
          <w:tcPr>
            <w:tcW w:w="3500" w:type="dxa"/>
            <w:vAlign w:val="bottom"/>
            <w:tcBorders>
              <w:left w:val="single" w:sz="8" w:color="auto"/>
            </w:tcBorders>
          </w:tcPr>
          <w:p>
            <w:pPr>
              <w:spacing w:after="0"/>
              <w:rPr>
                <w:sz w:val="19"/>
                <w:szCs w:val="19"/>
                <w:color w:val="auto"/>
              </w:rPr>
            </w:pPr>
          </w:p>
        </w:tc>
        <w:tc>
          <w:tcPr>
            <w:tcW w:w="5800" w:type="dxa"/>
            <w:vAlign w:val="bottom"/>
          </w:tcPr>
          <w:p>
            <w:pPr>
              <w:ind w:left="940"/>
              <w:spacing w:after="0"/>
              <w:rPr>
                <w:sz w:val="20"/>
                <w:szCs w:val="20"/>
                <w:color w:val="auto"/>
              </w:rPr>
            </w:pPr>
            <w:r>
              <w:rPr>
                <w:rFonts w:ascii="Arial" w:cs="Arial" w:eastAsia="Arial" w:hAnsi="Arial"/>
                <w:sz w:val="18"/>
                <w:szCs w:val="18"/>
                <w:color w:val="auto"/>
              </w:rPr>
              <w:t>the notes.</w:t>
            </w:r>
          </w:p>
        </w:tc>
        <w:tc>
          <w:tcPr>
            <w:tcW w:w="2120" w:type="dxa"/>
            <w:vAlign w:val="bottom"/>
            <w:tcBorders>
              <w:right w:val="single" w:sz="8" w:color="auto"/>
            </w:tcBorders>
          </w:tcPr>
          <w:p>
            <w:pPr>
              <w:spacing w:after="0"/>
              <w:rPr>
                <w:sz w:val="19"/>
                <w:szCs w:val="19"/>
                <w:color w:val="auto"/>
              </w:rPr>
            </w:pPr>
          </w:p>
        </w:tc>
      </w:tr>
      <w:tr>
        <w:trPr>
          <w:trHeight w:val="228"/>
        </w:trPr>
        <w:tc>
          <w:tcPr>
            <w:tcW w:w="3500" w:type="dxa"/>
            <w:vAlign w:val="bottom"/>
            <w:tcBorders>
              <w:left w:val="single" w:sz="8" w:color="auto"/>
              <w:bottom w:val="single" w:sz="8" w:color="auto"/>
            </w:tcBorders>
          </w:tcPr>
          <w:p>
            <w:pPr>
              <w:spacing w:after="0"/>
              <w:rPr>
                <w:sz w:val="19"/>
                <w:szCs w:val="19"/>
                <w:color w:val="auto"/>
              </w:rPr>
            </w:pPr>
          </w:p>
        </w:tc>
        <w:tc>
          <w:tcPr>
            <w:tcW w:w="5800" w:type="dxa"/>
            <w:vAlign w:val="bottom"/>
            <w:tcBorders>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r>
      <w:tr>
        <w:trPr>
          <w:trHeight w:val="427"/>
        </w:trPr>
        <w:tc>
          <w:tcPr>
            <w:tcW w:w="3500" w:type="dxa"/>
            <w:vAlign w:val="bottom"/>
          </w:tcPr>
          <w:p>
            <w:pPr>
              <w:spacing w:after="0"/>
              <w:rPr>
                <w:sz w:val="24"/>
                <w:szCs w:val="24"/>
                <w:color w:val="auto"/>
              </w:rPr>
            </w:pPr>
          </w:p>
        </w:tc>
        <w:tc>
          <w:tcPr>
            <w:tcW w:w="5800" w:type="dxa"/>
            <w:vAlign w:val="bottom"/>
          </w:tcPr>
          <w:p>
            <w:pPr>
              <w:ind w:left="2100"/>
              <w:spacing w:after="0"/>
              <w:rPr>
                <w:sz w:val="20"/>
                <w:szCs w:val="20"/>
                <w:color w:val="auto"/>
              </w:rPr>
            </w:pPr>
            <w:r>
              <w:rPr>
                <w:rFonts w:ascii="Arial" w:cs="Arial" w:eastAsia="Arial" w:hAnsi="Arial"/>
                <w:sz w:val="18"/>
                <w:szCs w:val="18"/>
                <w:color w:val="auto"/>
              </w:rPr>
              <w:t>S-3</w:t>
            </w:r>
          </w:p>
        </w:tc>
        <w:tc>
          <w:tcPr>
            <w:tcW w:w="2120" w:type="dxa"/>
            <w:vAlign w:val="bottom"/>
          </w:tcPr>
          <w:p>
            <w:pPr>
              <w:spacing w:after="0"/>
              <w:rPr>
                <w:sz w:val="24"/>
                <w:szCs w:val="24"/>
                <w:color w:val="auto"/>
              </w:rPr>
            </w:pPr>
          </w:p>
        </w:tc>
      </w:tr>
      <w:tr>
        <w:trPr>
          <w:trHeight w:val="228"/>
        </w:trPr>
        <w:tc>
          <w:tcPr>
            <w:tcW w:w="3500" w:type="dxa"/>
            <w:vAlign w:val="bottom"/>
            <w:tcBorders>
              <w:bottom w:val="single" w:sz="8" w:color="808080"/>
            </w:tcBorders>
          </w:tcPr>
          <w:p>
            <w:pPr>
              <w:spacing w:after="0"/>
              <w:rPr>
                <w:sz w:val="19"/>
                <w:szCs w:val="19"/>
                <w:color w:val="auto"/>
              </w:rPr>
            </w:pPr>
          </w:p>
        </w:tc>
        <w:tc>
          <w:tcPr>
            <w:tcW w:w="580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998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998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240" w:firstLine="351"/>
        <w:spacing w:after="0" w:line="255" w:lineRule="auto"/>
        <w:rPr>
          <w:sz w:val="20"/>
          <w:szCs w:val="20"/>
          <w:color w:val="auto"/>
        </w:rPr>
      </w:pPr>
      <w:r>
        <w:rPr>
          <w:rFonts w:ascii="Arial" w:cs="Arial" w:eastAsia="Arial" w:hAnsi="Arial"/>
          <w:sz w:val="18"/>
          <w:szCs w:val="18"/>
          <w:color w:val="auto"/>
        </w:rPr>
        <w:t>For purposes of computing these ratios, we have divided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 The following table sets forth our ratio of earnings to fixed charges for each of the periods indicated (dollars in millions):</w:t>
      </w:r>
    </w:p>
    <w:p>
      <w:pPr>
        <w:spacing w:after="0" w:line="39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Nine Months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9"/>
            <w:vMerge w:val="restart"/>
          </w:tcPr>
          <w:p>
            <w:pPr>
              <w:jc w:val="right"/>
              <w:ind w:right="480"/>
              <w:spacing w:after="0"/>
              <w:rPr>
                <w:sz w:val="20"/>
                <w:szCs w:val="20"/>
                <w:color w:val="auto"/>
              </w:rPr>
            </w:pPr>
            <w:r>
              <w:rPr>
                <w:rFonts w:ascii="Arial" w:cs="Arial" w:eastAsia="Arial" w:hAnsi="Arial"/>
                <w:sz w:val="14"/>
                <w:szCs w:val="14"/>
                <w:b w:val="1"/>
                <w:bCs w:val="1"/>
                <w:color w:val="auto"/>
                <w:w w:val="95"/>
              </w:rPr>
              <w:t>Years Ended December 31,</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gridSpan w:val="9"/>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September 30, 2017</w:t>
            </w:r>
          </w:p>
        </w:tc>
        <w:tc>
          <w:tcPr>
            <w:tcW w:w="14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7"/>
              </w:rPr>
              <w:t>(Unaudited)</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Income before income taxes and losses in</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investments(a)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09"/>
        </w:trPr>
        <w:tc>
          <w:tcPr>
            <w:tcW w:w="338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Implicit interest in rents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0"/>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Earnings available for fixed charges(a)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391</w:t>
            </w:r>
          </w:p>
        </w:tc>
        <w:tc>
          <w:tcPr>
            <w:tcW w:w="24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Total fixed charges(a)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80" w:type="dxa"/>
            <w:vAlign w:val="bottom"/>
            <w:gridSpan w:val="2"/>
            <w:shd w:val="clear" w:color="auto" w:fill="CCEEFF"/>
          </w:tcPr>
          <w:p>
            <w:pPr>
              <w:ind w:left="360"/>
              <w:spacing w:after="0" w:line="182" w:lineRule="exact"/>
              <w:rPr>
                <w:sz w:val="20"/>
                <w:szCs w:val="20"/>
                <w:color w:val="auto"/>
              </w:rPr>
            </w:pPr>
            <w:r>
              <w:rPr>
                <w:rFonts w:ascii="Arial" w:cs="Arial" w:eastAsia="Arial" w:hAnsi="Arial"/>
                <w:sz w:val="18"/>
                <w:szCs w:val="18"/>
                <w:b w:val="1"/>
                <w:bCs w:val="1"/>
                <w:color w:val="auto"/>
              </w:rPr>
              <w:t>Ratio of earnings to fixed</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charges</w:t>
            </w:r>
          </w:p>
        </w:tc>
        <w:tc>
          <w:tcPr>
            <w:tcW w:w="10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ind w:left="920"/>
              <w:spacing w:after="0"/>
              <w:rPr>
                <w:sz w:val="20"/>
                <w:szCs w:val="20"/>
                <w:color w:val="auto"/>
              </w:rPr>
            </w:pPr>
            <w:r>
              <w:rPr>
                <w:rFonts w:ascii="Arial" w:cs="Arial" w:eastAsia="Arial" w:hAnsi="Arial"/>
                <w:sz w:val="18"/>
                <w:szCs w:val="18"/>
                <w:b w:val="1"/>
                <w:bCs w:val="1"/>
                <w:color w:val="auto"/>
              </w:rPr>
              <w:t>6.2x</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5.3x</w:t>
            </w: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3.4x</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4.3x</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1.9x</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3.3x</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Adjusted ratio of earnings to fixed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80" w:type="dxa"/>
            <w:vAlign w:val="bottom"/>
            <w:gridSpan w:val="2"/>
          </w:tcPr>
          <w:p>
            <w:pPr>
              <w:ind w:left="540"/>
              <w:spacing w:after="0"/>
              <w:rPr>
                <w:sz w:val="20"/>
                <w:szCs w:val="20"/>
                <w:color w:val="auto"/>
              </w:rPr>
            </w:pPr>
            <w:r>
              <w:rPr>
                <w:rFonts w:ascii="Arial" w:cs="Arial" w:eastAsia="Arial" w:hAnsi="Arial"/>
                <w:sz w:val="18"/>
                <w:szCs w:val="18"/>
                <w:b w:val="1"/>
                <w:bCs w:val="1"/>
                <w:color w:val="auto"/>
              </w:rPr>
              <w:t>charges(b)</w:t>
            </w:r>
          </w:p>
        </w:tc>
        <w:tc>
          <w:tcPr>
            <w:tcW w:w="100" w:type="dxa"/>
            <w:vAlign w:val="bottom"/>
          </w:tcPr>
          <w:p>
            <w:pPr>
              <w:spacing w:after="0"/>
              <w:rPr>
                <w:sz w:val="19"/>
                <w:szCs w:val="19"/>
                <w:color w:val="auto"/>
              </w:rPr>
            </w:pPr>
          </w:p>
        </w:tc>
        <w:tc>
          <w:tcPr>
            <w:tcW w:w="1380" w:type="dxa"/>
            <w:vAlign w:val="bottom"/>
            <w:gridSpan w:val="3"/>
          </w:tcPr>
          <w:p>
            <w:pPr>
              <w:ind w:left="920"/>
              <w:spacing w:after="0"/>
              <w:rPr>
                <w:sz w:val="20"/>
                <w:szCs w:val="20"/>
                <w:color w:val="auto"/>
              </w:rPr>
            </w:pPr>
            <w:r>
              <w:rPr>
                <w:rFonts w:ascii="Arial" w:cs="Arial" w:eastAsia="Arial" w:hAnsi="Arial"/>
                <w:sz w:val="18"/>
                <w:szCs w:val="18"/>
                <w:b w:val="1"/>
                <w:bCs w:val="1"/>
                <w:color w:val="auto"/>
              </w:rPr>
              <w:t>6.2x</w:t>
            </w: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5.5x</w:t>
            </w:r>
          </w:p>
        </w:tc>
        <w:tc>
          <w:tcPr>
            <w:tcW w:w="1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4.9x</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4.2x</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3.7x</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3.6x</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940" w:type="dxa"/>
            <w:vAlign w:val="bottom"/>
            <w:tcBorders>
              <w:bottom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880" w:hanging="544"/>
        <w:spacing w:after="0" w:line="298" w:lineRule="auto"/>
        <w:tabs>
          <w:tab w:leader="none" w:pos="1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such amounts are immaterial.</w:t>
      </w:r>
    </w:p>
    <w:p>
      <w:pPr>
        <w:spacing w:after="0" w:line="180" w:lineRule="exact"/>
        <w:rPr>
          <w:rFonts w:ascii="Arial" w:cs="Arial" w:eastAsia="Arial" w:hAnsi="Arial"/>
          <w:sz w:val="16"/>
          <w:szCs w:val="16"/>
          <w:color w:val="auto"/>
        </w:rPr>
      </w:pPr>
    </w:p>
    <w:p>
      <w:pPr>
        <w:ind w:left="1880" w:right="100" w:hanging="544"/>
        <w:spacing w:after="0" w:line="298" w:lineRule="auto"/>
        <w:tabs>
          <w:tab w:leader="none" w:pos="1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adjusted ratio of earnings to fixed charges ("Adjusted Ratio") excludes the impact of restructuring charges, impairments, divestitures, losses on early extinguishment of debt and adjustments to a subsidiary's estimated environmental remediation liability for a closed site. A reconciliation showing the effect of these items on our "Income before income taxes and losses in equity investments" used to calculate our earnings available for fixed charges is as follows (in millions):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340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340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Nine Months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9"/>
            <w:vMerge w:val="restart"/>
          </w:tcPr>
          <w:p>
            <w:pPr>
              <w:jc w:val="right"/>
              <w:ind w:right="480"/>
              <w:spacing w:after="0"/>
              <w:rPr>
                <w:sz w:val="20"/>
                <w:szCs w:val="20"/>
                <w:color w:val="auto"/>
              </w:rPr>
            </w:pPr>
            <w:r>
              <w:rPr>
                <w:rFonts w:ascii="Arial" w:cs="Arial" w:eastAsia="Arial" w:hAnsi="Arial"/>
                <w:sz w:val="14"/>
                <w:szCs w:val="14"/>
                <w:b w:val="1"/>
                <w:bCs w:val="1"/>
                <w:color w:val="auto"/>
                <w:w w:val="95"/>
              </w:rPr>
              <w:t>Years Ended December 31,</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3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gridSpan w:val="9"/>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September 30, 2017</w:t>
            </w:r>
          </w:p>
        </w:tc>
        <w:tc>
          <w:tcPr>
            <w:tcW w:w="14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7"/>
              </w:rPr>
              <w:t>(Unaudited)</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As reported Income before income taxes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and losses in equity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1,664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1,109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1,350</w:t>
            </w:r>
          </w:p>
        </w:tc>
        <w:tc>
          <w:tcPr>
            <w:tcW w:w="0" w:type="dxa"/>
            <w:vAlign w:val="bottom"/>
          </w:tcPr>
          <w:p>
            <w:pPr>
              <w:spacing w:after="0"/>
              <w:rPr>
                <w:sz w:val="1"/>
                <w:szCs w:val="1"/>
                <w:color w:val="auto"/>
              </w:rPr>
            </w:pPr>
          </w:p>
        </w:tc>
      </w:tr>
      <w:tr>
        <w:trPr>
          <w:trHeight w:val="201"/>
        </w:trPr>
        <w:tc>
          <w:tcPr>
            <w:tcW w:w="3380" w:type="dxa"/>
            <w:vAlign w:val="bottom"/>
          </w:tcPr>
          <w:p>
            <w:pPr>
              <w:spacing w:after="0" w:line="201" w:lineRule="exact"/>
              <w:rPr>
                <w:sz w:val="20"/>
                <w:szCs w:val="20"/>
                <w:color w:val="auto"/>
              </w:rPr>
            </w:pPr>
            <w:r>
              <w:rPr>
                <w:rFonts w:ascii="Arial" w:cs="Arial" w:eastAsia="Arial" w:hAnsi="Arial"/>
                <w:sz w:val="18"/>
                <w:szCs w:val="18"/>
                <w:color w:val="auto"/>
                <w:w w:val="95"/>
              </w:rPr>
              <w:t>Adjustments to Income before income taxes</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180"/>
              <w:spacing w:after="0"/>
              <w:rPr>
                <w:sz w:val="20"/>
                <w:szCs w:val="20"/>
                <w:color w:val="auto"/>
              </w:rPr>
            </w:pPr>
            <w:r>
              <w:rPr>
                <w:rFonts w:ascii="Arial" w:cs="Arial" w:eastAsia="Arial" w:hAnsi="Arial"/>
                <w:sz w:val="18"/>
                <w:szCs w:val="18"/>
                <w:color w:val="auto"/>
              </w:rPr>
              <w:t>and losses in equity investments: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expense from divestitures</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Environmental remediation adjustments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3380" w:type="dxa"/>
            <w:vAlign w:val="bottom"/>
          </w:tcPr>
          <w:p>
            <w:pPr>
              <w:spacing w:after="0" w:line="195" w:lineRule="exact"/>
              <w:rPr>
                <w:sz w:val="20"/>
                <w:szCs w:val="20"/>
                <w:color w:val="auto"/>
              </w:rPr>
            </w:pPr>
            <w:r>
              <w:rPr>
                <w:rFonts w:ascii="Arial" w:cs="Arial" w:eastAsia="Arial" w:hAnsi="Arial"/>
                <w:sz w:val="18"/>
                <w:szCs w:val="18"/>
                <w:b w:val="1"/>
                <w:bCs w:val="1"/>
                <w:color w:val="auto"/>
                <w:w w:val="93"/>
              </w:rPr>
              <w:t>Adjusted income before income taxes and</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180"/>
              <w:spacing w:after="0"/>
              <w:rPr>
                <w:sz w:val="20"/>
                <w:szCs w:val="20"/>
                <w:color w:val="auto"/>
              </w:rPr>
            </w:pPr>
            <w:r>
              <w:rPr>
                <w:rFonts w:ascii="Arial" w:cs="Arial" w:eastAsia="Arial" w:hAnsi="Arial"/>
                <w:sz w:val="18"/>
                <w:szCs w:val="18"/>
                <w:b w:val="1"/>
                <w:bCs w:val="1"/>
                <w:color w:val="auto"/>
              </w:rPr>
              <w:t>losses in equity investments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1,674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1,987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1,761</w:t>
            </w:r>
          </w:p>
        </w:tc>
        <w:tc>
          <w:tcPr>
            <w:tcW w:w="2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1,727</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1,526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40" w:firstLine="348"/>
        <w:spacing w:after="0" w:line="255" w:lineRule="auto"/>
        <w:rPr>
          <w:sz w:val="20"/>
          <w:szCs w:val="20"/>
          <w:color w:val="auto"/>
        </w:rPr>
      </w:pPr>
      <w:r>
        <w:rPr>
          <w:rFonts w:ascii="Arial" w:cs="Arial" w:eastAsia="Arial" w:hAnsi="Arial"/>
          <w:sz w:val="18"/>
          <w:szCs w:val="18"/>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U.S. Generally Accepted Accounting Principles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You should carefully consider the risk factors identified in Part 1, Item 1A, "Risk Factors," of our Annual Report on Form 10-K for the year ended December 31, 2016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substantial indebtedness could impair our financial condition and our ability to fulfill our debt obligations, including our obligations under the notes.</w:t>
      </w:r>
    </w:p>
    <w:p>
      <w:pPr>
        <w:spacing w:after="0" w:line="260" w:lineRule="exact"/>
        <w:rPr>
          <w:sz w:val="20"/>
          <w:szCs w:val="20"/>
          <w:color w:val="auto"/>
        </w:rPr>
      </w:pPr>
    </w:p>
    <w:p>
      <w:pPr>
        <w:jc w:val="both"/>
        <w:ind w:right="40" w:firstLine="348"/>
        <w:spacing w:after="0" w:line="318" w:lineRule="auto"/>
        <w:rPr>
          <w:sz w:val="20"/>
          <w:szCs w:val="20"/>
          <w:color w:val="auto"/>
        </w:rPr>
      </w:pPr>
      <w:r>
        <w:rPr>
          <w:rFonts w:ascii="Arial" w:cs="Arial" w:eastAsia="Arial" w:hAnsi="Arial"/>
          <w:sz w:val="15"/>
          <w:szCs w:val="15"/>
          <w:color w:val="auto"/>
        </w:rPr>
        <w:t>We have substantial indebtedness. At September 30, 2017, our ratio of total debt to total capitalization was 63.8% and we had $9.345 billion of total debt. In addition, as of September 30, 2017, we had approximately $1.29 billion of letters of credit outstanding under our $2.25 billion revolving credit facility and other letter of credit facilities. Our indebtedness that bears interest at a floating rate makes us vulnerable to changes in interest rates. As of September 30, 2017, we had $1.821 billion of debt maturing within the next 12 months which includes $551 million of tax-exempt bonds with term interest rate periods that expire within the next 12 months. Our level of indebtedness and the covenants contained in the agreements governing our debt could have important consequences, including:</w:t>
      </w:r>
    </w:p>
    <w:p>
      <w:pPr>
        <w:spacing w:after="0" w:line="167" w:lineRule="exact"/>
        <w:rPr>
          <w:sz w:val="20"/>
          <w:szCs w:val="20"/>
          <w:color w:val="auto"/>
        </w:rPr>
      </w:pPr>
    </w:p>
    <w:p>
      <w:pPr>
        <w:ind w:left="10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not prohibited under the indenture governing the notes from incurring additional indebtedness. Although our $2.25 billion revolving credit facility requires us to comply with specified ratios of Total Debt to EBITDA and EBIT to Consolidated Total Interest Expense (each as defined in our $2.25 billion revolving credit facility), as of September 30, 2017 and after giving effect to the offering of the notes and the use of proceeds contemplated hereby, we have the ability to incur additional indebtedness while remaining in compliance with these ratios. Our incurrence of additional indebtedness would exacerbate the negative consequences mentioned above, and could adversely affect our ability to service and repay the notes.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225" w:lineRule="exact"/>
        <w:rPr>
          <w:sz w:val="20"/>
          <w:szCs w:val="20"/>
          <w:color w:val="auto"/>
        </w:rPr>
      </w:pPr>
    </w:p>
    <w:p>
      <w:pPr>
        <w:ind w:right="40" w:firstLine="341"/>
        <w:spacing w:after="0" w:line="253"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effectively subordinated to certain of our subsidiaries' debt and our secured debt.</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a note payable associated with our investment in federal low-income housing tax credits. The balance on such note payable as of September 30, 2017 was $40 million. As of September 30, 2017, our operating subsidiaries had $2.394 billion of indebtedness and WM Holdings had $304 million of indebtedness (excluding guarantees of $5.7 billion of our senior debt), in each case excluding intercompany loans. For a description of the ranking of the notes, see "Description of Notes—Ranking" in this prospectus supplement.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 of the notes.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have sufficient funds to purchase the notes upon a change of control triggering event, and this covenant provides limited protection to investors.</w:t>
      </w:r>
    </w:p>
    <w:p>
      <w:pPr>
        <w:spacing w:after="0" w:line="26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Notes—Change of Control Offer" in this prospectus supplement. We cannot assure you that we will have sufficient financial resources, or will be able to arrange sufficient financing, to pay the purchase price of the notes, particularly if a change of control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event triggers a similar repurchase requirement for, or results in the acceleration of, our other then existing debt.</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change of control offer covenant is limited to the transactions specified in "Description of Notes—Change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notes will be a new issue of securities. There is no existing active trading market for the notes, and a market may never develop. We do not currently intend to apply for listing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are:</w:t>
      </w:r>
    </w:p>
    <w:p>
      <w:pPr>
        <w:spacing w:after="0" w:line="211"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expect the net proceeds from the offering of the notes to be $ million, after deducting the underwriting discount and estimated expenses of the offering that we will pay. We intend to use the net proceeds from the offering of the notes to redeem our $590 million aggregate principal amount of 6.10% Senior Notes due 2018. This prospectus supplement does not constitute a notice of redemption under the indenture governing such 6.10% Senior Notes due 2018.</w:t>
      </w:r>
    </w:p>
    <w:p>
      <w:pPr>
        <w:spacing w:after="0" w:line="16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Pending application of the net proceeds as described immediately above, we anticipate that we may repay borrowings under our commercial paper program used for working capital, which is fully supported by our $2.25 billion revolving credit facility, and we may temporarily invest in short-term investments. Any excess proceeds will be used for general corporate purposes.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Waste Management Commercial Paper Program</w:t>
      </w:r>
    </w:p>
    <w:p>
      <w:pPr>
        <w:spacing w:after="0" w:line="231"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Our commercial paper program enables us to borrow up to $1.5 billion for up to 397 days at competitive interest rates. As of October 26, 2017, we had $251 million of outstanding borrowings under our commercial paper program with a weighted average interest rate of 1.40%. As of October 26, 2017, the outstanding borrowings under our commercial paper program have a weighted average maturity of November 1, 2017. The proceeds of our commercial paper program were used for general corporate purposes.</w:t>
      </w:r>
    </w:p>
    <w:p>
      <w:pPr>
        <w:spacing w:after="0" w:line="197"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Certain affiliates of some of the underwriters in this offering are lenders to us under our $2.25 billion revolving credit facility and may receive 5% or more of the net proceeds of this offering by reason of the repayment of amounts outstanding under our commercial paper program, which is fully supported by such credit facility, pending application of the net proceeds as described above. Accordingly, such underwriters are deemed to have a "conflict of interest" within the meaning of FINRA Rule 5121. See "Underwriting (Conflicts of Interest)" in this prospectus supplement.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table sets forth our consolidated cash and cash equivalents and consolidated capitalization as of September 30, 2017 on an actual basis and as adjusted to give effect to the offering of the notes and the application of the estimated net proceeds as described in the initial paragraph under "Use of Proceeds" in this prospectus supplement. 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5"/>
              </w:rPr>
              <w:t>September 30, 2017</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3"/>
              </w:rPr>
              <w:t>Actual</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6"/>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(Unaudited, Dollars</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center"/>
              <w:ind w:left="296"/>
              <w:spacing w:after="0"/>
              <w:rPr>
                <w:sz w:val="20"/>
                <w:szCs w:val="20"/>
                <w:color w:val="auto"/>
              </w:rPr>
            </w:pPr>
            <w:r>
              <w:rPr>
                <w:rFonts w:ascii="Arial" w:cs="Arial" w:eastAsia="Arial" w:hAnsi="Arial"/>
                <w:sz w:val="14"/>
                <w:szCs w:val="14"/>
                <w:b w:val="1"/>
                <w:bCs w:val="1"/>
                <w:color w:val="auto"/>
                <w:w w:val="89"/>
              </w:rPr>
              <w:t>in millions)</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4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$2.25 billion revolving credit facility(a)</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20" w:type="dxa"/>
            <w:vAlign w:val="bottom"/>
            <w:gridSpan w:val="3"/>
          </w:tcPr>
          <w:p>
            <w:pPr>
              <w:ind w:left="160"/>
              <w:spacing w:after="0"/>
              <w:rPr>
                <w:sz w:val="20"/>
                <w:szCs w:val="20"/>
                <w:color w:val="auto"/>
              </w:rPr>
            </w:pPr>
            <w:r>
              <w:rPr>
                <w:rFonts w:ascii="Arial" w:cs="Arial" w:eastAsia="Arial" w:hAnsi="Arial"/>
                <w:sz w:val="18"/>
                <w:szCs w:val="18"/>
                <w:color w:val="auto"/>
                <w:w w:val="90"/>
              </w:rPr>
              <w:t>Commercial paper program (weighted average interest rate of 1.4% as of September 30, 2017)(a)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Other letter of credit facilities(a)</w:t>
            </w:r>
          </w:p>
        </w:tc>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7220" w:type="dxa"/>
            <w:vAlign w:val="bottom"/>
            <w:gridSpan w:val="3"/>
          </w:tcPr>
          <w:p>
            <w:pPr>
              <w:ind w:left="160"/>
              <w:spacing w:after="0"/>
              <w:rPr>
                <w:sz w:val="20"/>
                <w:szCs w:val="20"/>
                <w:color w:val="auto"/>
              </w:rPr>
            </w:pPr>
            <w:r>
              <w:rPr>
                <w:rFonts w:ascii="Arial" w:cs="Arial" w:eastAsia="Arial" w:hAnsi="Arial"/>
                <w:sz w:val="18"/>
                <w:szCs w:val="18"/>
                <w:color w:val="auto"/>
                <w:w w:val="92"/>
              </w:rPr>
              <w:t>Canadian term loan and revolving credit facility (weighted average effective interest rate of 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540" w:type="dxa"/>
            <w:vAlign w:val="bottom"/>
            <w:gridSpan w:val="2"/>
          </w:tcPr>
          <w:p>
            <w:pPr>
              <w:ind w:left="340"/>
              <w:spacing w:after="0"/>
              <w:rPr>
                <w:sz w:val="20"/>
                <w:szCs w:val="20"/>
                <w:color w:val="auto"/>
              </w:rPr>
            </w:pPr>
            <w:r>
              <w:rPr>
                <w:rFonts w:ascii="Arial" w:cs="Arial" w:eastAsia="Arial" w:hAnsi="Arial"/>
                <w:sz w:val="18"/>
                <w:szCs w:val="18"/>
                <w:color w:val="auto"/>
                <w:w w:val="92"/>
              </w:rPr>
              <w:t>as of September 30, 2017)(b)</w:t>
            </w:r>
          </w:p>
        </w:tc>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7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8"/>
              </w:rPr>
              <w:t>Senior notes maturing through 2045, interest rates ranging from 2.4% to 7.75% (weighted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average interest rate of 4.6% as of September 30, 2017)(d)</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700"/>
              <w:spacing w:after="0"/>
              <w:rPr>
                <w:sz w:val="20"/>
                <w:szCs w:val="20"/>
                <w:color w:val="auto"/>
              </w:rPr>
            </w:pPr>
            <w:r>
              <w:rPr>
                <w:rFonts w:ascii="Arial" w:cs="Arial" w:eastAsia="Arial" w:hAnsi="Arial"/>
                <w:sz w:val="18"/>
                <w:szCs w:val="18"/>
                <w:color w:val="auto"/>
              </w:rPr>
              <w:t>% Senior Notes due</w:t>
            </w:r>
          </w:p>
        </w:tc>
        <w:tc>
          <w:tcPr>
            <w:tcW w:w="4680" w:type="dxa"/>
            <w:vAlign w:val="bottom"/>
          </w:tcPr>
          <w:p>
            <w:pPr>
              <w:ind w:left="80"/>
              <w:spacing w:after="0"/>
              <w:rPr>
                <w:sz w:val="20"/>
                <w:szCs w:val="20"/>
                <w:color w:val="auto"/>
              </w:rPr>
            </w:pPr>
            <w:r>
              <w:rPr>
                <w:rFonts w:ascii="Arial" w:cs="Arial" w:eastAsia="Arial" w:hAnsi="Arial"/>
                <w:sz w:val="18"/>
                <w:szCs w:val="18"/>
                <w:color w:val="auto"/>
              </w:rPr>
              <w:t>offered hereby (including unamortized discount)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3"/>
              </w:rPr>
              <w:t>Tax-exempt bonds maturing through 2045, fixed and variable interest rates ranging from 1% to</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5.7% (weighted average interest rate of 1.0% as of September 30, 2017)(c)</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ind w:left="160"/>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4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Waste Management, Inc.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ind w:left="160"/>
              <w:spacing w:after="0"/>
              <w:rPr>
                <w:sz w:val="20"/>
                <w:szCs w:val="20"/>
                <w:color w:val="auto"/>
              </w:rPr>
            </w:pPr>
            <w:r>
              <w:rPr>
                <w:rFonts w:ascii="Arial" w:cs="Arial" w:eastAsia="Arial" w:hAnsi="Arial"/>
                <w:sz w:val="18"/>
                <w:szCs w:val="18"/>
                <w:color w:val="auto"/>
                <w:w w:val="93"/>
              </w:rPr>
              <w:t>Common stock, $0.01 par value; 1,500,000,000 shares authorized; 630,282,461 shares issued</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7,871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gridSpan w:val="3"/>
          </w:tcPr>
          <w:p>
            <w:pPr>
              <w:ind w:left="160"/>
              <w:spacing w:after="0"/>
              <w:rPr>
                <w:sz w:val="20"/>
                <w:szCs w:val="20"/>
                <w:color w:val="auto"/>
              </w:rPr>
            </w:pPr>
            <w:r>
              <w:rPr>
                <w:rFonts w:ascii="Arial" w:cs="Arial" w:eastAsia="Arial" w:hAnsi="Arial"/>
                <w:sz w:val="18"/>
                <w:szCs w:val="18"/>
                <w:color w:val="auto"/>
              </w:rPr>
              <w:t>Treasury stock at cost, 196,076,817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(7,419)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(7,419)</w:t>
            </w:r>
          </w:p>
        </w:tc>
      </w:tr>
      <w:tr>
        <w:trPr>
          <w:trHeight w:val="210"/>
        </w:trPr>
        <w:tc>
          <w:tcPr>
            <w:tcW w:w="20" w:type="dxa"/>
            <w:vAlign w:val="bottom"/>
          </w:tcPr>
          <w:p>
            <w:pPr>
              <w:spacing w:after="0"/>
              <w:rPr>
                <w:sz w:val="18"/>
                <w:szCs w:val="18"/>
                <w:color w:val="auto"/>
              </w:rPr>
            </w:pPr>
          </w:p>
        </w:tc>
        <w:tc>
          <w:tcPr>
            <w:tcW w:w="7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Waste Management, Inc.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540" w:type="dxa"/>
            <w:vAlign w:val="bottom"/>
            <w:gridSpan w:val="2"/>
          </w:tcPr>
          <w:p>
            <w:pPr>
              <w:ind w:left="160"/>
              <w:spacing w:after="0"/>
              <w:rPr>
                <w:sz w:val="20"/>
                <w:szCs w:val="20"/>
                <w:color w:val="auto"/>
              </w:rPr>
            </w:pPr>
            <w:r>
              <w:rPr>
                <w:rFonts w:ascii="Arial" w:cs="Arial" w:eastAsia="Arial" w:hAnsi="Arial"/>
                <w:sz w:val="18"/>
                <w:szCs w:val="18"/>
                <w:color w:val="auto"/>
              </w:rPr>
              <w:t>Total debt and equity</w:t>
            </w:r>
          </w:p>
        </w:tc>
        <w:tc>
          <w:tcPr>
            <w:tcW w:w="4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jc w:val="both"/>
        <w:ind w:left="1680" w:right="520" w:hanging="531"/>
        <w:spacing w:after="0" w:line="306" w:lineRule="auto"/>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of September 30, 2017, we had an aggregate committed capacity of $2.35 billion for letters of credit under various U.S. credit facilities. Our $2.25 billion revolving credit facility expires in July 2020 and is our primary source of letter of credit capacity. Our remaining committed letter of credit capacity is provided under facilities with terms extending through December 2018. As of</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80"/>
        <w:spacing w:after="0" w:line="254" w:lineRule="auto"/>
        <w:rPr>
          <w:sz w:val="20"/>
          <w:szCs w:val="20"/>
          <w:color w:val="auto"/>
        </w:rPr>
      </w:pPr>
      <w:r>
        <w:rPr>
          <w:rFonts w:ascii="Arial" w:cs="Arial" w:eastAsia="Arial" w:hAnsi="Arial"/>
          <w:sz w:val="18"/>
          <w:szCs w:val="18"/>
          <w:color w:val="auto"/>
        </w:rPr>
        <w:t>September 30, 2017, we had an aggregate of $1.29 billion of letters of credit outstanding under various credit facilities. As of September 30, 2017, we had no outstanding borrowings under our $2.25 billion revolving credit facility. As of September 30, 2017, we had $777 million of letters of credit issued and $502 million of outstanding borrowings under our commercial paper program, both of which are supported by our $2.25 billion revolving credit facility, leaving $971 million of unused and available credit capacity. We supplement the letter of credit capacity we have through these committed facilities with stand-alone letters of credit with various banking partners.</w:t>
      </w:r>
    </w:p>
    <w:p>
      <w:pPr>
        <w:spacing w:after="0" w:line="212" w:lineRule="exact"/>
        <w:rPr>
          <w:sz w:val="20"/>
          <w:szCs w:val="20"/>
          <w:color w:val="auto"/>
        </w:rPr>
      </w:pPr>
    </w:p>
    <w:p>
      <w:pPr>
        <w:ind w:left="1680" w:hanging="531"/>
        <w:spacing w:after="0" w:line="291"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Waste Management of Canada Corporation and WM Quebec Inc., wholly owned subsidiaries of Waste Management, Inc., are borrowers under a Canadian credit agreement (which includes a term loan and revolving credit facility) that matures in March 2019. The agreement provides (i) C$50 million of revolving credit capacity, which can be used for borrowings or letters of credit and (ii) C$460 million of non-revolving term credit that was fully drawn at closing and is prepayable without penalty and principal amounts repaid may not be re-borrowed. Waste Management, Inc. and WM Holdings guarantee all subsidiary obligations outstanding under the Canadian credit agreement. As of September 30, 2017, we had no revolving borrowings or letters of credit outstanding under this facility.</w:t>
      </w:r>
    </w:p>
    <w:p>
      <w:pPr>
        <w:spacing w:after="0" w:line="201" w:lineRule="exact"/>
        <w:rPr>
          <w:rFonts w:ascii="Arial" w:cs="Arial" w:eastAsia="Arial" w:hAnsi="Arial"/>
          <w:sz w:val="16"/>
          <w:szCs w:val="16"/>
          <w:color w:val="auto"/>
        </w:rPr>
      </w:pPr>
    </w:p>
    <w:p>
      <w:pPr>
        <w:ind w:left="1680" w:right="100" w:hanging="531"/>
        <w:spacing w:after="0" w:line="306"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174" w:lineRule="exact"/>
        <w:rPr>
          <w:rFonts w:ascii="Arial" w:cs="Arial" w:eastAsia="Arial" w:hAnsi="Arial"/>
          <w:sz w:val="16"/>
          <w:szCs w:val="16"/>
          <w:color w:val="auto"/>
        </w:rPr>
      </w:pPr>
    </w:p>
    <w:p>
      <w:pPr>
        <w:ind w:left="1680" w:hanging="531"/>
        <w:spacing w:after="0"/>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Reflects the redemption of the 6.10% Senior Notes due 2018, including the payment of related premiums, fees and expenses.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tabs>
          <w:tab w:leader="none" w:pos="2140" w:val="left"/>
          <w:tab w:leader="none" w:pos="3460" w:val="left"/>
          <w:tab w:leader="none" w:pos="5660" w:val="left"/>
          <w:tab w:leader="none" w:pos="606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8"/>
          <w:szCs w:val="18"/>
          <w:color w:val="auto"/>
        </w:rPr>
        <w:t>million of our</w:t>
      </w:r>
      <w:r>
        <w:rPr>
          <w:sz w:val="20"/>
          <w:szCs w:val="20"/>
          <w:color w:val="auto"/>
        </w:rPr>
        <w:tab/>
      </w:r>
      <w:r>
        <w:rPr>
          <w:rFonts w:ascii="Arial" w:cs="Arial" w:eastAsia="Arial" w:hAnsi="Arial"/>
          <w:sz w:val="18"/>
          <w:szCs w:val="18"/>
          <w:color w:val="auto"/>
        </w:rPr>
        <w:t>% senior notes due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The notes will be issued under and pursuant to an Indenture dated as of</w:t>
      </w:r>
    </w:p>
    <w:p>
      <w:pPr>
        <w:spacing w:after="0" w:line="1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September 10, 1997, between us and The Bank of New York Mellon Trust Company, N.A. (the current successor to the initial trustee, Texas Commerce Bank National Association), as Trustee (the "Trustee"). We will issue the notes pursuant to a resolution of our Board of Directors and an accompanying officers' certificate setting forth the specific terms applicable to the notes.</w:t>
      </w:r>
    </w:p>
    <w:p>
      <w:pPr>
        <w:spacing w:after="0" w:line="198" w:lineRule="exact"/>
        <w:rPr>
          <w:sz w:val="20"/>
          <w:szCs w:val="20"/>
          <w:color w:val="auto"/>
        </w:rPr>
      </w:pPr>
    </w:p>
    <w:p>
      <w:pPr>
        <w:ind w:left="360"/>
        <w:spacing w:after="0"/>
        <w:tabs>
          <w:tab w:leader="none" w:pos="1260" w:val="left"/>
        </w:tabs>
        <w:rPr>
          <w:sz w:val="20"/>
          <w:szCs w:val="20"/>
          <w:color w:val="auto"/>
        </w:rPr>
      </w:pPr>
      <w:r>
        <w:rPr>
          <w:rFonts w:ascii="Arial" w:cs="Arial" w:eastAsia="Arial" w:hAnsi="Arial"/>
          <w:sz w:val="18"/>
          <w:szCs w:val="18"/>
          <w:i w:val="1"/>
          <w:iCs w:val="1"/>
          <w:color w:val="auto"/>
        </w:rPr>
        <w:t>The Notes.</w:t>
      </w:r>
      <w:r>
        <w:rPr>
          <w:sz w:val="20"/>
          <w:szCs w:val="20"/>
          <w:color w:val="auto"/>
        </w:rPr>
        <w:tab/>
      </w:r>
      <w:r>
        <w:rPr>
          <w:rFonts w:ascii="Arial" w:cs="Arial" w:eastAsia="Arial" w:hAnsi="Arial"/>
          <w:sz w:val="16"/>
          <w:szCs w:val="16"/>
          <w:color w:val="auto"/>
        </w:rPr>
        <w:t>The notes will:</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constitute a new and separate series of debt securities issued under the Indenture and will be initially limited to an aggregate principal amount of</w:t>
      </w:r>
    </w:p>
    <w:p>
      <w:pPr>
        <w:spacing w:after="0" w:line="50" w:lineRule="exact"/>
        <w:rPr>
          <w:sz w:val="20"/>
          <w:szCs w:val="20"/>
          <w:color w:val="auto"/>
        </w:rPr>
      </w:pPr>
    </w:p>
    <w:p>
      <w:pPr>
        <w:ind w:left="1740" w:hanging="652"/>
        <w:spacing w:after="0"/>
        <w:tabs>
          <w:tab w:leader="none" w:pos="1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million;</w:t>
      </w:r>
    </w:p>
    <w:p>
      <w:pPr>
        <w:spacing w:after="0" w:line="219" w:lineRule="exact"/>
        <w:rPr>
          <w:sz w:val="20"/>
          <w:szCs w:val="20"/>
          <w:color w:val="auto"/>
        </w:rPr>
      </w:pPr>
    </w:p>
    <w:p>
      <w:pPr>
        <w:ind w:left="540"/>
        <w:spacing w:after="0"/>
        <w:tabs>
          <w:tab w:leader="none" w:pos="1060" w:val="left"/>
          <w:tab w:leader="none" w:pos="2660" w:val="left"/>
          <w:tab w:leader="none" w:pos="3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mature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52"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238"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ectPr>
          <w:pgSz w:w="11900" w:h="16838" w:orient="portrait"/>
          <w:cols w:equalWidth="0" w:num="1">
            <w:col w:w="11380"/>
          </w:cols>
          <w:pgMar w:left="240" w:top="131" w:right="279" w:bottom="1440" w:gutter="0" w:footer="0" w:header="0"/>
        </w:sectPr>
      </w:pP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Interest.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Interest will:</w:t>
      </w:r>
    </w:p>
    <w:p>
      <w:pPr>
        <w:spacing w:after="0" w:line="200" w:lineRule="exact"/>
        <w:rPr>
          <w:sz w:val="20"/>
          <w:szCs w:val="20"/>
          <w:color w:val="auto"/>
        </w:rPr>
      </w:pPr>
    </w:p>
    <w:p>
      <w:pPr>
        <w:sectPr>
          <w:pgSz w:w="11900" w:h="16838" w:orient="portrait"/>
          <w:cols w:equalWidth="0" w:num="2">
            <w:col w:w="940" w:space="160"/>
            <w:col w:w="10280"/>
          </w:cols>
          <w:pgMar w:left="240" w:top="131" w:right="279" w:bottom="1440" w:gutter="0" w:footer="0" w:header="0"/>
          <w:type w:val="continuous"/>
        </w:sectPr>
      </w:pPr>
    </w:p>
    <w:p>
      <w:pPr>
        <w:spacing w:after="0" w:line="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accrue on the notes at the rate of</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 per annum;</w:t>
      </w:r>
    </w:p>
    <w:p>
      <w:pPr>
        <w:spacing w:after="0" w:line="200" w:lineRule="exact"/>
        <w:rPr>
          <w:sz w:val="20"/>
          <w:szCs w:val="20"/>
          <w:color w:val="auto"/>
        </w:rPr>
      </w:pPr>
    </w:p>
    <w:p>
      <w:pPr>
        <w:sectPr>
          <w:pgSz w:w="11900" w:h="16838" w:orient="portrait"/>
          <w:cols w:equalWidth="0" w:num="3">
            <w:col w:w="600" w:space="480"/>
            <w:col w:w="2280" w:space="360"/>
            <w:col w:w="7660"/>
          </w:cols>
          <w:pgMar w:left="240" w:top="131" w:right="279" w:bottom="1440" w:gutter="0" w:footer="0" w:header="0"/>
          <w:type w:val="continuous"/>
        </w:sectPr>
      </w:pPr>
    </w:p>
    <w:p>
      <w:pPr>
        <w:spacing w:after="0" w:line="6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accrue from</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 2017 or the most recent interest payment date;</w:t>
      </w:r>
    </w:p>
    <w:p>
      <w:pPr>
        <w:spacing w:after="0" w:line="211" w:lineRule="exact"/>
        <w:rPr>
          <w:sz w:val="20"/>
          <w:szCs w:val="20"/>
          <w:color w:val="auto"/>
        </w:rPr>
      </w:pPr>
    </w:p>
    <w:p>
      <w:pPr>
        <w:sectPr>
          <w:pgSz w:w="11900" w:h="16838" w:orient="portrait"/>
          <w:cols w:equalWidth="0" w:num="3">
            <w:col w:w="600" w:space="480"/>
            <w:col w:w="1000" w:space="720"/>
            <w:col w:w="8580"/>
          </w:cols>
          <w:pgMar w:left="240" w:top="131" w:right="279" w:bottom="1440" w:gutter="0" w:footer="0" w:header="0"/>
          <w:type w:val="continuous"/>
        </w:sectPr>
      </w:pPr>
    </w:p>
    <w:p>
      <w:pPr>
        <w:spacing w:after="0" w:line="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be payable in cash semi-annually in arrears on</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of each year, beginning on</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 2018;</w:t>
      </w:r>
    </w:p>
    <w:p>
      <w:pPr>
        <w:spacing w:after="0" w:line="200" w:lineRule="exact"/>
        <w:rPr>
          <w:sz w:val="20"/>
          <w:szCs w:val="20"/>
          <w:color w:val="auto"/>
        </w:rPr>
      </w:pPr>
    </w:p>
    <w:p>
      <w:pPr>
        <w:sectPr>
          <w:pgSz w:w="11900" w:h="16838" w:orient="portrait"/>
          <w:cols w:equalWidth="0" w:num="5">
            <w:col w:w="600" w:space="480"/>
            <w:col w:w="3260" w:space="520"/>
            <w:col w:w="260" w:space="520"/>
            <w:col w:w="2020" w:space="720"/>
            <w:col w:w="3000"/>
          </w:cols>
          <w:pgMar w:left="240" w:top="131" w:right="279" w:bottom="1440" w:gutter="0" w:footer="0" w:header="0"/>
          <w:type w:val="continuous"/>
        </w:sectPr>
      </w:pPr>
    </w:p>
    <w:p>
      <w:pPr>
        <w:spacing w:after="0" w:line="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be payable to holders of record on the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immediately preceding the related interest payment dates; and</w:t>
      </w:r>
    </w:p>
    <w:p>
      <w:pPr>
        <w:spacing w:after="0" w:line="200" w:lineRule="exact"/>
        <w:rPr>
          <w:sz w:val="20"/>
          <w:szCs w:val="20"/>
          <w:color w:val="auto"/>
        </w:rPr>
      </w:pPr>
    </w:p>
    <w:p>
      <w:pPr>
        <w:sectPr>
          <w:pgSz w:w="11900" w:h="16838" w:orient="portrait"/>
          <w:cols w:equalWidth="0" w:num="4">
            <w:col w:w="600" w:space="480"/>
            <w:col w:w="2660" w:space="540"/>
            <w:col w:w="240" w:space="540"/>
            <w:col w:w="6320"/>
          </w:cols>
          <w:pgMar w:left="240" w:top="131" w:right="279" w:bottom="1440" w:gutter="0" w:footer="0" w:header="0"/>
          <w:type w:val="continuous"/>
        </w:sectPr>
      </w:pPr>
    </w:p>
    <w:p>
      <w:pPr>
        <w:spacing w:after="0" w:line="73"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or agency maintained by us for such purpose (which initially will be the corporate trust office of The Bank of New York Mellon, located at 101 Barclay Street, Floor 21 West, New York, New York 10286).</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67"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Before the Par Call Date, the notes will be redeemable and repayable, at our option, at any time in whole, or from time to time in part, at a price equal to the greater of:</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252" w:lineRule="exact"/>
        <w:rPr>
          <w:rFonts w:ascii="Arial" w:cs="Arial" w:eastAsia="Arial" w:hAnsi="Arial"/>
          <w:sz w:val="18"/>
          <w:szCs w:val="18"/>
          <w:color w:val="auto"/>
        </w:rPr>
      </w:pPr>
    </w:p>
    <w:p>
      <w:pPr>
        <w:ind w:left="1080" w:right="120" w:hanging="532"/>
        <w:spacing w:after="0" w:line="284"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sum, as calculated by us, of the present values of the remaining scheduled payments of principal and interest on the notes to be redeemed that would be due if such notes matured on the Par Call Date (exclusive of interest accrued to the date of redemption) discounted to the date of redemption on a semi-annual basis (assuming a 360-day year consisting of twelve 30-day months) at the applicable Treasury Yield</w:t>
      </w:r>
    </w:p>
    <w:p>
      <w:pPr>
        <w:spacing w:after="0" w:line="1" w:lineRule="exact"/>
        <w:rPr>
          <w:sz w:val="20"/>
          <w:szCs w:val="20"/>
          <w:color w:val="auto"/>
        </w:rPr>
      </w:pPr>
    </w:p>
    <w:p>
      <w:pPr>
        <w:ind w:left="1080"/>
        <w:spacing w:after="0"/>
        <w:tabs>
          <w:tab w:leader="none" w:pos="1880" w:val="left"/>
        </w:tabs>
        <w:rPr>
          <w:sz w:val="20"/>
          <w:szCs w:val="20"/>
          <w:color w:val="auto"/>
        </w:rPr>
      </w:pPr>
      <w:r>
        <w:rPr>
          <w:rFonts w:ascii="Arial" w:cs="Arial" w:eastAsia="Arial" w:hAnsi="Arial"/>
          <w:sz w:val="18"/>
          <w:szCs w:val="18"/>
          <w:color w:val="auto"/>
        </w:rPr>
        <w:t>plus</w:t>
      </w:r>
      <w:r>
        <w:rPr>
          <w:sz w:val="20"/>
          <w:szCs w:val="20"/>
          <w:color w:val="auto"/>
        </w:rPr>
        <w:tab/>
      </w:r>
      <w:r>
        <w:rPr>
          <w:rFonts w:ascii="Arial" w:cs="Arial" w:eastAsia="Arial" w:hAnsi="Arial"/>
          <w:sz w:val="18"/>
          <w:szCs w:val="18"/>
          <w:color w:val="auto"/>
        </w:rPr>
        <w:t>basis points;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On or after the Par Call Date, the notes will be redeemable and repayable, at our option, at any time in whole, or from time to time in part, at a price equal to 100% of the principal amount of the notes to be redeemed plus accrued interest on the notes to be redeemed to the date of redemption.</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17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factors that we generally consider in determining whether to redeem the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We are currently unaware of any circumstances under which we would redeem the notes.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optional redemption, the following definitions are applicable:</w:t>
      </w:r>
    </w:p>
    <w:p>
      <w:pPr>
        <w:spacing w:after="0" w:line="225" w:lineRule="exact"/>
        <w:rPr>
          <w:sz w:val="20"/>
          <w:szCs w:val="20"/>
          <w:color w:val="auto"/>
        </w:rPr>
      </w:pPr>
    </w:p>
    <w:p>
      <w:pPr>
        <w:ind w:left="54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Treasury Yield</w:t>
      </w:r>
      <w:r>
        <w:rPr>
          <w:rFonts w:ascii="Arial" w:cs="Arial" w:eastAsia="Arial" w:hAnsi="Arial"/>
          <w:sz w:val="15"/>
          <w:szCs w:val="15"/>
          <w:color w:val="auto"/>
        </w:rPr>
        <w:t>" 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142" w:lineRule="exact"/>
        <w:rPr>
          <w:sz w:val="20"/>
          <w:szCs w:val="20"/>
          <w:color w:val="auto"/>
        </w:rPr>
      </w:pPr>
    </w:p>
    <w:p>
      <w:pPr>
        <w:ind w:left="540" w:right="3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an Independent Investment Banker as having a maturity comparable to the remaining term of the notes to be redeemed, calculated as if the maturity date of such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97" w:lineRule="exact"/>
        <w:rPr>
          <w:sz w:val="20"/>
          <w:szCs w:val="20"/>
          <w:color w:val="auto"/>
        </w:rPr>
      </w:pPr>
    </w:p>
    <w:p>
      <w:pPr>
        <w:ind w:left="540" w:right="2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us to act as the Independent Investment Banker from time to time.</w:t>
      </w:r>
    </w:p>
    <w:p>
      <w:pPr>
        <w:spacing w:after="0" w:line="186" w:lineRule="exact"/>
        <w:rPr>
          <w:sz w:val="20"/>
          <w:szCs w:val="20"/>
          <w:color w:val="auto"/>
        </w:rPr>
      </w:pPr>
    </w:p>
    <w:p>
      <w:pPr>
        <w:jc w:val="both"/>
        <w:ind w:left="540" w:right="50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61" w:lineRule="exact"/>
        <w:rPr>
          <w:sz w:val="20"/>
          <w:szCs w:val="20"/>
          <w:color w:val="auto"/>
        </w:rPr>
      </w:pPr>
    </w:p>
    <w:p>
      <w:pPr>
        <w:ind w:left="900"/>
        <w:spacing w:after="0"/>
        <w:tabs>
          <w:tab w:leader="none" w:pos="3040" w:val="left"/>
          <w:tab w:leader="none" w:pos="3660" w:val="left"/>
          <w:tab w:leader="none" w:pos="424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months prior to the maturity date).</w:t>
      </w:r>
    </w:p>
    <w:p>
      <w:pPr>
        <w:spacing w:after="0" w:line="225" w:lineRule="exact"/>
        <w:rPr>
          <w:sz w:val="20"/>
          <w:szCs w:val="20"/>
          <w:color w:val="auto"/>
        </w:rPr>
      </w:pPr>
    </w:p>
    <w:p>
      <w:pPr>
        <w:ind w:left="540" w:right="6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Reference Treasury Dealer</w:t>
      </w:r>
      <w:r>
        <w:rPr>
          <w:rFonts w:ascii="Arial" w:cs="Arial" w:eastAsia="Arial" w:hAnsi="Arial"/>
          <w:sz w:val="15"/>
          <w:szCs w:val="15"/>
          <w:color w:val="auto"/>
        </w:rPr>
        <w:t>" means (i) each of Barclays Capital Inc., J.P. Morgan Securities LLC and Merrill Lynch, Pierce, Fenner &amp; Smith Incorporated (and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142" w:lineRule="exact"/>
        <w:rPr>
          <w:sz w:val="20"/>
          <w:szCs w:val="20"/>
          <w:color w:val="auto"/>
        </w:rPr>
      </w:pPr>
    </w:p>
    <w:p>
      <w:pPr>
        <w:ind w:left="540" w:right="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for the notes, an average, as determined by the Independent Investment Banker, of the bid and asked prices for the Comparable Treasury Issue for such notes (expressed in each case as a percentage of its principal amount) quoted in writing to the Independent Investment Banker by the Reference Treasury Dealer at 5:00 p.m., New York City time, on the third business day preceding such redemption date.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Defeasance</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the Debt Securities—Provisions Applicable to Each Indenture—Defeasance" in the accompanying prospectus.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186" w:lineRule="exact"/>
        <w:rPr>
          <w:sz w:val="20"/>
          <w:szCs w:val="20"/>
          <w:color w:val="auto"/>
        </w:rPr>
      </w:pPr>
    </w:p>
    <w:p>
      <w:pPr>
        <w:ind w:left="1240" w:hanging="341"/>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080" w:right="200" w:firstLine="360"/>
        <w:spacing w:after="0" w:line="259" w:lineRule="auto"/>
        <w:tabs>
          <w:tab w:leader="none" w:pos="17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94" w:lineRule="exact"/>
        <w:rPr>
          <w:rFonts w:ascii="Arial" w:cs="Arial" w:eastAsia="Arial" w:hAnsi="Arial"/>
          <w:sz w:val="18"/>
          <w:szCs w:val="18"/>
          <w:color w:val="auto"/>
        </w:rPr>
      </w:pPr>
    </w:p>
    <w:p>
      <w:pPr>
        <w:ind w:left="1080" w:right="120" w:firstLine="360"/>
        <w:spacing w:after="0" w:line="254" w:lineRule="auto"/>
        <w:tabs>
          <w:tab w:leader="none" w:pos="17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198" w:lineRule="exact"/>
        <w:rPr>
          <w:rFonts w:ascii="Arial" w:cs="Arial" w:eastAsia="Arial" w:hAnsi="Arial"/>
          <w:sz w:val="18"/>
          <w:szCs w:val="18"/>
          <w:color w:val="auto"/>
        </w:rPr>
      </w:pPr>
    </w:p>
    <w:p>
      <w:pPr>
        <w:ind w:left="1240" w:hanging="341"/>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with respect to the notes; and</w:t>
      </w:r>
    </w:p>
    <w:p>
      <w:pPr>
        <w:spacing w:after="0" w:line="225" w:lineRule="exact"/>
        <w:rPr>
          <w:rFonts w:ascii="Arial" w:cs="Arial" w:eastAsia="Arial" w:hAnsi="Arial"/>
          <w:sz w:val="18"/>
          <w:szCs w:val="18"/>
          <w:color w:val="auto"/>
        </w:rPr>
      </w:pPr>
    </w:p>
    <w:p>
      <w:pPr>
        <w:ind w:left="540" w:right="520" w:firstLine="359"/>
        <w:spacing w:after="0" w:line="268" w:lineRule="auto"/>
        <w:tabs>
          <w:tab w:leader="none" w:pos="12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"—Further Issuances" in this prospectus supplement.</w:t>
      </w:r>
    </w:p>
    <w:p>
      <w:pPr>
        <w:spacing w:after="0" w:line="197"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limit the amount of debt our subsidiaries can incur, and it permits us to incur some secured debt. For a description of the limitations on our ability to incur secured debt, see "Description of the Debt Securities—Provisions Applicable Solely to Senior Debt Securities" in the accompanying prospectus.</w:t>
      </w:r>
    </w:p>
    <w:p>
      <w:pPr>
        <w:spacing w:after="0" w:line="139"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As of September 30, 2017, our operating subsidiaries had $2.394 billion of indebtedness and WM Holdings had $304 million of indebtedness (excluding guarantees of $5.7 billion of our senior debt), in each case excluding intercompany loans.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Guarantee</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19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United States credit facilities (or any replacement or new principal credit facility). Our United States credit facilities currently state that WM Holdings' guarantees under the facilities can only be released with the written consent of each of the lenders that is a party thereto.</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Change of Control Offer</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7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252" w:lineRule="exact"/>
        <w:rPr>
          <w:sz w:val="20"/>
          <w:szCs w:val="20"/>
          <w:color w:val="auto"/>
        </w:rPr>
      </w:pPr>
    </w:p>
    <w:p>
      <w:pPr>
        <w:jc w:val="center"/>
        <w:ind w:left="5540" w:right="1480" w:hanging="4992"/>
        <w:spacing w:after="0" w:line="51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 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275"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86"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6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18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225" w:lineRule="exact"/>
        <w:rPr>
          <w:sz w:val="20"/>
          <w:szCs w:val="20"/>
          <w:color w:val="auto"/>
        </w:rPr>
      </w:pPr>
    </w:p>
    <w:p>
      <w:pPr>
        <w:ind w:left="540" w:right="24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our Board of Directors who (1) was a member 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225" w:lineRule="exact"/>
        <w:rPr>
          <w:sz w:val="20"/>
          <w:szCs w:val="20"/>
          <w:color w:val="auto"/>
        </w:rPr>
      </w:pPr>
    </w:p>
    <w:p>
      <w:pPr>
        <w:ind w:left="540" w:right="1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a rating equal to or higher than BBB– (or the equivalent) by Fitch, Baa3 (or the equivalent) by Moody's and BBB– (or the equivalent) by S&amp;P, and the equivalent investment grade credit rating from any replacement rating agency or rating agencies selected by us.</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left="540"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agencies</w:t>
      </w:r>
      <w:r>
        <w:rPr>
          <w:rFonts w:ascii="Arial" w:cs="Arial" w:eastAsia="Arial" w:hAnsi="Arial"/>
          <w:sz w:val="16"/>
          <w:szCs w:val="16"/>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w:t>
      </w:r>
    </w:p>
    <w:p>
      <w:pPr>
        <w:ind w:left="540" w:right="60"/>
        <w:spacing w:after="0" w:line="261" w:lineRule="auto"/>
        <w:rPr>
          <w:sz w:val="20"/>
          <w:szCs w:val="20"/>
          <w:color w:val="auto"/>
        </w:rPr>
      </w:pPr>
      <w:r>
        <w:rPr>
          <w:rFonts w:ascii="Arial" w:cs="Arial" w:eastAsia="Arial" w:hAnsi="Arial"/>
          <w:sz w:val="18"/>
          <w:szCs w:val="18"/>
          <w:color w:val="auto"/>
        </w:rPr>
        <w:t>Section 3(a)(62) of the Exchange Act selected by us (as certified by a resolution of our Board of Directors) as a replacement agency for Fitch, Moody's or S&amp;P, or all of them, as the case may be.</w:t>
      </w:r>
    </w:p>
    <w:p>
      <w:pPr>
        <w:spacing w:after="0" w:line="192"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on the notes is lowered by at least two of the three rating agencies and the notes are rated 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S&amp;P Global Inc., and its successors.</w:t>
      </w:r>
    </w:p>
    <w:p>
      <w:pPr>
        <w:spacing w:after="0" w:line="225" w:lineRule="exact"/>
        <w:rPr>
          <w:sz w:val="20"/>
          <w:szCs w:val="20"/>
          <w:color w:val="auto"/>
        </w:rPr>
      </w:pPr>
    </w:p>
    <w:p>
      <w:pPr>
        <w:ind w:left="540" w:right="1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voting stock</w:t>
      </w:r>
      <w:r>
        <w:rPr>
          <w:rFonts w:ascii="Arial" w:cs="Arial" w:eastAsia="Arial" w:hAnsi="Arial"/>
          <w:sz w:val="16"/>
          <w:szCs w:val="16"/>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For a description of these covenants, see "Description of the Debt Securities—Provisions Applicable to Each Indenture—Consolidation, Merger and Sale of Assets" and "—Provisions Applicable Solely to Senior Debt Securities—Restrictive Covenants" in the accompanying prospectus.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Further Issuances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may from time to time, without notice or the consent of the holders of the notes, create and issue further notes ranking equally and ratably with the notes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Book-Entry Systems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94"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9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DTC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advised us and the underwriters as follows:</w:t>
      </w:r>
    </w:p>
    <w:p>
      <w:pPr>
        <w:spacing w:after="0" w:line="252" w:lineRule="exact"/>
        <w:rPr>
          <w:sz w:val="20"/>
          <w:szCs w:val="20"/>
          <w:color w:val="auto"/>
        </w:rPr>
      </w:pPr>
    </w:p>
    <w:p>
      <w:pPr>
        <w:ind w:left="1080" w:right="6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207"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DTC participants' accounts, thereby eliminating the need for physical movement of securities certificates.</w:t>
      </w:r>
    </w:p>
    <w:p>
      <w:pPr>
        <w:spacing w:after="0" w:line="239" w:lineRule="exact"/>
        <w:rPr>
          <w:sz w:val="20"/>
          <w:szCs w:val="20"/>
          <w:color w:val="auto"/>
        </w:rPr>
      </w:pPr>
    </w:p>
    <w:p>
      <w:pPr>
        <w:ind w:left="1080" w:right="16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Securities and Exchange Commission.</w:t>
      </w:r>
    </w:p>
    <w:p>
      <w:pPr>
        <w:spacing w:after="0" w:line="225"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94"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39"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42"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9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Euroclear</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74"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Euroclear Operator is a Belgian bank, which is regulated and examined by the Belgian Banking Commission and the National Bank of Belgium.</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60" w:firstLine="348"/>
        <w:spacing w:after="0" w:line="306" w:lineRule="auto"/>
        <w:rPr>
          <w:sz w:val="20"/>
          <w:szCs w:val="20"/>
          <w:color w:val="auto"/>
        </w:rPr>
      </w:pPr>
      <w:r>
        <w:rPr>
          <w:rFonts w:ascii="Arial" w:cs="Arial" w:eastAsia="Arial" w:hAnsi="Arial"/>
          <w:sz w:val="16"/>
          <w:szCs w:val="16"/>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6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97"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70"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Clearstream</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61"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17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97"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70"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U.S. FEDERAL TAX CONSIDERATIONS FOR NON-U.S. HOLDERS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Scope of Discussion</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in effect on the date of this prospectus supplement and all of which are subject to change or differing interpretations, possibly with retroactive effect. This discussion is limited to non-U.S. holders who purchase the notes at their "issue price"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In addition, this discussion does not address any aspect of non-income taxation (such as estate and gift taxes or the Medicare tax on certain investment income) or state, local or foreign taxation.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172"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own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w:t>
      </w:r>
    </w:p>
    <w:p>
      <w:pPr>
        <w:spacing w:after="0" w:line="197" w:lineRule="exact"/>
        <w:rPr>
          <w:sz w:val="20"/>
          <w:szCs w:val="20"/>
          <w:color w:val="auto"/>
        </w:rPr>
      </w:pPr>
    </w:p>
    <w:p>
      <w:pPr>
        <w:ind w:right="220" w:firstLine="345"/>
        <w:spacing w:after="0" w:line="268" w:lineRule="auto"/>
        <w:rPr>
          <w:sz w:val="20"/>
          <w:szCs w:val="20"/>
          <w:color w:val="auto"/>
        </w:rPr>
      </w:pPr>
      <w:r>
        <w:rPr>
          <w:rFonts w:ascii="Arial" w:cs="Arial" w:eastAsia="Arial" w:hAnsi="Arial"/>
          <w:sz w:val="18"/>
          <w:szCs w:val="18"/>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199" w:lineRule="exact"/>
        <w:rPr>
          <w:sz w:val="20"/>
          <w:szCs w:val="20"/>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52" w:lineRule="exact"/>
        <w:rPr>
          <w:rFonts w:ascii="Arial" w:cs="Arial" w:eastAsia="Arial" w:hAnsi="Arial"/>
          <w:sz w:val="18"/>
          <w:szCs w:val="18"/>
          <w:color w:val="auto"/>
        </w:rPr>
      </w:pPr>
    </w:p>
    <w:p>
      <w:pPr>
        <w:ind w:left="1080" w:right="38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Payments of Additional Amounts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may be required to make payments of additional amounts to holders of the notes under certain circumstances, including those described under "Description of Notes—Optional Redemption" or "Description of Notes—Change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Our position is binding on you unless you disclose your contrary position in the manner required by applicable Treasury regulations. Our determination is not, however,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own tax advisors regarding the possible application of the contingent payment debt instrument rules to the notes.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Interest on the Notes</w:t>
      </w:r>
    </w:p>
    <w:p>
      <w:pPr>
        <w:spacing w:after="0" w:line="23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Subject to the discussion of backup withholding and FATCA withholding requirements discussed below, payments of interest on the notes generally will be exempt from withholding of U.S. federal income tax under the "portfolio interest" exemption if you properly certify as to your foreign status as described below, and:</w:t>
      </w:r>
    </w:p>
    <w:p>
      <w:pPr>
        <w:spacing w:after="0" w:line="208"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paid on the notes is not effectively connected with your conduct of a trade or business in the United States;</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not a bank whose receipt of interest on the notes is in connection with an extension of credit made pursuant to a loan agreement entered into in the ordinary course of your trade or business;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you do not own, actually or constructively, 10% or more of the total combined voting power of all classes of our stock entitled to vote;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you are not a "controlled foreign corporation" that is related to us through actual or constructive stock ownership (as provided in the Code).</w:t>
      </w:r>
    </w:p>
    <w:p>
      <w:pPr>
        <w:spacing w:after="0" w:line="248"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portfolio interest exemption and several of the special rules for non-U.S. holders described below generally apply only if you appropriately certify as to your foreign status. You can generally meet this certification requirement by providing a properly executed IRS Form W-8BEN, IRS Form W-8BEN-E or applicable successor form to the applicable withholding agent. 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successor form) claiming an exemption from (or a reduction of) withholding under the benefit of an applicable tax treaty, or (ii) the payments of interest are effectively connected with your conduct of a trade or business (and, if</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required by an applicable tax treaty, are attributable to a "permanent establishment" maintained by you) in the United States and you meet the certification requirements described below in "—Income or Gain Effectively Connected with a U.S. Trade or Business."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Disposition of Notes</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Subject to the discussion of backup withholding and FATCA withholding requirements discussed below, you generally will not be subject to U.S. federal income tax on any gain realized on the sale, redemption, exchange, retirement or other taxable disposition of a note unless:</w:t>
      </w:r>
    </w:p>
    <w:p>
      <w:pPr>
        <w:spacing w:after="0" w:line="153" w:lineRule="exact"/>
        <w:rPr>
          <w:sz w:val="20"/>
          <w:szCs w:val="20"/>
          <w:color w:val="auto"/>
        </w:rPr>
      </w:pPr>
    </w:p>
    <w:p>
      <w:pPr>
        <w:ind w:left="1080" w:right="1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required by an applicable tax treaty, is attributable to your permanent establishment in the United States); or</w:t>
      </w:r>
    </w:p>
    <w:p>
      <w:pPr>
        <w:spacing w:after="0" w:line="21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are an individual who has been present in the United States for 183 days or more in the taxable year of disposition and certain other requirements are met.</w:t>
      </w:r>
    </w:p>
    <w:p>
      <w:pPr>
        <w:spacing w:after="0" w:line="186"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If you are described in the first bullet point above, you will be subject to the treatment described below in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197" w:lineRule="exact"/>
        <w:rPr>
          <w:sz w:val="20"/>
          <w:szCs w:val="20"/>
          <w:color w:val="auto"/>
        </w:rPr>
      </w:pPr>
    </w:p>
    <w:p>
      <w:pPr>
        <w:jc w:val="both"/>
        <w:ind w:right="140" w:firstLine="341"/>
        <w:spacing w:after="0" w:line="332" w:lineRule="auto"/>
        <w:rPr>
          <w:sz w:val="20"/>
          <w:szCs w:val="20"/>
          <w:color w:val="auto"/>
        </w:rPr>
      </w:pPr>
      <w:r>
        <w:rPr>
          <w:rFonts w:ascii="Arial" w:cs="Arial" w:eastAsia="Arial" w:hAnsi="Arial"/>
          <w:sz w:val="16"/>
          <w:szCs w:val="16"/>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"—Interest on the Notes."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Income or Gain Effectively Connected with a U.S. Trade or Business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Backup withholding generally will not apply to payments of interest on a note to you if the certification described in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Payment of the proceeds of a sale, redemption, exchange, retirement or other taxable disposition of a note effected by the U.S. office of a U.S. or foreign broker will be subject to information reporting requirements and backup withholding, unless you properly certify under penalties of perjury as to your foreign status and certain other conditions are met or you otherwise establish an exemption. Information reporting requirements and backup withholding generally will not apply to any payment of the proceeds 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w:t>
      </w:r>
    </w:p>
    <w:p>
      <w:pPr>
        <w:spacing w:after="0" w:line="18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derives 50% or more of its gross income for certain periods from the conduct of a trade or business in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controlled foreign corporation for U.S. federal income tax purposes; or</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foreign partnership that, at any time during its taxable year, has more than 50% of its income or capital interests owned by United States persons or is engaged in the conduct of a U.S. trade or business.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86" w:lineRule="exact"/>
        <w:rPr>
          <w:sz w:val="20"/>
          <w:szCs w:val="20"/>
          <w:color w:val="auto"/>
        </w:rPr>
      </w:pPr>
    </w:p>
    <w:p>
      <w:pPr>
        <w:ind w:right="380" w:firstLine="345"/>
        <w:spacing w:after="0" w:line="332" w:lineRule="auto"/>
        <w:rPr>
          <w:sz w:val="20"/>
          <w:szCs w:val="20"/>
          <w:color w:val="auto"/>
        </w:rPr>
      </w:pPr>
      <w:r>
        <w:rPr>
          <w:rFonts w:ascii="Arial" w:cs="Arial" w:eastAsia="Arial" w:hAnsi="Arial"/>
          <w:sz w:val="16"/>
          <w:szCs w:val="16"/>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Foreign Accounts Tax Compliance Act</w:t>
      </w:r>
    </w:p>
    <w:p>
      <w:pPr>
        <w:spacing w:after="0" w:line="23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Sections 1471 through 1474 of the Code (commonly referred to as the Foreign Account Tax Compliance Act, or "FATCA") and the Treasury regulations and administrative guidance issued thereunder, generally impose a 30% U.S. withholding tax on interest payments on the notes and on the gross proceeds from the sale or other disposition (including a retirement or redemption) of the notes occurring after December 31, 2018, in each case if paid to a "foreign financial institution" or a "non-financial foreign entity" (each as defined in the Code), unless (i) in the case of a foreign financial institution, such institution enters into an agreement with the Treasury Department to withhold on certain payments and to collect and provide substantial information regarding U.S. account holders, including certain account holders that are foreign entities with U.S. owners, (ii) in the case of a non-financial foreign entity, such entity provides the withholding agent with a certification that it does not have any "substantial United States owners" (as defined in the Code) or a certification identifying its direct or indirect substantial United States owners, or (iii) 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You should consult with your tax advisor regarding these rules.</w:t>
      </w:r>
    </w:p>
    <w:p>
      <w:pPr>
        <w:spacing w:after="0" w:line="171"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The preceding discussion of certain U.S. federal tax considerations is for general information only and is not tax advice. We urge each prospective investor to consult its own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 (CONFLICTS OF INTEREST)</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Barclays Capital Inc., J.P. Morgan Securities LLC and Merrill Lynch, Pierce, Fenner &amp; Smith Incorporated are acting as joint book-running managers of the offering and as representatives of the underwriters named below.</w:t>
      </w:r>
    </w:p>
    <w:p>
      <w:pPr>
        <w:spacing w:after="0" w:line="186" w:lineRule="exact"/>
        <w:rPr>
          <w:sz w:val="20"/>
          <w:szCs w:val="20"/>
          <w:color w:val="auto"/>
        </w:rPr>
      </w:pPr>
    </w:p>
    <w:p>
      <w:pPr>
        <w:jc w:val="both"/>
        <w:ind w:right="160" w:firstLine="351"/>
        <w:spacing w:after="0" w:line="370" w:lineRule="auto"/>
        <w:rPr>
          <w:sz w:val="20"/>
          <w:szCs w:val="20"/>
          <w:color w:val="auto"/>
        </w:rPr>
      </w:pPr>
      <w:r>
        <w:rPr>
          <w:rFonts w:ascii="Arial" w:cs="Arial" w:eastAsia="Arial" w:hAnsi="Arial"/>
          <w:sz w:val="15"/>
          <w:szCs w:val="15"/>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0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Principal Amount</w:t>
            </w:r>
          </w:p>
        </w:tc>
        <w:tc>
          <w:tcPr>
            <w:tcW w:w="0" w:type="dxa"/>
            <w:vAlign w:val="bottom"/>
          </w:tcPr>
          <w:p>
            <w:pPr>
              <w:spacing w:after="0"/>
              <w:rPr>
                <w:sz w:val="1"/>
                <w:szCs w:val="1"/>
                <w:color w:val="auto"/>
              </w:rPr>
            </w:pPr>
          </w:p>
        </w:tc>
      </w:tr>
      <w:tr>
        <w:trPr>
          <w:trHeight w:val="161"/>
        </w:trPr>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Underwriters</w:t>
            </w:r>
          </w:p>
        </w:tc>
        <w:tc>
          <w:tcPr>
            <w:tcW w:w="2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of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220" w:type="dxa"/>
            <w:vAlign w:val="bottom"/>
            <w:gridSpan w:val="2"/>
            <w:shd w:val="clear" w:color="auto" w:fill="CCEEFF"/>
          </w:tcPr>
          <w:p>
            <w:pPr>
              <w:jc w:val="right"/>
              <w:ind w:right="1049"/>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Incorporated</w:t>
            </w:r>
          </w:p>
        </w:tc>
        <w:tc>
          <w:tcPr>
            <w:tcW w:w="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49"/>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propose to offer the notes directly to the public at the public offering price set forth on the cover page of this prospectus supplement and</w:t>
      </w:r>
    </w:p>
    <w:p>
      <w:pPr>
        <w:spacing w:after="0" w:line="3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may offer the notes to dealers at the public offering price less a concession not to exceed % of the principal amount of the notes. The underwriters may allow, and dealers may reallow, a concession not to exceed % of the principal amount of the notes on sales to other dealers. After the initial offering of the notes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public, the representatives may change the public offering price and other selling terms applicable to the notes.</w:t>
      </w:r>
    </w:p>
    <w:p>
      <w:pPr>
        <w:spacing w:after="0" w:line="21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70"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39"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our total expenses (not including the underwriting discount) for this offering will be $1.6 million.</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expect delivery of the notes will be made against payment therefor on or about , 2017, which is the seventh business day following the date of pricing of the notes (such settlement being referred to as "T+7").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four business days will be required, by virtue of the fact that the notes initially will settle in T+7, to specify an alternate settlement cycle at the time of any such trade to prevent failed settlement and should consult their own advisers.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Relationships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Certain of the underwriters or one of their respective affiliates are lenders to us under our $2.25 billion revolving credit facility, and affiliates of J.P. Morgan Securities LLC and Merrill Lynch, Pierce, Fenner &amp; Smith Incorporated are dealers under our commercial paper program. Additionally, 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167"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 or publish or express independent research views in respect of such securities or financial instruments and may hold, or recommend to clients that they acquire, long and/or short positions in such securities and instruments.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Conflicts of Interest</w:t>
      </w:r>
    </w:p>
    <w:p>
      <w:pPr>
        <w:spacing w:after="0" w:line="231"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Certain affiliates of Barclays Capital Inc., J.P. Morgan Securities LLC and Merrill Lynch, Pierce, Fenner &amp; Smith Incorporated are lenders to us under our $2.25 billion revolving credit facility and may receive 5% or more of the net proceeds of this offering by reason of the repayment of amounts outstanding under our commercial paper program, which is fully supported by such credit facility, pending application of the net proceeds as described in the initial paragraph under "Use of Proceeds" in the prospectus supplement. Accordingly, such underwriters are deemed to have a "conflict of interest" within the meaning of FINRA</w:t>
      </w:r>
    </w:p>
    <w:p>
      <w:pPr>
        <w:spacing w:after="0" w:line="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Rule 5121, and this offering will be conducted in accordance with FINRA Rule 5121. No underwriter with a "conflict of interest" will confirm sales to any account over which it exercises discretion without the specific written approval of the account holder.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supplement:</w:t>
      </w:r>
    </w:p>
    <w:p>
      <w:pPr>
        <w:spacing w:after="0" w:line="225" w:lineRule="exact"/>
        <w:rPr>
          <w:sz w:val="20"/>
          <w:szCs w:val="20"/>
          <w:color w:val="auto"/>
        </w:rPr>
      </w:pPr>
    </w:p>
    <w:p>
      <w:pPr>
        <w:ind w:left="1240" w:hanging="350"/>
        <w:spacing w:after="0"/>
        <w:tabs>
          <w:tab w:leader="none" w:pos="1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does not constitute a product disclosure document or a prospectus under Chapter 6D.2 of the Corporations Act 2001 (Cth) (the "Corporations</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8" w:lineRule="exact"/>
        <w:rPr>
          <w:rFonts w:ascii="Arial" w:cs="Arial" w:eastAsia="Arial" w:hAnsi="Arial"/>
          <w:sz w:val="16"/>
          <w:szCs w:val="16"/>
          <w:color w:val="auto"/>
        </w:rPr>
      </w:pPr>
    </w:p>
    <w:p>
      <w:pPr>
        <w:ind w:left="540" w:right="300" w:firstLine="359"/>
        <w:spacing w:after="0" w:line="259" w:lineRule="auto"/>
        <w:tabs>
          <w:tab w:leader="none" w:pos="1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94" w:lineRule="exact"/>
        <w:rPr>
          <w:rFonts w:ascii="Arial" w:cs="Arial" w:eastAsia="Arial" w:hAnsi="Arial"/>
          <w:sz w:val="18"/>
          <w:szCs w:val="18"/>
          <w:color w:val="auto"/>
        </w:rPr>
      </w:pPr>
    </w:p>
    <w:p>
      <w:pPr>
        <w:ind w:left="540" w:right="200" w:firstLine="359"/>
        <w:spacing w:after="0" w:line="370" w:lineRule="auto"/>
        <w:tabs>
          <w:tab w:leader="none" w:pos="1228" w:val="left"/>
        </w:tabs>
        <w:numPr>
          <w:ilvl w:val="0"/>
          <w:numId w:val="24"/>
        </w:numPr>
        <w:rPr>
          <w:rFonts w:ascii="Arial" w:cs="Arial" w:eastAsia="Arial" w:hAnsi="Arial"/>
          <w:sz w:val="15"/>
          <w:szCs w:val="15"/>
          <w:color w:val="auto"/>
        </w:rPr>
      </w:pPr>
      <w:r>
        <w:rPr>
          <w:rFonts w:ascii="Arial" w:cs="Arial" w:eastAsia="Arial" w:hAnsi="Arial"/>
          <w:sz w:val="15"/>
          <w:szCs w:val="15"/>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16" w:lineRule="exact"/>
        <w:rPr>
          <w:rFonts w:ascii="Arial" w:cs="Arial" w:eastAsia="Arial" w:hAnsi="Arial"/>
          <w:sz w:val="15"/>
          <w:szCs w:val="15"/>
          <w:color w:val="auto"/>
        </w:rPr>
      </w:pPr>
    </w:p>
    <w:p>
      <w:pPr>
        <w:ind w:left="540" w:right="20" w:firstLine="359"/>
        <w:spacing w:after="0" w:line="268" w:lineRule="auto"/>
        <w:tabs>
          <w:tab w:leader="none" w:pos="12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97"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relation to each member state of the European Economic Area (each, a "Member State"), no offer of notes which are the subject of the offering has been, or will be made to the public in that Member State, other than under the following exemptions under the Prospectus Directive:</w:t>
      </w:r>
    </w:p>
    <w:p>
      <w:pPr>
        <w:spacing w:after="0" w:line="139" w:lineRule="exact"/>
        <w:rPr>
          <w:sz w:val="20"/>
          <w:szCs w:val="20"/>
          <w:color w:val="auto"/>
        </w:rPr>
      </w:pPr>
    </w:p>
    <w:p>
      <w:pPr>
        <w:ind w:left="1240" w:hanging="350"/>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540" w:right="240" w:firstLine="359"/>
        <w:spacing w:after="0" w:line="268" w:lineRule="auto"/>
        <w:tabs>
          <w:tab w:leader="none" w:pos="12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provided that no such offer of notes referred to in (a) to (c) above shall result in a requirement for Waste Management or any representatives to publish a prospectus pursuant to Article 3 of the Prospectus Directive or supplement a prospectus pursuant to Article 16 of the Prospectus Directive.</w:t>
      </w:r>
    </w:p>
    <w:p>
      <w:pPr>
        <w:spacing w:after="0" w:line="139"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has been prepared on the basis that any offer of notes in any Member State will be made pursuant to an exemption under the Prospectus Directive from the requirement to publish a prospectus for offers of notes. Accordingly any person making or intending to make an offer in that Member State of notes which are the subject of the offering contemplated in this prospectus may only do so in circumstances in which no obligation arises for Waste Management or any of the representatives to publish a prospectus pursuant to Article 3 of the Prospectus Directive in relation to such offer. Neither Waste Management nor the representatives have authorized, nor do they authorize, the making of any offer of notes in circumstances in which an obligation arises for Waste Management or the representatives to publish a prospectus for such offer.</w:t>
      </w:r>
    </w:p>
    <w:p>
      <w:pPr>
        <w:spacing w:after="0" w:line="17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For the purpose of this provision, the expression an "offer of notes to the public" in relation to any notes in any Member State means the communication in any form and by any means of sufficient information on the terms of the offer and the notes to be offered so as to enable an investor to decide to purchase or subscribe the notes, as the same may be varied in that Member State by any measure implementing the Prospectus Directive in that Member State and the expression "Prospectus Directive" means Directive 2003/71/EC (as amended) and includes any relevant implementing measure in the each Member State.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Neither this prospectus supplement nor the accompanying prospectus have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225" w:lineRule="exact"/>
        <w:rPr>
          <w:sz w:val="20"/>
          <w:szCs w:val="20"/>
          <w:color w:val="auto"/>
        </w:rPr>
      </w:pPr>
    </w:p>
    <w:p>
      <w:pPr>
        <w:ind w:left="540" w:right="200" w:firstLine="350"/>
        <w:spacing w:after="0" w:line="268" w:lineRule="auto"/>
        <w:tabs>
          <w:tab w:leader="none" w:pos="1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5" w:lineRule="exact"/>
        <w:rPr>
          <w:rFonts w:ascii="Arial" w:cs="Arial" w:eastAsia="Arial" w:hAnsi="Arial"/>
          <w:sz w:val="18"/>
          <w:szCs w:val="18"/>
          <w:color w:val="auto"/>
        </w:rPr>
      </w:pPr>
    </w:p>
    <w:p>
      <w:pPr>
        <w:ind w:left="540" w:right="80" w:firstLine="359"/>
        <w:spacing w:after="0" w:line="256" w:lineRule="auto"/>
        <w:tabs>
          <w:tab w:leader="none" w:pos="1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97" w:lineRule="exact"/>
        <w:rPr>
          <w:rFonts w:ascii="Arial" w:cs="Arial" w:eastAsia="Arial" w:hAnsi="Arial"/>
          <w:sz w:val="18"/>
          <w:szCs w:val="18"/>
          <w:color w:val="auto"/>
        </w:rPr>
      </w:pPr>
    </w:p>
    <w:p>
      <w:pPr>
        <w:ind w:left="1080" w:right="420" w:firstLine="447"/>
        <w:spacing w:after="0" w:line="268" w:lineRule="auto"/>
        <w:tabs>
          <w:tab w:leader="none" w:pos="177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1800" w:hanging="360"/>
        <w:spacing w:after="0"/>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1080" w:right="620" w:firstLine="403"/>
        <w:spacing w:after="0" w:line="268" w:lineRule="auto"/>
        <w:tabs>
          <w:tab w:leader="none" w:pos="17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Korea</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Taiwan</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notes may be made available for purchase outside Taiwan by investors residing in Taiwan (either directly or through properly licensed Taiwan intermediaries acting on behalf of such investors) but may not be offered or sold in Taiwan.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Gibson, Dunn &amp; Crutcher LLP, Houston, Texas.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2016, including the schedule appearing therein, and the effectiveness of Waste Management, Inc.'s internal control over financial reporting as of December 31, 2016,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5"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9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760" w:type="dxa"/>
            <w:vAlign w:val="bottom"/>
            <w:gridSpan w:val="3"/>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Date Filed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Report on Form 10-K for the year ended December 31, 2016</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16,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March 3,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 Report on Form 10-Q for the period ended March 31, 2017</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26,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May 16,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 Report on Form 10-Q for the period ended June 30, 2017</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26,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August 4,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 Report on Form 10-Q for the period ended September 30, 2017</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26, 2017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w w:val="90"/>
              </w:rPr>
              <w:t>The portions of our proxy statement for our 2017 annual meeting of stockholders incorporated by reference</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ind w:left="160"/>
              <w:spacing w:after="0"/>
              <w:rPr>
                <w:sz w:val="20"/>
                <w:szCs w:val="20"/>
                <w:color w:val="auto"/>
              </w:rPr>
            </w:pPr>
            <w:r>
              <w:rPr>
                <w:rFonts w:ascii="Arial" w:cs="Arial" w:eastAsia="Arial" w:hAnsi="Arial"/>
                <w:sz w:val="18"/>
                <w:szCs w:val="18"/>
                <w:color w:val="auto"/>
              </w:rPr>
              <w:t>in our Annual Report on Form 10-K for the year ended December 31, 2016</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March 24, 2017</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197" w:lineRule="exact"/>
        <w:rPr>
          <w:sz w:val="20"/>
          <w:szCs w:val="20"/>
          <w:color w:val="auto"/>
        </w:rPr>
      </w:pPr>
    </w:p>
    <w:p>
      <w:pPr>
        <w:jc w:val="both"/>
        <w:ind w:right="180" w:firstLine="345"/>
        <w:spacing w:after="0" w:line="306" w:lineRule="auto"/>
        <w:rPr>
          <w:sz w:val="20"/>
          <w:szCs w:val="20"/>
          <w:color w:val="auto"/>
        </w:rPr>
      </w:pPr>
      <w:r>
        <w:rPr>
          <w:rFonts w:ascii="Arial" w:cs="Arial" w:eastAsia="Arial" w:hAnsi="Arial"/>
          <w:sz w:val="16"/>
          <w:szCs w:val="16"/>
          <w:color w:val="auto"/>
        </w:rPr>
        <w:t>You may obtain copies of any of these filings through Waste Management as described below, or through the SEC or through the SEC's Internet website as described in the accompanying prospectus.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www.wm.com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152400</wp:posOffset>
            </wp:positionV>
            <wp:extent cx="1989455" cy="728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894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DEBT SECURITIES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GUARANTEES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UNITS</w:t>
      </w:r>
    </w:p>
    <w:p>
      <w:pPr>
        <w:spacing w:after="0" w:line="21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206" w:lineRule="exact"/>
        <w:rPr>
          <w:sz w:val="20"/>
          <w:szCs w:val="20"/>
          <w:color w:val="auto"/>
        </w:rPr>
      </w:pPr>
    </w:p>
    <w:p>
      <w:pPr>
        <w:jc w:val="both"/>
        <w:ind w:right="280" w:firstLine="351"/>
        <w:spacing w:after="0" w:line="261" w:lineRule="auto"/>
        <w:rPr>
          <w:sz w:val="20"/>
          <w:szCs w:val="20"/>
          <w:color w:val="auto"/>
        </w:rPr>
      </w:pPr>
      <w:r>
        <w:rPr>
          <w:rFonts w:ascii="Arial" w:cs="Arial" w:eastAsia="Arial" w:hAnsi="Arial"/>
          <w:sz w:val="21"/>
          <w:szCs w:val="21"/>
          <w:b w:val="1"/>
          <w:bCs w:val="1"/>
          <w:color w:val="auto"/>
        </w:rPr>
        <w:t>Investing in our securities involves risks. See "Risk Factors" on page 6 of this prospectus, the risk factors included in our periodic reports that we file with the Securities and Exchange Commission and incorporated by reference herein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prospectus is dated October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right="160" w:firstLine="351"/>
        <w:spacing w:after="0" w:line="339" w:lineRule="auto"/>
        <w:rPr>
          <w:sz w:val="20"/>
          <w:szCs w:val="20"/>
          <w:color w:val="auto"/>
        </w:rPr>
      </w:pPr>
      <w:r>
        <w:rPr>
          <w:rFonts w:ascii="Arial" w:cs="Arial" w:eastAsia="Arial" w:hAnsi="Arial"/>
          <w:sz w:val="15"/>
          <w:szCs w:val="15"/>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50"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0" w:type="dxa"/>
            <w:vAlign w:val="bottom"/>
            <w:gridSpan w:val="3"/>
          </w:tcPr>
          <w:p>
            <w:pPr>
              <w:jc w:val="right"/>
              <w:ind w:right="3392"/>
              <w:spacing w:after="0"/>
              <w:rPr>
                <w:sz w:val="20"/>
                <w:szCs w:val="20"/>
                <w:color w:val="auto"/>
              </w:rPr>
            </w:pPr>
            <w:r>
              <w:rPr>
                <w:rFonts w:ascii="Arial" w:cs="Arial" w:eastAsia="Arial" w:hAnsi="Arial"/>
                <w:sz w:val="18"/>
                <w:szCs w:val="18"/>
                <w:b w:val="1"/>
                <w:bCs w:val="1"/>
                <w:color w:val="auto"/>
                <w:w w:val="97"/>
              </w:rPr>
              <w:t>TABLE OF CONTENTS</w:t>
            </w:r>
          </w:p>
        </w:tc>
      </w:tr>
      <w:tr>
        <w:trPr>
          <w:trHeight w:val="394"/>
        </w:trPr>
        <w:tc>
          <w:tcPr>
            <w:tcW w:w="20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Forward-Looking Statements</w:t>
              </w:r>
            </w:hyperlink>
          </w:p>
        </w:tc>
        <w:tc>
          <w:tcPr>
            <w:tcW w:w="1500" w:type="dxa"/>
            <w:vAlign w:val="bottom"/>
            <w:gridSpan w:val="6"/>
          </w:tcPr>
          <w:p>
            <w:pPr>
              <w:spacing w:after="0"/>
              <w:rPr>
                <w:sz w:val="24"/>
                <w:szCs w:val="24"/>
                <w:color w:val="auto"/>
              </w:rPr>
            </w:pPr>
          </w:p>
        </w:tc>
        <w:tc>
          <w:tcPr>
            <w:tcW w:w="53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1</w:t>
              </w:r>
            </w:hyperlink>
          </w:p>
        </w:tc>
      </w:tr>
      <w:tr>
        <w:trPr>
          <w:trHeight w:val="196"/>
        </w:trPr>
        <w:tc>
          <w:tcPr>
            <w:tcW w:w="15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About this Prospectus</w:t>
              </w:r>
            </w:hyperlink>
          </w:p>
        </w:tc>
        <w:tc>
          <w:tcPr>
            <w:tcW w:w="2020" w:type="dxa"/>
            <w:vAlign w:val="bottom"/>
            <w:gridSpan w:val="10"/>
          </w:tcPr>
          <w:p>
            <w:pPr>
              <w:spacing w:after="0"/>
              <w:rPr>
                <w:sz w:val="17"/>
                <w:szCs w:val="17"/>
                <w:color w:val="auto"/>
              </w:rPr>
            </w:pPr>
          </w:p>
        </w:tc>
        <w:tc>
          <w:tcPr>
            <w:tcW w:w="53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w:t>
              </w:r>
            </w:hyperlink>
          </w:p>
        </w:tc>
      </w:tr>
      <w:tr>
        <w:trPr>
          <w:trHeight w:val="196"/>
        </w:trPr>
        <w:tc>
          <w:tcPr>
            <w:tcW w:w="35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Incorporation of Certain Documents by Reference</w:t>
              </w:r>
            </w:hyperlink>
          </w:p>
        </w:tc>
        <w:tc>
          <w:tcPr>
            <w:tcW w:w="40" w:type="dxa"/>
            <w:vAlign w:val="bottom"/>
          </w:tcPr>
          <w:p>
            <w:pPr>
              <w:spacing w:after="0"/>
              <w:rPr>
                <w:sz w:val="17"/>
                <w:szCs w:val="17"/>
                <w:color w:val="auto"/>
              </w:rPr>
            </w:pPr>
          </w:p>
        </w:tc>
        <w:tc>
          <w:tcPr>
            <w:tcW w:w="53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w:t>
              </w:r>
            </w:hyperlink>
          </w:p>
        </w:tc>
      </w:tr>
      <w:tr>
        <w:trPr>
          <w:trHeight w:val="196"/>
        </w:trPr>
        <w:tc>
          <w:tcPr>
            <w:tcW w:w="3580" w:type="dxa"/>
            <w:vAlign w:val="bottom"/>
            <w:gridSpan w:val="1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Where You Can Find More Information</w:t>
              </w:r>
            </w:hyperlink>
          </w:p>
        </w:tc>
        <w:tc>
          <w:tcPr>
            <w:tcW w:w="5400" w:type="dxa"/>
            <w:vAlign w:val="bottom"/>
            <w:gridSpan w:val="3"/>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6</w:t>
              </w:r>
            </w:hyperlink>
          </w:p>
        </w:tc>
      </w:tr>
      <w:tr>
        <w:trPr>
          <w:trHeight w:val="196"/>
        </w:trPr>
        <w:tc>
          <w:tcPr>
            <w:tcW w:w="2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The Company</w:t>
              </w:r>
            </w:hyperlink>
          </w:p>
        </w:tc>
        <w:tc>
          <w:tcPr>
            <w:tcW w:w="780" w:type="dxa"/>
            <w:vAlign w:val="bottom"/>
            <w:gridSpan w:val="2"/>
          </w:tcPr>
          <w:p>
            <w:pPr>
              <w:spacing w:after="0"/>
              <w:rPr>
                <w:sz w:val="17"/>
                <w:szCs w:val="17"/>
                <w:color w:val="auto"/>
              </w:rPr>
            </w:pPr>
          </w:p>
        </w:tc>
        <w:tc>
          <w:tcPr>
            <w:tcW w:w="530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6</w:t>
              </w:r>
            </w:hyperlink>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Risk Factors</w:t>
              </w:r>
            </w:hyperlink>
          </w:p>
        </w:tc>
        <w:tc>
          <w:tcPr>
            <w:tcW w:w="100" w:type="dxa"/>
            <w:vAlign w:val="bottom"/>
            <w:tcBorders>
              <w:top w:val="single" w:sz="8" w:color="0000EE"/>
            </w:tcBorders>
            <w:gridSpan w:val="2"/>
          </w:tcPr>
          <w:p>
            <w:pPr>
              <w:spacing w:after="0"/>
              <w:rPr>
                <w:sz w:val="17"/>
                <w:szCs w:val="17"/>
                <w:color w:val="auto"/>
              </w:rPr>
            </w:pPr>
          </w:p>
        </w:tc>
        <w:tc>
          <w:tcPr>
            <w:tcW w:w="2580" w:type="dxa"/>
            <w:vAlign w:val="bottom"/>
            <w:gridSpan w:val="13"/>
          </w:tcPr>
          <w:p>
            <w:pPr>
              <w:spacing w:after="0"/>
              <w:rPr>
                <w:sz w:val="17"/>
                <w:szCs w:val="17"/>
                <w:color w:val="auto"/>
              </w:rPr>
            </w:pPr>
          </w:p>
        </w:tc>
        <w:tc>
          <w:tcPr>
            <w:tcW w:w="530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6</w:t>
              </w:r>
            </w:hyperlink>
          </w:p>
        </w:tc>
      </w:tr>
      <w:tr>
        <w:trPr>
          <w:trHeight w:val="196"/>
        </w:trPr>
        <w:tc>
          <w:tcPr>
            <w:tcW w:w="3580" w:type="dxa"/>
            <w:vAlign w:val="bottom"/>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Ratio of Earnings to Fixed Charges</w:t>
              </w:r>
            </w:hyperlink>
          </w:p>
        </w:tc>
        <w:tc>
          <w:tcPr>
            <w:tcW w:w="5400" w:type="dxa"/>
            <w:vAlign w:val="bottom"/>
            <w:gridSpan w:val="3"/>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7</w:t>
              </w:r>
            </w:hyperlink>
          </w:p>
        </w:tc>
      </w:tr>
      <w:tr>
        <w:trPr>
          <w:trHeight w:val="196"/>
        </w:trPr>
        <w:tc>
          <w:tcPr>
            <w:tcW w:w="1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47">
              <w:r>
                <w:rPr>
                  <w:rFonts w:ascii="Arial" w:cs="Arial" w:eastAsia="Arial" w:hAnsi="Arial"/>
                  <w:sz w:val="18"/>
                  <w:szCs w:val="18"/>
                  <w:color w:val="0000EE"/>
                  <w:w w:val="85"/>
                </w:rPr>
                <w:t>Use of Proceeds</w:t>
              </w:r>
            </w:hyperlink>
          </w:p>
        </w:tc>
        <w:tc>
          <w:tcPr>
            <w:tcW w:w="1320" w:type="dxa"/>
            <w:vAlign w:val="bottom"/>
            <w:tcBorders>
              <w:top w:val="single" w:sz="8" w:color="0000EE"/>
            </w:tcBorders>
            <w:gridSpan w:val="9"/>
          </w:tcPr>
          <w:p>
            <w:pPr>
              <w:spacing w:after="0"/>
              <w:rPr>
                <w:sz w:val="17"/>
                <w:szCs w:val="17"/>
                <w:color w:val="auto"/>
              </w:rPr>
            </w:pPr>
          </w:p>
        </w:tc>
        <w:tc>
          <w:tcPr>
            <w:tcW w:w="1100" w:type="dxa"/>
            <w:vAlign w:val="bottom"/>
            <w:gridSpan w:val="3"/>
          </w:tcPr>
          <w:p>
            <w:pPr>
              <w:spacing w:after="0"/>
              <w:rPr>
                <w:sz w:val="17"/>
                <w:szCs w:val="17"/>
                <w:color w:val="auto"/>
              </w:rPr>
            </w:pPr>
          </w:p>
        </w:tc>
        <w:tc>
          <w:tcPr>
            <w:tcW w:w="530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8</w:t>
              </w:r>
            </w:hyperlink>
          </w:p>
        </w:tc>
      </w:tr>
      <w:tr>
        <w:trPr>
          <w:trHeight w:val="196"/>
        </w:trPr>
        <w:tc>
          <w:tcPr>
            <w:tcW w:w="24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Description of the Debt Securities</w:t>
              </w:r>
            </w:hyperlink>
          </w:p>
        </w:tc>
        <w:tc>
          <w:tcPr>
            <w:tcW w:w="1180" w:type="dxa"/>
            <w:vAlign w:val="bottom"/>
            <w:gridSpan w:val="4"/>
          </w:tcPr>
          <w:p>
            <w:pPr>
              <w:spacing w:after="0"/>
              <w:rPr>
                <w:sz w:val="17"/>
                <w:szCs w:val="17"/>
                <w:color w:val="auto"/>
              </w:rPr>
            </w:pPr>
          </w:p>
        </w:tc>
        <w:tc>
          <w:tcPr>
            <w:tcW w:w="53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8</w:t>
              </w:r>
            </w:hyperlink>
          </w:p>
        </w:tc>
      </w:tr>
      <w:tr>
        <w:trPr>
          <w:trHeight w:val="196"/>
        </w:trPr>
        <w:tc>
          <w:tcPr>
            <w:tcW w:w="186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Description of Guarantees</w:t>
              </w:r>
            </w:hyperlink>
          </w:p>
        </w:tc>
        <w:tc>
          <w:tcPr>
            <w:tcW w:w="1720" w:type="dxa"/>
            <w:vAlign w:val="bottom"/>
            <w:gridSpan w:val="8"/>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17</w:t>
              </w:r>
            </w:hyperlink>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Description of Capital Stock</w:t>
              </w:r>
            </w:hyperlink>
          </w:p>
        </w:tc>
        <w:tc>
          <w:tcPr>
            <w:tcW w:w="1560" w:type="dxa"/>
            <w:vAlign w:val="bottom"/>
            <w:gridSpan w:val="7"/>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18</w:t>
              </w:r>
            </w:hyperlink>
          </w:p>
        </w:tc>
      </w:tr>
      <w:tr>
        <w:trPr>
          <w:trHeight w:val="196"/>
        </w:trPr>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Description of Other Securities</w:t>
              </w:r>
            </w:hyperlink>
          </w:p>
        </w:tc>
        <w:tc>
          <w:tcPr>
            <w:tcW w:w="1380" w:type="dxa"/>
            <w:vAlign w:val="bottom"/>
            <w:gridSpan w:val="5"/>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20</w:t>
              </w:r>
            </w:hyperlink>
          </w:p>
        </w:tc>
      </w:tr>
      <w:tr>
        <w:trPr>
          <w:trHeight w:val="196"/>
        </w:trPr>
        <w:tc>
          <w:tcPr>
            <w:tcW w:w="3580" w:type="dxa"/>
            <w:vAlign w:val="bottom"/>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Plan of Distribution</w:t>
              </w:r>
            </w:hyperlink>
          </w:p>
        </w:tc>
        <w:tc>
          <w:tcPr>
            <w:tcW w:w="5400" w:type="dxa"/>
            <w:vAlign w:val="bottom"/>
            <w:gridSpan w:val="3"/>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20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6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Selling Securityholders</w:t>
              </w:r>
            </w:hyperlink>
          </w:p>
        </w:tc>
        <w:tc>
          <w:tcPr>
            <w:tcW w:w="1920" w:type="dxa"/>
            <w:vAlign w:val="bottom"/>
            <w:gridSpan w:val="9"/>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21</w:t>
              </w:r>
            </w:hyperlink>
          </w:p>
        </w:tc>
      </w:tr>
      <w:tr>
        <w:trPr>
          <w:trHeight w:val="196"/>
        </w:trPr>
        <w:tc>
          <w:tcPr>
            <w:tcW w:w="3580" w:type="dxa"/>
            <w:vAlign w:val="bottom"/>
            <w:gridSpan w:val="1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Legal Matters</w:t>
              </w:r>
            </w:hyperlink>
          </w:p>
        </w:tc>
        <w:tc>
          <w:tcPr>
            <w:tcW w:w="5400" w:type="dxa"/>
            <w:vAlign w:val="bottom"/>
            <w:gridSpan w:val="3"/>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21</w:t>
              </w:r>
            </w:hyperlink>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Experts</w:t>
              </w:r>
            </w:hyperlink>
          </w:p>
        </w:tc>
        <w:tc>
          <w:tcPr>
            <w:tcW w:w="2600" w:type="dxa"/>
            <w:vAlign w:val="bottom"/>
            <w:gridSpan w:val="14"/>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21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2014.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188" w:lineRule="exact"/>
        <w:rPr>
          <w:sz w:val="20"/>
          <w:szCs w:val="20"/>
          <w:color w:val="auto"/>
        </w:rPr>
      </w:pPr>
    </w:p>
    <w:p>
      <w:pPr>
        <w:ind w:left="1080" w:right="140" w:hanging="532"/>
        <w:spacing w:after="0" w:line="370" w:lineRule="auto"/>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competition may negatively affect our profitability or cash flows, our pricing strategy may have negative effects on volumes, and inability to execute our pricing strategy while retaining and attracting customers may negatively affect our average yield on collection and disposal business;</w:t>
      </w:r>
    </w:p>
    <w:p>
      <w:pPr>
        <w:spacing w:after="0" w:line="143" w:lineRule="exact"/>
        <w:rPr>
          <w:rFonts w:ascii="Arial" w:cs="Arial" w:eastAsia="Arial" w:hAnsi="Arial"/>
          <w:sz w:val="15"/>
          <w:szCs w:val="15"/>
          <w:color w:val="auto"/>
        </w:rPr>
      </w:pPr>
    </w:p>
    <w:p>
      <w:pPr>
        <w:ind w:left="1080" w:right="1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fail in implementing our cost saving, optimization and growth initiatives and overall business strategy, which could adversely impact our financial performance and growth,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80"/>
        <w:spacing w:after="0" w:line="268" w:lineRule="auto"/>
        <w:rPr>
          <w:sz w:val="20"/>
          <w:szCs w:val="20"/>
          <w:color w:val="auto"/>
        </w:rPr>
      </w:pPr>
      <w:r>
        <w:rPr>
          <w:rFonts w:ascii="Arial" w:cs="Arial" w:eastAsia="Arial" w:hAnsi="Arial"/>
          <w:sz w:val="18"/>
          <w:szCs w:val="18"/>
          <w:color w:val="auto"/>
        </w:rPr>
        <w:t>implementation of our initiatives and strategy may have associated negative consequences, such as fragmentation of efforts, increased indebtedness, asset impairments, business disruption, employee distraction, and regulatory issues;</w:t>
      </w:r>
    </w:p>
    <w:p>
      <w:pPr>
        <w:spacing w:after="0" w:line="199" w:lineRule="exact"/>
        <w:rPr>
          <w:sz w:val="20"/>
          <w:szCs w:val="20"/>
          <w:color w:val="auto"/>
        </w:rPr>
      </w:pPr>
    </w:p>
    <w:p>
      <w:pPr>
        <w:ind w:left="1080" w:right="6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existing or future regulations may impact our business by, among other things, restricting our operations, increasing costs of operations or requiring additional capital expenditures;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and other energy-related products marketed and sold by our landfill gas recovery operations; fluctuations in commodity prices may have negative effects on our operating results;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oil and gas prices and drilling activity, and changes in applicable regulations, could adversely affect our Energy Services business;</w:t>
      </w:r>
    </w:p>
    <w:p>
      <w:pPr>
        <w:spacing w:after="0" w:line="261" w:lineRule="exact"/>
        <w:rPr>
          <w:rFonts w:ascii="Arial" w:cs="Arial" w:eastAsia="Arial" w:hAnsi="Arial"/>
          <w:sz w:val="16"/>
          <w:szCs w:val="16"/>
          <w:color w:val="auto"/>
        </w:rPr>
      </w:pPr>
    </w:p>
    <w:p>
      <w:pPr>
        <w:ind w:left="1080" w:right="30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21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152"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such emerging technologies may not perform as intended or may experience other difficulties or delays that prevent us from realizing a return on our investment;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212" w:lineRule="exact"/>
        <w:rPr>
          <w:rFonts w:ascii="Arial" w:cs="Arial" w:eastAsia="Arial" w:hAnsi="Arial"/>
          <w:sz w:val="18"/>
          <w:szCs w:val="18"/>
          <w:color w:val="auto"/>
        </w:rPr>
      </w:pPr>
    </w:p>
    <w:p>
      <w:pPr>
        <w:ind w:left="1080" w:right="66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compressed natural gas ("CNG") and CNG fueling infrastructure and vulnerable to CNG prices; difficulty obtaining CNG and increases in CNG prices could increase our operating costs;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25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199"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212"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261"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208"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0"/>
          <w:szCs w:val="20"/>
          <w:color w:val="auto"/>
        </w:rPr>
      </w:pPr>
    </w:p>
    <w:p>
      <w:pPr>
        <w:ind w:right="740" w:firstLine="348"/>
        <w:spacing w:after="0" w:line="332" w:lineRule="auto"/>
        <w:rPr>
          <w:sz w:val="20"/>
          <w:szCs w:val="20"/>
          <w:color w:val="auto"/>
        </w:rPr>
      </w:pPr>
      <w:r>
        <w:rPr>
          <w:rFonts w:ascii="Arial" w:cs="Arial" w:eastAsia="Arial" w:hAnsi="Arial"/>
          <w:sz w:val="16"/>
          <w:szCs w:val="16"/>
          <w:color w:val="auto"/>
        </w:rPr>
        <w:t>THIS PROSPECTUS INCORPORATES DOCUMENTS BY REFERENCE WHICH ARE NOT PRESENTED IN OR DELIVERED WITH THIS PROSPECTUS. WE HAVE NOT AUTHORIZED ANYONE TO PROVIDE YOU WITH INFORMATION THAT IS DIFFERENT FROM OR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ADDITION TO THE INFORMATION CONTAINED IN THIS DOCUMENT AND INCORPORATED BY REFERENCE INTO THIS PROSPECTUS.</w:t>
      </w:r>
    </w:p>
    <w:p>
      <w:pPr>
        <w:spacing w:after="0" w:line="248"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460" w:type="dxa"/>
            <w:vAlign w:val="bottom"/>
            <w:gridSpan w:val="3"/>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680" w:type="dxa"/>
            <w:vAlign w:val="bottom"/>
            <w:gridSpan w:val="2"/>
          </w:tcPr>
          <w:p>
            <w:pPr>
              <w:ind w:left="46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Report on Form 10-K for the year ended December 31, 2014</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February 17,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2015</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April 29,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2015</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July 23,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September 30, 2015</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October 27,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January 2,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February 18,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February 24,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March 3,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May 15,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July 14,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July 30,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September 2,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October 1, 2015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w w:val="93"/>
              </w:rPr>
              <w:t>Description of our Common Stock on Form 8-B, as we may update that description from time to time</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July 13, 1995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70"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 xml:space="preserve">You may obtain copies of any of these filings through Waste Management, the SEC or the SEC's Internet site as described below. Documents incorporated by reference are available without charge by requesting them in writing or by telephone using the contact information below and may be accessed through the Investor Relations section of </w:t>
      </w:r>
      <w:r>
        <w:rPr>
          <w:rFonts w:ascii="Arial" w:cs="Arial" w:eastAsia="Arial" w:hAnsi="Arial"/>
          <w:sz w:val="18"/>
          <w:szCs w:val="18"/>
          <w:i w:val="1"/>
          <w:iCs w:val="1"/>
          <w:color w:val="auto"/>
        </w:rPr>
        <w:t>www.wm.com.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713-512-6200</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You can also obtain information about us at the offices of the New York Stock Exchange, 20 Broad Street, New York, New York 10005.</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right="420" w:firstLine="348"/>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principal executive offices are located at 1001 Fannin Street, Houston, Texas 77002 and our telephone number is (713) 512-6200.</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For purposes of computing these ratios, we have divided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 The following table sets forth our ratio of earnings to fixed charges for each of the periods indicated (dollars in millions):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Nine Months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center"/>
              <w:ind w:right="54"/>
              <w:spacing w:after="0"/>
              <w:rPr>
                <w:sz w:val="20"/>
                <w:szCs w:val="20"/>
                <w:color w:val="auto"/>
              </w:rPr>
            </w:pPr>
            <w:r>
              <w:rPr>
                <w:rFonts w:ascii="Arial" w:cs="Arial" w:eastAsia="Arial" w:hAnsi="Arial"/>
                <w:sz w:val="14"/>
                <w:szCs w:val="14"/>
                <w:b w:val="1"/>
                <w:bCs w:val="1"/>
                <w:color w:val="auto"/>
                <w:w w:val="86"/>
              </w:rPr>
              <w:t>Years Ended December 31,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79"/>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Income before income taxes and losses in equity</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60" w:type="dxa"/>
            <w:vAlign w:val="bottom"/>
            <w:gridSpan w:val="3"/>
          </w:tcPr>
          <w:p>
            <w:pPr>
              <w:spacing w:after="0"/>
              <w:rPr>
                <w:sz w:val="20"/>
                <w:szCs w:val="20"/>
                <w:color w:val="auto"/>
              </w:rPr>
            </w:pPr>
            <w:r>
              <w:rPr>
                <w:rFonts w:ascii="Arial" w:cs="Arial" w:eastAsia="Arial" w:hAnsi="Arial"/>
                <w:sz w:val="18"/>
                <w:szCs w:val="18"/>
                <w:color w:val="auto"/>
              </w:rPr>
              <w:t>Fixed charges deducted from income:</w:t>
            </w: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Implicit interest in rents</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Earnings available for fixed charges(a)</w:t>
            </w: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298</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471</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481</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481</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Total fixed charges(a)</w:t>
            </w: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b w:val="1"/>
                <w:bCs w:val="1"/>
                <w:color w:val="auto"/>
              </w:rPr>
              <w:t>Ratio of earnings to fixed charges</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3.0x</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4.3x</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1.9x</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3.3x</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3.8x</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4.1x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Adjusted ratio of earnings to fixed</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gridSpan w:val="2"/>
          </w:tcPr>
          <w:p>
            <w:pPr>
              <w:ind w:left="520"/>
              <w:spacing w:after="0"/>
              <w:rPr>
                <w:sz w:val="20"/>
                <w:szCs w:val="20"/>
                <w:color w:val="auto"/>
              </w:rPr>
            </w:pPr>
            <w:r>
              <w:rPr>
                <w:rFonts w:ascii="Arial" w:cs="Arial" w:eastAsia="Arial" w:hAnsi="Arial"/>
                <w:sz w:val="18"/>
                <w:szCs w:val="18"/>
                <w:b w:val="1"/>
                <w:bCs w:val="1"/>
                <w:color w:val="auto"/>
              </w:rPr>
              <w:t>charges(b)</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3.1x</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4.2x</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3.7x</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3.6x</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3.9x</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4.1x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0" w:hanging="531"/>
        <w:spacing w:after="0" w:line="298" w:lineRule="auto"/>
        <w:tabs>
          <w:tab w:leader="none" w:pos="1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such amounts are immaterial.</w:t>
      </w:r>
    </w:p>
    <w:p>
      <w:pPr>
        <w:spacing w:after="0" w:line="193" w:lineRule="exact"/>
        <w:rPr>
          <w:rFonts w:ascii="Arial" w:cs="Arial" w:eastAsia="Arial" w:hAnsi="Arial"/>
          <w:sz w:val="16"/>
          <w:szCs w:val="16"/>
          <w:color w:val="auto"/>
        </w:rPr>
      </w:pPr>
    </w:p>
    <w:p>
      <w:pPr>
        <w:ind w:left="1680" w:right="560" w:hanging="531"/>
        <w:spacing w:after="0" w:line="268"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adjusted ratio of earnings to fixed charges ("Adjusted Ratio") excludes the impact of restructuring charges, impairments and divestitures. A reconciliation showing the effect of these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20"/>
        <w:spacing w:after="0" w:line="268" w:lineRule="auto"/>
        <w:rPr>
          <w:sz w:val="20"/>
          <w:szCs w:val="20"/>
          <w:color w:val="auto"/>
        </w:rPr>
      </w:pPr>
      <w:r>
        <w:rPr>
          <w:rFonts w:ascii="Arial" w:cs="Arial" w:eastAsia="Arial" w:hAnsi="Arial"/>
          <w:sz w:val="18"/>
          <w:szCs w:val="18"/>
          <w:color w:val="auto"/>
        </w:rPr>
        <w:t>items on our "Income before income taxes and losses in equity investments" used to calculate our earnings available for fixed charges is as follows (in millions):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Nine Months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9"/>
          </w:tcPr>
          <w:p>
            <w:pPr>
              <w:jc w:val="right"/>
              <w:ind w:right="235"/>
              <w:spacing w:after="0"/>
              <w:rPr>
                <w:sz w:val="20"/>
                <w:szCs w:val="20"/>
                <w:color w:val="auto"/>
              </w:rPr>
            </w:pPr>
            <w:r>
              <w:rPr>
                <w:rFonts w:ascii="Arial" w:cs="Arial" w:eastAsia="Arial" w:hAnsi="Arial"/>
                <w:sz w:val="14"/>
                <w:szCs w:val="14"/>
                <w:b w:val="1"/>
                <w:bCs w:val="1"/>
                <w:color w:val="auto"/>
                <w:w w:val="95"/>
              </w:rPr>
              <w:t>Years Ended 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ind w:right="1"/>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
              <w:spacing w:after="0" w:line="142" w:lineRule="exact"/>
              <w:rPr>
                <w:sz w:val="20"/>
                <w:szCs w:val="20"/>
                <w:color w:val="auto"/>
              </w:rPr>
            </w:pPr>
            <w:r>
              <w:rPr>
                <w:rFonts w:ascii="Arial" w:cs="Arial" w:eastAsia="Arial" w:hAnsi="Arial"/>
                <w:sz w:val="14"/>
                <w:szCs w:val="14"/>
                <w:b w:val="1"/>
                <w:bCs w:val="1"/>
                <w:color w:val="auto"/>
                <w:w w:val="87"/>
              </w:rPr>
              <w:t>(Unaudited)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7"/>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8"/>
              </w:rPr>
              <w:t>As reported income before income taxes and losses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 equity investments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60" w:type="dxa"/>
            <w:vAlign w:val="bottom"/>
            <w:shd w:val="clear" w:color="auto" w:fill="CCEEFF"/>
          </w:tcPr>
          <w:p>
            <w:pPr>
              <w:spacing w:after="0"/>
              <w:rPr>
                <w:sz w:val="20"/>
                <w:szCs w:val="20"/>
                <w:color w:val="auto"/>
              </w:rPr>
            </w:pPr>
          </w:p>
        </w:tc>
      </w:tr>
      <w:tr>
        <w:trPr>
          <w:trHeight w:val="201"/>
        </w:trPr>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w w:val="89"/>
              </w:rPr>
              <w:t>Adjustments to income before income taxes and losses</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in equity investments: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costs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Goodwill impairments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impairments (other than goodwill)</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(Income) expense from divestitures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88"/>
              </w:rPr>
              <w:t>Adjusted income before income taxes and losses in</w:t>
            </w: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equity investments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pacing w:after="0" w:line="167" w:lineRule="exact"/>
        <w:rPr>
          <w:sz w:val="20"/>
          <w:szCs w:val="20"/>
          <w:color w:val="auto"/>
        </w:rPr>
      </w:pPr>
    </w:p>
    <w:p>
      <w:pPr>
        <w:ind w:right="400" w:firstLine="351"/>
        <w:spacing w:after="0" w:line="370" w:lineRule="auto"/>
        <w:rPr>
          <w:sz w:val="20"/>
          <w:szCs w:val="20"/>
          <w:color w:val="auto"/>
        </w:rPr>
      </w:pPr>
      <w:r>
        <w:rPr>
          <w:rFonts w:ascii="Arial" w:cs="Arial" w:eastAsia="Arial" w:hAnsi="Arial"/>
          <w:sz w:val="15"/>
          <w:szCs w:val="15"/>
          <w:color w:val="auto"/>
        </w:rPr>
        <w:t>No shares of our preferred stock are currently issued or outstanding, therefore no dividends accrued on any shares of our preferred stock for any period presented. Accordingly, the ratio of earnings to combined fixed charges and preferred stock dividends is the same at the ratio of earnings to fixed charges.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DEBT SECURITIES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Texas Commerce Bank National Association), as trustee. We will issue subordinated debt securities under an indenture dated as of February 3, 1997, among Waste Management, as issuer, and The Bank of New York Mellon Trust Company, N.A., as trustee. The indentures are substantially identical, except for provisions relating to subordination and covenants.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 amount of other unsecured</w:t>
      </w:r>
      <w:r>
        <w:rPr>
          <w:rFonts w:ascii="Arial" w:cs="Arial" w:eastAsia="Arial" w:hAnsi="Arial"/>
          <w:sz w:val="18"/>
          <w:szCs w:val="18"/>
          <w:i w:val="1"/>
          <w:iCs w:val="1"/>
          <w:color w:val="auto"/>
        </w:rPr>
        <w:t xml:space="preserve"> </w:t>
      </w:r>
      <w:r>
        <w:rPr>
          <w:rFonts w:ascii="Arial" w:cs="Arial" w:eastAsia="Arial" w:hAnsi="Arial"/>
          <w:sz w:val="18"/>
          <w:szCs w:val="18"/>
          <w:color w:val="auto"/>
        </w:rPr>
        <w:t>debt or securities that we may issue. We may issue debt securities under the indentures from time to time in one or more series, each in an amount authorized prior to issuance.</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 offering. These terms</w:t>
      </w:r>
      <w:r>
        <w:rPr>
          <w:rFonts w:ascii="Arial" w:cs="Arial" w:eastAsia="Arial" w:hAnsi="Arial"/>
          <w:sz w:val="18"/>
          <w:szCs w:val="18"/>
          <w:i w:val="1"/>
          <w:iCs w:val="1"/>
          <w:color w:val="auto"/>
        </w:rPr>
        <w:t xml:space="preserve"> </w:t>
      </w:r>
      <w:r>
        <w:rPr>
          <w:rFonts w:ascii="Arial" w:cs="Arial" w:eastAsia="Arial" w:hAnsi="Arial"/>
          <w:sz w:val="18"/>
          <w:szCs w:val="18"/>
          <w:color w:val="auto"/>
        </w:rPr>
        <w:t>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interest rate (or the method of calculating the interest rate, if applicable), the date from which interest will accrue, interest payment dates and record dates for interest payments;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261"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2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of Waste Management into another person,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conveyance, transfer or lease of our properties and assets substantially as an entirety to another person unless:</w:t>
      </w:r>
    </w:p>
    <w:p>
      <w:pPr>
        <w:spacing w:after="0" w:line="199" w:lineRule="exact"/>
        <w:rPr>
          <w:sz w:val="20"/>
          <w:szCs w:val="20"/>
          <w:color w:val="auto"/>
        </w:rPr>
      </w:pPr>
    </w:p>
    <w:p>
      <w:pPr>
        <w:jc w:val="both"/>
        <w:ind w:left="1080" w:right="2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207"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3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 with respect to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w:t>
      </w:r>
    </w:p>
    <w:p>
      <w:pPr>
        <w:spacing w:after="0" w:line="213"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25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208"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indentures require us to file each year with the trustee a written statement as to our compliance with the covenants contained in the applicable indenture.</w:t>
      </w:r>
    </w:p>
    <w:p>
      <w:pPr>
        <w:spacing w:after="0" w:line="26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Modification and Waiver. </w:t>
      </w:r>
      <w:r>
        <w:rPr>
          <w:rFonts w:ascii="Arial" w:cs="Arial" w:eastAsia="Arial" w:hAnsi="Arial"/>
          <w:sz w:val="16"/>
          <w:szCs w:val="16"/>
          <w:color w:val="auto"/>
        </w:rPr>
        <w:t>Each indenture may be amended or supplemented if the majority in principal amount of the outstanding debt securities of all</w:t>
      </w:r>
      <w:r>
        <w:rPr>
          <w:rFonts w:ascii="Arial" w:cs="Arial" w:eastAsia="Arial" w:hAnsi="Arial"/>
          <w:sz w:val="16"/>
          <w:szCs w:val="16"/>
          <w:i w:val="1"/>
          <w:iCs w:val="1"/>
          <w:color w:val="auto"/>
        </w:rPr>
        <w:t xml:space="preserve"> </w:t>
      </w:r>
      <w:r>
        <w:rPr>
          <w:rFonts w:ascii="Arial" w:cs="Arial" w:eastAsia="Arial" w:hAnsi="Arial"/>
          <w:sz w:val="16"/>
          <w:szCs w:val="16"/>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194"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208"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Defeasance. </w:t>
      </w:r>
      <w:r>
        <w:rPr>
          <w:rFonts w:ascii="Arial" w:cs="Arial" w:eastAsia="Arial" w:hAnsi="Arial"/>
          <w:sz w:val="16"/>
          <w:szCs w:val="16"/>
          <w:color w:val="auto"/>
        </w:rPr>
        <w:t>When we use the term defeasance, we mean discharge from some or all of our obligations under the indentures. If any combination of funds</w:t>
      </w:r>
      <w:r>
        <w:rPr>
          <w:rFonts w:ascii="Arial" w:cs="Arial" w:eastAsia="Arial" w:hAnsi="Arial"/>
          <w:sz w:val="16"/>
          <w:szCs w:val="16"/>
          <w:i w:val="1"/>
          <w:iCs w:val="1"/>
          <w:color w:val="auto"/>
        </w:rPr>
        <w:t xml:space="preserve"> </w:t>
      </w:r>
      <w:r>
        <w:rPr>
          <w:rFonts w:ascii="Arial" w:cs="Arial" w:eastAsia="Arial" w:hAnsi="Arial"/>
          <w:sz w:val="16"/>
          <w:szCs w:val="16"/>
          <w:color w:val="auto"/>
        </w:rPr>
        <w:t>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188" w:lineRule="exact"/>
        <w:rPr>
          <w:sz w:val="20"/>
          <w:szCs w:val="20"/>
          <w:color w:val="auto"/>
        </w:rPr>
      </w:pPr>
    </w:p>
    <w:p>
      <w:pPr>
        <w:ind w:left="1080" w:right="50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199" w:lineRule="exact"/>
        <w:rPr>
          <w:rFonts w:ascii="Arial" w:cs="Arial" w:eastAsia="Arial" w:hAnsi="Arial"/>
          <w:sz w:val="18"/>
          <w:szCs w:val="18"/>
          <w:color w:val="auto"/>
        </w:rPr>
      </w:pPr>
    </w:p>
    <w:p>
      <w:pPr>
        <w:ind w:left="1080" w:right="580" w:hanging="532"/>
        <w:spacing w:after="0" w:line="33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3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67"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61"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8"/>
          <w:szCs w:val="18"/>
          <w:i w:val="1"/>
          <w:iCs w:val="1"/>
          <w:color w:val="auto"/>
        </w:rPr>
        <w:t>Governing Law.</w:t>
      </w:r>
      <w:r>
        <w:rPr>
          <w:sz w:val="20"/>
          <w:szCs w:val="20"/>
          <w:color w:val="auto"/>
        </w:rPr>
        <w:tab/>
      </w:r>
      <w:r>
        <w:rPr>
          <w:rFonts w:ascii="Arial" w:cs="Arial" w:eastAsia="Arial" w:hAnsi="Arial"/>
          <w:sz w:val="16"/>
          <w:szCs w:val="16"/>
          <w:color w:val="auto"/>
        </w:rPr>
        <w:t>New York law will govern the indentures and the debt securities.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 and the subordinated indenture. The Bank of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Mellon Trust Company, N.A. serves as trustee or custodian relating to a number of series of debt obligations of Waste Management.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197"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indenture at the request of any of the holders of any debt securities issued under that indenture only after those holders have offered the trustee indemnity satisfactory to it.</w:t>
      </w:r>
    </w:p>
    <w:p>
      <w:pPr>
        <w:spacing w:after="0" w:line="186"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Form, Exchange, Registration and Transfer. </w:t>
      </w:r>
      <w:r>
        <w:rPr>
          <w:rFonts w:ascii="Arial" w:cs="Arial" w:eastAsia="Arial" w:hAnsi="Arial"/>
          <w:sz w:val="16"/>
          <w:szCs w:val="16"/>
          <w:color w:val="auto"/>
        </w:rPr>
        <w:t>The debt securities may be issued in registered form, without interest coupons, or in bearer form, with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97"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239" w:lineRule="exact"/>
        <w:rPr>
          <w:sz w:val="20"/>
          <w:szCs w:val="20"/>
          <w:color w:val="auto"/>
        </w:rPr>
      </w:pPr>
    </w:p>
    <w:p>
      <w:pPr>
        <w:ind w:left="1080" w:right="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Payment and Paying Agents. </w:t>
      </w:r>
      <w:r>
        <w:rPr>
          <w:rFonts w:ascii="Arial" w:cs="Arial" w:eastAsia="Arial" w:hAnsi="Arial"/>
          <w:sz w:val="16"/>
          <w:szCs w:val="16"/>
          <w:color w:val="auto"/>
        </w:rPr>
        <w:t>Unless we inform you otherwise in a prospectus supplement, payments on the debt securities will be made in U.S. dollars at</w:t>
      </w:r>
      <w:r>
        <w:rPr>
          <w:rFonts w:ascii="Arial" w:cs="Arial" w:eastAsia="Arial" w:hAnsi="Arial"/>
          <w:sz w:val="16"/>
          <w:szCs w:val="16"/>
          <w:i w:val="1"/>
          <w:iCs w:val="1"/>
          <w:color w:val="auto"/>
        </w:rPr>
        <w:t xml:space="preserve"> </w:t>
      </w:r>
      <w:r>
        <w:rPr>
          <w:rFonts w:ascii="Arial" w:cs="Arial" w:eastAsia="Arial" w:hAnsi="Arial"/>
          <w:sz w:val="16"/>
          <w:szCs w:val="16"/>
          <w:color w:val="auto"/>
        </w:rPr>
        <w:t>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6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94"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61"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i w:val="1"/>
          <w:iCs w:val="1"/>
          <w:color w:val="auto"/>
        </w:rPr>
        <w:t xml:space="preserve">Book-Entry Debt Securities. </w:t>
      </w:r>
      <w:r>
        <w:rPr>
          <w:rFonts w:ascii="Arial" w:cs="Arial" w:eastAsia="Arial" w:hAnsi="Arial"/>
          <w:sz w:val="15"/>
          <w:szCs w:val="15"/>
          <w:color w:val="auto"/>
        </w:rPr>
        <w:t>The debt securities of a series may be issued in the form of one or more global debt securities that would be deposited with a</w:t>
      </w:r>
      <w:r>
        <w:rPr>
          <w:rFonts w:ascii="Arial" w:cs="Arial" w:eastAsia="Arial" w:hAnsi="Arial"/>
          <w:sz w:val="15"/>
          <w:szCs w:val="15"/>
          <w:i w:val="1"/>
          <w:iCs w:val="1"/>
          <w:color w:val="auto"/>
        </w:rPr>
        <w:t xml:space="preserve"> </w:t>
      </w:r>
      <w:r>
        <w:rPr>
          <w:rFonts w:ascii="Arial" w:cs="Arial" w:eastAsia="Arial" w:hAnsi="Arial"/>
          <w:sz w:val="15"/>
          <w:szCs w:val="15"/>
          <w:color w:val="auto"/>
        </w:rPr>
        <w:t>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Ranking and Guarantee. </w:t>
      </w:r>
      <w:r>
        <w:rPr>
          <w:rFonts w:ascii="Arial" w:cs="Arial" w:eastAsia="Arial" w:hAnsi="Arial"/>
          <w:sz w:val="16"/>
          <w:szCs w:val="16"/>
          <w:color w:val="auto"/>
        </w:rPr>
        <w:t>The senior debt securities will constitute senior debt of Waste Management and will rank equally with all of the other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174"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We have agreed to two principal restrictions on our activities for the benefit of holders of the senior debt securities. The restrictive</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194" w:lineRule="exact"/>
        <w:rPr>
          <w:sz w:val="20"/>
          <w:szCs w:val="20"/>
          <w:color w:val="auto"/>
        </w:rPr>
      </w:pPr>
    </w:p>
    <w:p>
      <w:pPr>
        <w:ind w:left="1220" w:hanging="321"/>
        <w:spacing w:after="0"/>
        <w:tabs>
          <w:tab w:leader="none" w:pos="1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liens on the property or assets existing at the time of acquisition which secure obligations assumed by us or our Restricted Subsidiaries;</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225" w:lineRule="exact"/>
        <w:rPr>
          <w:rFonts w:ascii="Arial" w:cs="Arial" w:eastAsia="Arial" w:hAnsi="Arial"/>
          <w:sz w:val="18"/>
          <w:szCs w:val="18"/>
          <w:color w:val="auto"/>
        </w:rPr>
      </w:pPr>
    </w:p>
    <w:p>
      <w:pPr>
        <w:ind w:left="540" w:right="60" w:firstLine="359"/>
        <w:spacing w:after="0" w:line="268" w:lineRule="auto"/>
        <w:tabs>
          <w:tab w:leader="none" w:pos="12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185" w:lineRule="exact"/>
        <w:rPr>
          <w:rFonts w:ascii="Arial" w:cs="Arial" w:eastAsia="Arial" w:hAnsi="Arial"/>
          <w:sz w:val="18"/>
          <w:szCs w:val="18"/>
          <w:color w:val="auto"/>
        </w:rPr>
      </w:pPr>
    </w:p>
    <w:p>
      <w:pPr>
        <w:ind w:left="540" w:right="360" w:firstLine="359"/>
        <w:spacing w:after="0" w:line="268" w:lineRule="auto"/>
        <w:tabs>
          <w:tab w:leader="none" w:pos="12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on the property, assets or stock of any successor entity that becomes the Company in accordance with "</w:t>
      </w:r>
      <w:r>
        <w:rPr>
          <w:rFonts w:ascii="Arial" w:cs="Arial" w:eastAsia="Arial" w:hAnsi="Arial"/>
          <w:sz w:val="18"/>
          <w:szCs w:val="18"/>
          <w:i w:val="1"/>
          <w:iCs w:val="1"/>
          <w:color w:val="auto"/>
        </w:rPr>
        <w:t>Provisions Applicable to Each</w:t>
      </w:r>
      <w:r>
        <w:rPr>
          <w:rFonts w:ascii="Arial" w:cs="Arial" w:eastAsia="Arial" w:hAnsi="Arial"/>
          <w:sz w:val="18"/>
          <w:szCs w:val="18"/>
          <w:color w:val="auto"/>
        </w:rPr>
        <w:t xml:space="preserve"> </w:t>
      </w:r>
      <w:r>
        <w:rPr>
          <w:rFonts w:ascii="Arial" w:cs="Arial" w:eastAsia="Arial" w:hAnsi="Arial"/>
          <w:sz w:val="18"/>
          <w:szCs w:val="18"/>
          <w:i w:val="1"/>
          <w:iCs w:val="1"/>
          <w:color w:val="auto"/>
        </w:rPr>
        <w:t>Indenture—Consolidation, Merger and Sale of Assets</w:t>
      </w:r>
      <w:r>
        <w:rPr>
          <w:rFonts w:ascii="Arial" w:cs="Arial" w:eastAsia="Arial" w:hAnsi="Arial"/>
          <w:sz w:val="18"/>
          <w:szCs w:val="18"/>
          <w:color w:val="auto"/>
        </w:rPr>
        <w:t>," above;</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right="120" w:hanging="532"/>
        <w:spacing w:after="0" w:line="306" w:lineRule="auto"/>
        <w:tabs>
          <w:tab w:leader="none" w:pos="16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160" w:lineRule="exact"/>
        <w:rPr>
          <w:rFonts w:ascii="Arial" w:cs="Arial" w:eastAsia="Arial" w:hAnsi="Arial"/>
          <w:sz w:val="16"/>
          <w:szCs w:val="16"/>
          <w:color w:val="auto"/>
        </w:rPr>
      </w:pPr>
    </w:p>
    <w:p>
      <w:pPr>
        <w:ind w:left="1260" w:hanging="361"/>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 stayed;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liens in favor of any governmental authority in connection with the financing of the cost of construction or acquisition of property;</w:t>
      </w:r>
    </w:p>
    <w:p>
      <w:pPr>
        <w:spacing w:after="0" w:line="248" w:lineRule="exact"/>
        <w:rPr>
          <w:rFonts w:ascii="Arial" w:cs="Arial" w:eastAsia="Arial" w:hAnsi="Arial"/>
          <w:sz w:val="16"/>
          <w:szCs w:val="16"/>
          <w:color w:val="auto"/>
        </w:rPr>
      </w:pPr>
    </w:p>
    <w:p>
      <w:pPr>
        <w:ind w:left="540" w:right="220" w:firstLine="359"/>
        <w:spacing w:after="0" w:line="268" w:lineRule="auto"/>
        <w:tabs>
          <w:tab w:leader="none" w:pos="12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225" w:lineRule="exact"/>
        <w:rPr>
          <w:rFonts w:ascii="Arial" w:cs="Arial" w:eastAsia="Arial" w:hAnsi="Arial"/>
          <w:sz w:val="18"/>
          <w:szCs w:val="18"/>
          <w:color w:val="auto"/>
        </w:rPr>
      </w:pPr>
    </w:p>
    <w:p>
      <w:pPr>
        <w:ind w:left="540" w:right="340" w:firstLine="359"/>
        <w:spacing w:after="0" w:line="268" w:lineRule="auto"/>
        <w:tabs>
          <w:tab w:leader="none" w:pos="12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8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186" w:lineRule="exact"/>
        <w:rPr>
          <w:sz w:val="20"/>
          <w:szCs w:val="20"/>
          <w:color w:val="auto"/>
        </w:rPr>
      </w:pPr>
    </w:p>
    <w:p>
      <w:pPr>
        <w:ind w:left="540" w:firstLine="359"/>
        <w:spacing w:after="0" w:line="259" w:lineRule="auto"/>
        <w:tabs>
          <w:tab w:leader="none" w:pos="12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194" w:lineRule="exact"/>
        <w:rPr>
          <w:rFonts w:ascii="Arial" w:cs="Arial" w:eastAsia="Arial" w:hAnsi="Arial"/>
          <w:sz w:val="18"/>
          <w:szCs w:val="18"/>
          <w:color w:val="auto"/>
        </w:rPr>
      </w:pPr>
    </w:p>
    <w:p>
      <w:pPr>
        <w:ind w:left="540" w:right="220" w:firstLine="359"/>
        <w:spacing w:after="0" w:line="268" w:lineRule="auto"/>
        <w:tabs>
          <w:tab w:leader="none" w:pos="12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an amount equal to the fair value (as determined by our Board of Directors) of the property to be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spacing w:after="0" w:line="332" w:lineRule="auto"/>
        <w:rPr>
          <w:sz w:val="20"/>
          <w:szCs w:val="20"/>
          <w:color w:val="auto"/>
        </w:rPr>
      </w:pPr>
      <w:r>
        <w:rPr>
          <w:rFonts w:ascii="Arial" w:cs="Arial" w:eastAsia="Arial" w:hAnsi="Arial"/>
          <w:sz w:val="16"/>
          <w:szCs w:val="16"/>
          <w:color w:val="auto"/>
        </w:rPr>
        <w:t xml:space="preserve">leased to the redemption or retirement of any senior debt securities issued under the senior indenture or to payment or other retirement of other debt of the Company that ranks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debt securities listed under the senior indenture or debt incurred by a Restricted Subsidiary; or</w:t>
      </w:r>
    </w:p>
    <w:p>
      <w:pPr>
        <w:spacing w:after="0" w:line="139" w:lineRule="exact"/>
        <w:rPr>
          <w:sz w:val="20"/>
          <w:szCs w:val="20"/>
          <w:color w:val="auto"/>
        </w:rPr>
      </w:pPr>
    </w:p>
    <w:p>
      <w:pPr>
        <w:ind w:left="540" w:right="140" w:firstLine="359"/>
        <w:spacing w:after="0" w:line="332" w:lineRule="auto"/>
        <w:tabs>
          <w:tab w:leader="none" w:pos="1218"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39"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Glossary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means the present value of the rental payments during the remaining term of the lease included in the Sale/Leaseback Transaction.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 its consolidated subsidiaries less:</w:t>
      </w:r>
    </w:p>
    <w:p>
      <w:pPr>
        <w:spacing w:after="0" w:line="239" w:lineRule="exact"/>
        <w:rPr>
          <w:sz w:val="20"/>
          <w:szCs w:val="20"/>
          <w:color w:val="auto"/>
        </w:rPr>
      </w:pPr>
    </w:p>
    <w:p>
      <w:pPr>
        <w:ind w:left="10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 the balance sheet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9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i w:val="1"/>
          <w:iCs w:val="1"/>
          <w:color w:val="auto"/>
        </w:rPr>
        <w:t xml:space="preserve">"Principal Property" </w:t>
      </w:r>
      <w:r>
        <w:rPr>
          <w:rFonts w:ascii="Arial" w:cs="Arial" w:eastAsia="Arial" w:hAnsi="Arial"/>
          <w:sz w:val="16"/>
          <w:szCs w:val="16"/>
          <w:color w:val="auto"/>
        </w:rPr>
        <w:t>means any waste processing, waste disposal or resource recovery plant or similar facility located within the United States or Canada</w:t>
      </w:r>
      <w:r>
        <w:rPr>
          <w:rFonts w:ascii="Arial" w:cs="Arial" w:eastAsia="Arial" w:hAnsi="Arial"/>
          <w:sz w:val="16"/>
          <w:szCs w:val="16"/>
          <w:i w:val="1"/>
          <w:iCs w:val="1"/>
          <w:color w:val="auto"/>
        </w:rPr>
        <w:t xml:space="preserve"> </w:t>
      </w:r>
      <w:r>
        <w:rPr>
          <w:rFonts w:ascii="Arial" w:cs="Arial" w:eastAsia="Arial" w:hAnsi="Arial"/>
          <w:sz w:val="16"/>
          <w:szCs w:val="16"/>
          <w:color w:val="auto"/>
        </w:rPr>
        <w:t>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determines in good faith not to be of material importance to the use or operation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"Restricted Subsidiary" </w:t>
      </w:r>
      <w:r>
        <w:rPr>
          <w:rFonts w:ascii="Arial" w:cs="Arial" w:eastAsia="Arial" w:hAnsi="Arial"/>
          <w:sz w:val="16"/>
          <w:szCs w:val="16"/>
          <w:color w:val="auto"/>
        </w:rPr>
        <w:t>means any Subsidiary (other than any Subsidiary of which the Company owns less than all of the outstanding voting stock)</w:t>
      </w:r>
    </w:p>
    <w:p>
      <w:pPr>
        <w:spacing w:after="0" w:line="38" w:lineRule="exact"/>
        <w:rPr>
          <w:sz w:val="20"/>
          <w:szCs w:val="20"/>
          <w:color w:val="auto"/>
        </w:rPr>
      </w:pPr>
    </w:p>
    <w:p>
      <w:pPr>
        <w:ind w:right="60" w:firstLine="8"/>
        <w:spacing w:after="0" w:line="255" w:lineRule="auto"/>
        <w:tabs>
          <w:tab w:leader="none" w:pos="2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9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 Principal Property that we 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Restricted Subsidiary has sold or transferred or will sell or transfer to that person. This term excludes the following:</w:t>
      </w:r>
    </w:p>
    <w:p>
      <w:pPr>
        <w:spacing w:after="0" w:line="19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 by one or more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by us and one or more other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 subordinated debt that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outstanding from time to time.</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 debt securities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97"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GUARANTEES</w:t>
      </w:r>
    </w:p>
    <w:p>
      <w:pPr>
        <w:spacing w:after="0" w:line="231" w:lineRule="exact"/>
        <w:rPr>
          <w:sz w:val="20"/>
          <w:szCs w:val="20"/>
          <w:color w:val="auto"/>
        </w:rPr>
      </w:pPr>
    </w:p>
    <w:p>
      <w:pPr>
        <w:ind w:right="440" w:firstLine="348"/>
        <w:spacing w:after="0" w:line="306" w:lineRule="auto"/>
        <w:rPr>
          <w:sz w:val="20"/>
          <w:szCs w:val="20"/>
          <w:color w:val="auto"/>
        </w:rPr>
      </w:pPr>
      <w:r>
        <w:rPr>
          <w:rFonts w:ascii="Arial" w:cs="Arial" w:eastAsia="Arial" w:hAnsi="Arial"/>
          <w:sz w:val="16"/>
          <w:szCs w:val="16"/>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61"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61"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94"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are authorized to issue 1,500,000,000 shares of common stock, of which 446,495,290 shares were outstanding at October 20, 2015 (excluding treasury shares of 183,787,171). We are also authorized to issue 10,000,000 shares of preferred stock, none of which were outstanding on that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Each share of common stock is entitled to one vote in the election of directors and in each other matter we may ask stockholders to vote on.</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7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186"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i w:val="1"/>
          <w:iCs w:val="1"/>
          <w:color w:val="auto"/>
        </w:rPr>
        <w:t>Listing.</w:t>
      </w:r>
      <w:r>
        <w:rPr>
          <w:sz w:val="20"/>
          <w:szCs w:val="20"/>
          <w:color w:val="auto"/>
        </w:rPr>
        <w:tab/>
      </w:r>
      <w:r>
        <w:rPr>
          <w:rFonts w:ascii="Arial" w:cs="Arial" w:eastAsia="Arial" w:hAnsi="Arial"/>
          <w:sz w:val="16"/>
          <w:szCs w:val="16"/>
          <w:color w:val="auto"/>
        </w:rPr>
        <w:t>Our common stock is listed on the New York Stock Exchange under the trading symbol "WM."</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our common stock is Computershare in Jersey City, New Jersey.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 Change of Control</w:t>
      </w:r>
    </w:p>
    <w:p>
      <w:pPr>
        <w:spacing w:after="0" w:line="23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are a Delaware corporation and are governed by the Delaware General Corporation Law. Section 203 of the Delaware General Corporation law,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208" w:lineRule="exact"/>
        <w:rPr>
          <w:sz w:val="20"/>
          <w:szCs w:val="20"/>
          <w:color w:val="auto"/>
        </w:rPr>
      </w:pPr>
    </w:p>
    <w:p>
      <w:pPr>
        <w:ind w:left="1080" w:right="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212"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10"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94"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OTHER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23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59"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7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varying prices to be determined by the dealer at the time of resale. To the extent required, we will set forth in the prospectus supplement the name of the dealer and the terms of the transactions.</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97"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7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consolidated financial statements of Waste Management, Inc. appearing in Waste Management, Inc.'s Annual Report (Form 10-K) for the year ended December 31, 2014, including the schedule appearing therein, and the effectiveness of Waste Management, Inc.'s internal control over financial reporting as of December 31, 2014,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160020</wp:posOffset>
            </wp:positionV>
            <wp:extent cx="1989455" cy="7289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894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860"/>
        <w:spacing w:after="0"/>
        <w:rPr>
          <w:sz w:val="20"/>
          <w:szCs w:val="20"/>
          <w:color w:val="auto"/>
        </w:rPr>
      </w:pPr>
      <w:r>
        <w:rPr>
          <w:rFonts w:ascii="Arial" w:cs="Arial" w:eastAsia="Arial" w:hAnsi="Arial"/>
          <w:sz w:val="24"/>
          <w:szCs w:val="24"/>
          <w:b w:val="1"/>
          <w:bCs w:val="1"/>
          <w:color w:val="auto"/>
        </w:rPr>
        <w:t>% Senior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301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Barclays</w:t>
      </w:r>
    </w:p>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BofA Merrill Lynch</w:t>
      </w:r>
    </w:p>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J.P. Morgan</w:t>
      </w:r>
    </w:p>
    <w:p>
      <w:pPr>
        <w:spacing w:after="0" w:line="246" w:lineRule="exact"/>
        <w:rPr>
          <w:sz w:val="20"/>
          <w:szCs w:val="20"/>
          <w:color w:val="auto"/>
        </w:rPr>
      </w:pPr>
    </w:p>
    <w:p>
      <w:pPr>
        <w:ind w:left="5100"/>
        <w:spacing w:after="0"/>
        <w:tabs>
          <w:tab w:leader="none" w:pos="5860" w:val="left"/>
        </w:tabs>
        <w:rPr>
          <w:sz w:val="20"/>
          <w:szCs w:val="20"/>
          <w:color w:val="auto"/>
        </w:rPr>
      </w:pPr>
      <w:r>
        <w:rPr>
          <w:rFonts w:ascii="Arial" w:cs="Arial" w:eastAsia="Arial" w:hAnsi="Arial"/>
          <w:sz w:val="18"/>
          <w:szCs w:val="18"/>
          <w:color w:val="auto"/>
        </w:rPr>
        <w:t>October</w:t>
        <w:tab/>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514985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lowerLetter"/>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lowerLetter"/>
      <w:start w:val="1"/>
    </w:lvl>
  </w:abstractNum>
  <w:abstractNum w:abstractNumId="4">
    <w:nsid w:val="836C40E"/>
    <w:multiLevelType w:val="hybridMultilevel"/>
    <w:lvl w:ilvl="0">
      <w:lvlJc w:val="left"/>
      <w:lvlText w:val="(%1)"/>
      <w:numFmt w:val="lowerLetter"/>
      <w:start w:val="2"/>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1"/>
    </w:lvl>
    <w:lvl w:ilvl="1">
      <w:lvlJc w:val="left"/>
      <w:lvlText w:val="(%2)"/>
      <w:numFmt w:val="lowerLetter"/>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upperLetter"/>
      <w:start w:val="1"/>
    </w:lvl>
  </w:abstractNum>
  <w:abstractNum w:abstractNumId="24">
    <w:nsid w:val="2463B9EA"/>
    <w:multiLevelType w:val="hybridMultilevel"/>
    <w:lvl w:ilvl="0">
      <w:lvlJc w:val="left"/>
      <w:lvlText w:val="%1."/>
      <w:numFmt w:val="upperLetter"/>
      <w:start w:val="1"/>
    </w:lvl>
  </w:abstractNum>
  <w:abstractNum w:abstractNumId="25">
    <w:nsid w:val="5E884ADC"/>
    <w:multiLevelType w:val="hybridMultilevel"/>
    <w:lvl w:ilvl="0">
      <w:lvlJc w:val="left"/>
      <w:lvlText w:val="%1."/>
      <w:numFmt w:val="upperLetter"/>
      <w:start w:val="1"/>
    </w:lvl>
    <w:lvl w:ilvl="1">
      <w:lvlJc w:val="left"/>
      <w:lvlText w:val="(%2)"/>
      <w:numFmt w:val="lowerRoman"/>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lowerLetter"/>
      <w:start w:val="1"/>
    </w:lvl>
    <w:lvl w:ilvl="1">
      <w:lvlJc w:val="left"/>
      <w:lvlText w:val="•"/>
      <w:numFmt w:val="bullet"/>
      <w:start w:val="1"/>
    </w:lvl>
  </w:abstractNum>
  <w:abstractNum w:abstractNumId="44">
    <w:nsid w:val="32FFF902"/>
    <w:multiLevelType w:val="hybridMultilevel"/>
    <w:lvl w:ilvl="0">
      <w:lvlJc w:val="left"/>
      <w:lvlText w:val="(%1)"/>
      <w:numFmt w:val="lowerLetter"/>
      <w:start w:val="5"/>
    </w:lvl>
    <w:lvl w:ilvl="1">
      <w:lvlJc w:val="left"/>
      <w:lvlText w:val="•"/>
      <w:numFmt w:val="bullet"/>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3"/>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2019-12-16T17:24:25Z</dcterms:created>
  <dcterms:modified xsi:type="dcterms:W3CDTF">2019-12-16T17:24:25Z</dcterms:modified>
</cp:coreProperties>
</file>