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Eastern Environmental Services, Inc.</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276369105</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Gregory T. Sangalis</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ind w:left="3060"/>
        <w:spacing w:after="0"/>
        <w:rPr>
          <w:sz w:val="20"/>
          <w:szCs w:val="20"/>
          <w:color w:val="auto"/>
        </w:rPr>
      </w:pPr>
      <w:r>
        <w:rPr>
          <w:rFonts w:ascii="Courier New" w:cs="Courier New" w:eastAsia="Courier New" w:hAnsi="Courier New"/>
          <w:sz w:val="18"/>
          <w:szCs w:val="18"/>
          <w:color w:val="auto"/>
        </w:rPr>
        <w:t>1001 Fannin, Suite 4000</w:t>
      </w:r>
    </w:p>
    <w:p>
      <w:pPr>
        <w:ind w:left="3160"/>
        <w:spacing w:after="0" w:line="237" w:lineRule="auto"/>
        <w:rPr>
          <w:sz w:val="20"/>
          <w:szCs w:val="20"/>
          <w:color w:val="auto"/>
        </w:rPr>
      </w:pPr>
      <w:r>
        <w:rPr>
          <w:rFonts w:ascii="Courier New" w:cs="Courier New" w:eastAsia="Courier New" w:hAnsi="Courier New"/>
          <w:sz w:val="18"/>
          <w:szCs w:val="18"/>
          <w:color w:val="auto"/>
        </w:rPr>
        <w:t>Houston, Texas 77002</w:t>
      </w:r>
    </w:p>
    <w:p>
      <w:pPr>
        <w:ind w:left="2960"/>
        <w:spacing w:after="0" w:line="238" w:lineRule="auto"/>
        <w:rPr>
          <w:sz w:val="20"/>
          <w:szCs w:val="20"/>
          <w:color w:val="auto"/>
        </w:rPr>
      </w:pPr>
      <w:r>
        <w:rPr>
          <w:rFonts w:ascii="Courier New" w:cs="Courier New" w:eastAsia="Courier New" w:hAnsi="Courier New"/>
          <w:sz w:val="18"/>
          <w:szCs w:val="18"/>
          <w:color w:val="auto"/>
        </w:rPr>
        <w:t>Tel. No.: (713) 512-6200</w:t>
      </w:r>
    </w:p>
    <w:p>
      <w:pPr>
        <w:ind w:left="1900"/>
        <w:spacing w:after="0"/>
        <w:rPr>
          <w:sz w:val="20"/>
          <w:szCs w:val="20"/>
          <w:color w:val="auto"/>
        </w:rPr>
      </w:pPr>
      <w:r>
        <w:rPr>
          <w:rFonts w:ascii="Courier New" w:cs="Courier New" w:eastAsia="Courier New" w:hAnsi="Courier New"/>
          <w:sz w:val="18"/>
          <w:szCs w:val="18"/>
          <w:color w:val="auto"/>
        </w:rPr>
        <w:t>---------------------------------------------</w:t>
      </w:r>
    </w:p>
    <w:p>
      <w:pPr>
        <w:jc w:val="center"/>
        <w:ind w:right="16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16, 1998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statement because of Rule 13d-1(b)(3) or (4), check the following |_|.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60" w:right="6839" w:hanging="747"/>
        <w:spacing w:after="0" w:line="536" w:lineRule="auto"/>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Waste Management, Inc.</w:t>
      </w:r>
    </w:p>
    <w:tbl>
      <w:tblPr>
        <w:tblLayout w:type="fixed"/>
        <w:tblInd w:w="860" w:type="dxa"/>
        <w:tblCellMar>
          <w:top w:w="0" w:type="dxa"/>
          <w:left w:w="0" w:type="dxa"/>
          <w:bottom w:w="0" w:type="dxa"/>
          <w:right w:w="0" w:type="dxa"/>
        </w:tblCellMar>
      </w:tblPr>
      <w:tr>
        <w:trPr>
          <w:trHeight w:val="199"/>
        </w:trPr>
        <w:tc>
          <w:tcPr>
            <w:tcW w:w="5840" w:type="dxa"/>
            <w:vAlign w:val="bottom"/>
          </w:tcPr>
          <w:p>
            <w:pPr>
              <w:spacing w:after="0" w:line="199"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73-1309529</w:t>
            </w:r>
          </w:p>
        </w:tc>
      </w:tr>
    </w:tbl>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8120" w:hanging="422"/>
        <w:spacing w:after="0"/>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120" w:hanging="422"/>
        <w:spacing w:after="0"/>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840" w:val="left"/>
          <w:tab w:leader="none" w:pos="2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tab/>
        <w:t>OO</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840" w:val="left"/>
          <w:tab w:leader="none" w:pos="6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7</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655,000</w:t>
            </w: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3,795,796</w:t>
            </w: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655,000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10</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spacing w:after="0"/>
              <w:rPr>
                <w:sz w:val="17"/>
                <w:szCs w:val="17"/>
                <w:color w:val="auto"/>
              </w:rPr>
            </w:pPr>
          </w:p>
        </w:tc>
      </w:tr>
    </w:tbl>
    <w:p>
      <w:pPr>
        <w:sectPr>
          <w:pgSz w:w="11900" w:h="16838" w:orient="portrait"/>
          <w:cols w:equalWidth="0" w:num="1">
            <w:col w:w="10219"/>
          </w:cols>
          <w:pgMar w:left="240" w:top="649"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6860"/>
        <w:spacing w:after="0"/>
        <w:rPr>
          <w:sz w:val="20"/>
          <w:szCs w:val="20"/>
          <w:color w:val="auto"/>
        </w:rPr>
      </w:pPr>
      <w:r>
        <w:rPr>
          <w:rFonts w:ascii="Courier New" w:cs="Courier New" w:eastAsia="Courier New" w:hAnsi="Courier New"/>
          <w:sz w:val="18"/>
          <w:szCs w:val="18"/>
          <w:color w:val="auto"/>
        </w:rPr>
        <w:t>4,450,796</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5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6419" w:hanging="747"/>
        <w:spacing w:after="0" w:line="536" w:lineRule="auto"/>
        <w:tabs>
          <w:tab w:leader="none" w:pos="8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Ocho Acquisition Corporation</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8120" w:hanging="422"/>
        <w:spacing w:after="0"/>
        <w:tabs>
          <w:tab w:leader="none" w:pos="8120" w:val="left"/>
        </w:tabs>
        <w:numPr>
          <w:ilvl w:val="3"/>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120" w:hanging="422"/>
        <w:spacing w:after="0"/>
        <w:tabs>
          <w:tab w:leader="none" w:pos="8120" w:val="left"/>
        </w:tabs>
        <w:numPr>
          <w:ilvl w:val="3"/>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840" w:val="left"/>
          <w:tab w:leader="none" w:pos="2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tab/>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840" w:val="left"/>
          <w:tab w:leader="none" w:pos="6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7</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3,795,796</w:t>
            </w: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spacing w:after="0"/>
              <w:rPr>
                <w:sz w:val="17"/>
                <w:szCs w:val="17"/>
                <w:color w:val="auto"/>
              </w:rPr>
            </w:pP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3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10</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spacing w:after="0"/>
              <w:rPr>
                <w:sz w:val="17"/>
                <w:szCs w:val="17"/>
                <w:color w:val="auto"/>
              </w:rPr>
            </w:pP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rPr>
              <w:t>WITH</w:t>
            </w:r>
          </w:p>
        </w:tc>
        <w:tc>
          <w:tcPr>
            <w:tcW w:w="1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6860"/>
        <w:spacing w:after="0"/>
        <w:rPr>
          <w:sz w:val="20"/>
          <w:szCs w:val="20"/>
          <w:color w:val="auto"/>
        </w:rPr>
      </w:pPr>
      <w:r>
        <w:rPr>
          <w:rFonts w:ascii="Courier New" w:cs="Courier New" w:eastAsia="Courier New" w:hAnsi="Courier New"/>
          <w:sz w:val="18"/>
          <w:szCs w:val="18"/>
          <w:color w:val="auto"/>
        </w:rPr>
        <w:t>3,795,796</w:t>
      </w:r>
    </w:p>
    <w:p>
      <w:pPr>
        <w:spacing w:after="0" w:line="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5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This Schedule 13D relates to the common stock, par value $.01 per share (the "Common Stock"), of Eastern Environmental Services, Inc. (the "Issuer"). The Issuer is a Delaware corporation with its principal executive offices located at 1000 Crawford Place, Mt. Laurel, New Jersey 08054.</w:t>
      </w:r>
    </w:p>
    <w:p>
      <w:pPr>
        <w:spacing w:after="0" w:line="3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The names of the persons filing this statement are Waste Management, Inc., a Delaware corporation ("Waste Management") and Ocho Acquisition Corporation, a Delaware corporation and a wholly owned subsidiary of Waste Management ("Merger Sub" and together with Waste Management, the "Filing Persons"). The address of the principal business and principal office of Waste Management and Merger Sub is 1001 Fannin, Suite 4000, Houston, Texas 77002.</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principal business of Waste Management is to provide waste management services internationally. Merger Sub was incorporated solely for the purpose of merging with and into the Issuer, and has no other business. Set forth in Schedule A and Schedule B is the name, citizenship, business or residence address and present principal occupation or employment, as well as the name and address of any corporation or other organization in which such occupation or employment is conducted, of each of the directors and executive officers of Waste Management and Merger Sub, respectively, as of the date hereof.</w:t>
      </w:r>
    </w:p>
    <w:p>
      <w:pPr>
        <w:spacing w:after="0" w:line="214" w:lineRule="exact"/>
        <w:rPr>
          <w:sz w:val="20"/>
          <w:szCs w:val="20"/>
          <w:color w:val="auto"/>
        </w:rPr>
      </w:pPr>
    </w:p>
    <w:p>
      <w:pPr>
        <w:ind w:right="1779" w:firstLine="2002"/>
        <w:spacing w:after="0" w:line="271" w:lineRule="auto"/>
        <w:rPr>
          <w:sz w:val="20"/>
          <w:szCs w:val="20"/>
          <w:color w:val="auto"/>
        </w:rPr>
      </w:pPr>
      <w:r>
        <w:rPr>
          <w:rFonts w:ascii="Courier New" w:cs="Courier New" w:eastAsia="Courier New" w:hAnsi="Courier New"/>
          <w:sz w:val="16"/>
          <w:szCs w:val="16"/>
          <w:color w:val="auto"/>
        </w:rPr>
        <w:t>During the last five years, neither the Filing Persons, nor, to the knowledge of the Filing Persons, any person named in either Schedule A or Schedule B,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sz w:val="20"/>
          <w:szCs w:val="20"/>
          <w:color w:val="auto"/>
        </w:rPr>
      </w:pPr>
    </w:p>
    <w:p>
      <w:pPr>
        <w:ind w:right="1779" w:firstLine="2002"/>
        <w:spacing w:after="0" w:line="271" w:lineRule="auto"/>
        <w:rPr>
          <w:sz w:val="20"/>
          <w:szCs w:val="20"/>
          <w:color w:val="auto"/>
        </w:rPr>
      </w:pPr>
      <w:r>
        <w:rPr>
          <w:rFonts w:ascii="Courier New" w:cs="Courier New" w:eastAsia="Courier New" w:hAnsi="Courier New"/>
          <w:sz w:val="16"/>
          <w:szCs w:val="16"/>
          <w:color w:val="auto"/>
        </w:rPr>
        <w:t>During the last five years, neither the Filing Persons, nor, to the knowledge of the Filing Persons, any person named in either Schedule A or Schedule B,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919" w:right="1440" w:bottom="1440" w:gutter="0" w:footer="0" w:header="0"/>
        </w:sectPr>
      </w:pPr>
    </w:p>
    <w:bookmarkStart w:id="4" w:name="page5"/>
    <w:bookmarkEnd w:id="4"/>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2002"/>
        <w:spacing w:after="0" w:line="271" w:lineRule="auto"/>
        <w:rPr>
          <w:sz w:val="20"/>
          <w:szCs w:val="20"/>
          <w:color w:val="auto"/>
        </w:rPr>
      </w:pPr>
      <w:r>
        <w:rPr>
          <w:rFonts w:ascii="Courier New" w:cs="Courier New" w:eastAsia="Courier New" w:hAnsi="Courier New"/>
          <w:sz w:val="16"/>
          <w:szCs w:val="16"/>
          <w:color w:val="auto"/>
        </w:rPr>
        <w:t>This Statement relates to (i) a stockholders support agreement (the "Support Agreement") among Waste Management, Merger Sub and each stockholder of the Issuer who is a party to the Support Agreement (collectively, the "Stockholders") and the associated proxy granted to Merger Sub by the Stockholders as described in Item 6 below and (ii) 655,000 shares of Common Stock beneficially owned by Waste Management that were or will be acquired by Waste Management in a number of prior or pending transactions with the Issuer.</w:t>
      </w:r>
    </w:p>
    <w:p>
      <w:pPr>
        <w:spacing w:after="0" w:line="38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On August 16, 1998, Waste Management, Merger Sub and the Issuer entered into an Agreement and Plan of Merger (the "Merger Agreement"), which provides that Merger Sub will be merged with and into the Issuer (the "Merger") and each share of Common Stock will be converted into the right to receive, without interest, 0.6406 shares of common stock, par value $.01 per share, of Waste Management ("Waste Management Common Stock"). Waste Management requested the Stockholders to enter into the Support Agreement as an inducement to Waste Management and the Merger Sub to enter into the Merger Agreement. The Support Agreement is intended to provide greater certainty that Waste Management's acquisition of the Issuer will be consummated.</w:t>
      </w:r>
    </w:p>
    <w:p>
      <w:pPr>
        <w:spacing w:after="0" w:line="215" w:lineRule="exact"/>
        <w:rPr>
          <w:sz w:val="20"/>
          <w:szCs w:val="20"/>
          <w:color w:val="auto"/>
        </w:rPr>
      </w:pPr>
    </w:p>
    <w:p>
      <w:pPr>
        <w:ind w:right="1779" w:firstLine="2002"/>
        <w:spacing w:after="0" w:line="238" w:lineRule="auto"/>
        <w:rPr>
          <w:sz w:val="20"/>
          <w:szCs w:val="20"/>
          <w:color w:val="auto"/>
        </w:rPr>
      </w:pPr>
      <w:r>
        <w:rPr>
          <w:rFonts w:ascii="Courier New" w:cs="Courier New" w:eastAsia="Courier New" w:hAnsi="Courier New"/>
          <w:sz w:val="18"/>
          <w:szCs w:val="18"/>
          <w:color w:val="auto"/>
        </w:rPr>
        <w:t>If the Merger is consummated in accordance with the terms of the Merger Agreement, (i) the directors and officers of Merger Sub immediately prior to the effective time of the Merger will become the initial directors and officers of the surviving corporation, respectively, (ii) the Certificate of Incorporation of the Issuer shall be amended and restated to read as the Certificate of Incorporation of Merger Sub as in effect immediately prior to the effective time of the Merger, except that Article One, relating to the name of the Issuer, shall remain unchanged and (iii) the By-laws of Merger Sub, as in effect immediately prior to the effective time of the Merger, shall be the By-laws of the surviving corporation. Additionally, the Common Stock will be deregistered under the Securities Act of 1933 and delisted from The Nasdaq National Market.</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Other than as described above, the Filing Persons currently have no plans or proposals which relate to, or may result in, any of the matters listed in Items 4(a) - (j) of Schedule 13D (although the Filing Persons reserve the right to develop such plans).</w:t>
      </w:r>
    </w:p>
    <w:p>
      <w:pPr>
        <w:sectPr>
          <w:pgSz w:w="11900" w:h="16838" w:orient="portrait"/>
          <w:cols w:equalWidth="0" w:num="1">
            <w:col w:w="10219"/>
          </w:cols>
          <w:pgMar w:left="240" w:top="919" w:right="1440" w:bottom="1440" w:gutter="0" w:footer="0" w:header="0"/>
        </w:sectPr>
      </w:pPr>
    </w:p>
    <w:bookmarkStart w:id="5" w:name="page6"/>
    <w:bookmarkEnd w:id="5"/>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2002"/>
        <w:spacing w:after="0" w:line="270" w:lineRule="auto"/>
        <w:rPr>
          <w:sz w:val="20"/>
          <w:szCs w:val="20"/>
          <w:color w:val="auto"/>
        </w:rPr>
      </w:pPr>
      <w:r>
        <w:rPr>
          <w:rFonts w:ascii="Courier New" w:cs="Courier New" w:eastAsia="Courier New" w:hAnsi="Courier New"/>
          <w:sz w:val="16"/>
          <w:szCs w:val="16"/>
          <w:color w:val="auto"/>
        </w:rPr>
        <w:t>Except as set forth above or in Item 5 below, Waste Management has not formulated any plans or proposals which relate to or would result in: (i) the acquisition by any person of additional securities of the Issuer or the disposition of securities of the Issuer, (ii) an extraordinary corporate transaction involving the Issuer or any of its subsidiaries, (iii) a sale or transfer of a material amount of the assets of the Issuer or any of its subsidiaries, (iv) any change in the present board of directors or management of the Issuer, (v) any material change in the Issuer's capitalization or dividend policy, (vi) any other material change in the Issuer's business or corporate structure, (vii) any change in the Issuer's charter or bylaws or other instrument corresponding thereto or other action which may impede the acquisition of control of the Issuer by any person, (viii) causing a class of the Issuer's securities to be deregistered or delisted, (ix) a class of equity securities of the Issuer becoming eligible for termination of registration or (x) any action similar to any of those enumerated above.</w:t>
      </w:r>
    </w:p>
    <w:p>
      <w:pPr>
        <w:spacing w:after="0" w:line="200" w:lineRule="exact"/>
        <w:rPr>
          <w:sz w:val="20"/>
          <w:szCs w:val="20"/>
          <w:color w:val="auto"/>
        </w:rPr>
      </w:pPr>
    </w:p>
    <w:p>
      <w:pPr>
        <w:spacing w:after="0" w:line="38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As a result of the Support Agreement, the Filing Persons may be deemed to each be the beneficial owner of 3,795,796 shares of Common Stock for purposes of Rule 13d-1(a) promulgated under the Securities Exchange Act of 1934, as amended, which represents approximately 10.5% of the shares of Common Stock outstanding (based on the number of shares of Common Stock outstanding on August 11, 1998).</w:t>
      </w:r>
    </w:p>
    <w:p>
      <w:pPr>
        <w:spacing w:after="0" w:line="210"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As a result of a number of previous acquisitions and one pending acquisition involving Waste Management and the Issuer in which Waste Management acquired, or will acquire, shares of Common Stock, Waste Management is or will be the beneficial owner of an additional 655,000 shares of Common Stock, representing approximately 1.8% of the shares of Common Stock outstanding (based on the number of shares of Common Stock outstanding on August 11, 1998).</w:t>
      </w:r>
    </w:p>
    <w:p>
      <w:pPr>
        <w:spacing w:after="0" w:line="186" w:lineRule="exact"/>
        <w:rPr>
          <w:sz w:val="20"/>
          <w:szCs w:val="20"/>
          <w:color w:val="auto"/>
        </w:rPr>
      </w:pPr>
    </w:p>
    <w:p>
      <w:pPr>
        <w:jc w:val="both"/>
        <w:ind w:right="2099" w:firstLine="2002"/>
        <w:spacing w:after="0" w:line="237" w:lineRule="auto"/>
        <w:rPr>
          <w:sz w:val="20"/>
          <w:szCs w:val="20"/>
          <w:color w:val="auto"/>
        </w:rPr>
      </w:pPr>
      <w:r>
        <w:rPr>
          <w:rFonts w:ascii="Courier New" w:cs="Courier New" w:eastAsia="Courier New" w:hAnsi="Courier New"/>
          <w:sz w:val="18"/>
          <w:szCs w:val="18"/>
          <w:color w:val="auto"/>
        </w:rPr>
        <w:t>To the knowledge of the Filing Persons, neither the Filing Persons nor any other person referred to in Schedule A or Schedule B attached hereto beneficially owns or has acquired or disposed of any shares of Common Stock during the past 60 days.</w:t>
      </w:r>
    </w:p>
    <w:p>
      <w:pPr>
        <w:sectPr>
          <w:pgSz w:w="11900" w:h="16838" w:orient="portrait"/>
          <w:cols w:equalWidth="0" w:num="1">
            <w:col w:w="10219"/>
          </w:cols>
          <w:pgMar w:left="240" w:top="919" w:right="1440" w:bottom="1440" w:gutter="0" w:footer="0" w:header="0"/>
        </w:sectPr>
      </w:pPr>
    </w:p>
    <w:bookmarkStart w:id="6" w:name="page7"/>
    <w:bookmarkEnd w:id="6"/>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Pursuant to the Merger Agreement and subject to the terms and conditions set forth therein (including approval by the holders of the Issuer's outstanding shares of Common Stock and expiration or termination of the waiting period under the Hart-Scott-Rodino Antitrust Improvements Act of 1976, as amended), the Merger Sub will merge with and into the Issuer, with the Issuer continuing as the surviving corporation, and each issued and outstanding share of Common Stock, other than shares owned by Waste Management or the Issuer, will be converted into the right to receive, without interest, 0.6406 shares of Waste Management Common Stock.</w:t>
      </w:r>
    </w:p>
    <w:p>
      <w:pPr>
        <w:spacing w:after="0" w:line="214"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Pursuant to the Support Agreement, each Stockholder has appointed Merger Sub (or any nominee of Merger Sub) as his lawful attorney and proxy in all matters relating to the consummation of the transactions contemplated by the Merger Agreement. Such proxy gives Merger Sub the right to vote each of the 3,795,796 shares (the "Shares") at every annual, special or adjourned meeting of the stockholders of the Issuer (including the right to sign his name (as stockholder) to any consent, certificate or other document relating to the Issuer that may be permitted or required by applicable law), (i) in favor of the adoption of the Merger Agreement and approval of the Merger and the other transactions contemplated by the Merger Agreement, (ii) against any transaction pursuant to a third party acquisition proposal or any other action or agreement that would result in a breach of any covenant, representation or warranty or any other obligation or agreement of the Issuer under the Merger Agreement or which could result in any of the conditions to the Issuer's obligations under the Merger Agreement not being fulfilled, and (iii) in favor of any other matter relating to consummation of the transactions contemplated by the Merger Agreement. Each Stockholder further agrees to cause the number of Shares over which he has voting power to be voted in accordance with the foregoing.</w:t>
      </w:r>
    </w:p>
    <w:p>
      <w:pPr>
        <w:spacing w:after="0" w:line="395" w:lineRule="exact"/>
        <w:rPr>
          <w:sz w:val="20"/>
          <w:szCs w:val="20"/>
          <w:color w:val="auto"/>
        </w:rPr>
      </w:pPr>
    </w:p>
    <w:p>
      <w:pPr>
        <w:ind w:right="1879" w:firstLine="2002"/>
        <w:spacing w:after="0" w:line="268" w:lineRule="auto"/>
        <w:rPr>
          <w:sz w:val="20"/>
          <w:szCs w:val="20"/>
          <w:color w:val="auto"/>
        </w:rPr>
      </w:pPr>
      <w:r>
        <w:rPr>
          <w:rFonts w:ascii="Courier New" w:cs="Courier New" w:eastAsia="Courier New" w:hAnsi="Courier New"/>
          <w:sz w:val="16"/>
          <w:szCs w:val="16"/>
          <w:color w:val="auto"/>
        </w:rPr>
        <w:t>The obligations of the Stockholders under the Support Agreement terminate upon the earlier of (i) the effective time of the Merger or</w:t>
      </w:r>
    </w:p>
    <w:p>
      <w:pPr>
        <w:ind w:right="177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 days after the termination of the Merger Agreement in the case of termination that entitles Waste Management to a termination fee under the Merger Agreement or on the date of termination in the case of termination for any other reason.</w:t>
      </w:r>
    </w:p>
    <w:p>
      <w:pPr>
        <w:spacing w:after="0" w:line="207" w:lineRule="exact"/>
        <w:rPr>
          <w:sz w:val="20"/>
          <w:szCs w:val="20"/>
          <w:color w:val="auto"/>
        </w:rPr>
      </w:pPr>
    </w:p>
    <w:p>
      <w:pPr>
        <w:ind w:right="2199" w:firstLine="2002"/>
        <w:spacing w:after="0" w:line="237" w:lineRule="auto"/>
        <w:rPr>
          <w:sz w:val="20"/>
          <w:szCs w:val="20"/>
          <w:color w:val="auto"/>
        </w:rPr>
      </w:pPr>
      <w:r>
        <w:rPr>
          <w:rFonts w:ascii="Courier New" w:cs="Courier New" w:eastAsia="Courier New" w:hAnsi="Courier New"/>
          <w:sz w:val="18"/>
          <w:szCs w:val="18"/>
          <w:color w:val="auto"/>
        </w:rPr>
        <w:t>The descriptions herein of the Merger Agreement and the Support Agreement are qualified in their entirety by reference to such agreements, copies of which are filed hereto as Exhibits 99.1 and 99.2 respectively, and which are specifically incorporated herein by reference in their entirety.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Except as provided in the Merger Agreement and the Support</w:t>
      </w:r>
    </w:p>
    <w:p>
      <w:pPr>
        <w:spacing w:after="0" w:line="238" w:lineRule="auto"/>
        <w:rPr>
          <w:sz w:val="20"/>
          <w:szCs w:val="20"/>
          <w:color w:val="auto"/>
        </w:rPr>
      </w:pPr>
      <w:r>
        <w:rPr>
          <w:rFonts w:ascii="Courier New" w:cs="Courier New" w:eastAsia="Courier New" w:hAnsi="Courier New"/>
          <w:sz w:val="18"/>
          <w:szCs w:val="18"/>
          <w:color w:val="auto"/>
        </w:rPr>
        <w:t>Agreement, to</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best knowledge of the Filing Persons,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00" w:lineRule="exact"/>
        <w:rPr>
          <w:sz w:val="20"/>
          <w:szCs w:val="20"/>
          <w:color w:val="auto"/>
        </w:rPr>
      </w:pPr>
    </w:p>
    <w:p>
      <w:pPr>
        <w:spacing w:after="0" w:line="20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1580" w:right="1879" w:hanging="1263"/>
        <w:spacing w:after="0" w:line="236"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Agreement and Plan of Merger, dated as of August 16, 1998, among Waste Management, Inc., Ocho Acquisition Corporation and Eastern Environmental Services, Inc.</w:t>
      </w:r>
    </w:p>
    <w:p>
      <w:pPr>
        <w:spacing w:after="0" w:line="209" w:lineRule="exact"/>
        <w:rPr>
          <w:sz w:val="20"/>
          <w:szCs w:val="20"/>
          <w:color w:val="auto"/>
        </w:rPr>
      </w:pPr>
    </w:p>
    <w:p>
      <w:pPr>
        <w:ind w:left="1580" w:right="2099" w:hanging="1263"/>
        <w:spacing w:after="0" w:line="237" w:lineRule="auto"/>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Support Agreement, dated as of August 16, 1998, among certain stockholders of Eastern Environmental Services, Inc. listed as parties thereto, Waste Management, Inc. and Ocho Acquisition Corporation.</w:t>
      </w:r>
    </w:p>
    <w:p>
      <w:pPr>
        <w:spacing w:after="0" w:line="207" w:lineRule="exact"/>
        <w:rPr>
          <w:sz w:val="20"/>
          <w:szCs w:val="20"/>
          <w:color w:val="auto"/>
        </w:rPr>
      </w:pPr>
    </w:p>
    <w:p>
      <w:pPr>
        <w:ind w:left="1580" w:right="2099" w:hanging="1263"/>
        <w:spacing w:after="0" w:line="235" w:lineRule="auto"/>
        <w:tabs>
          <w:tab w:leader="none" w:pos="156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Joint Filing Agreement between Waste Management, Inc. and Ocho Acquisition Corporation.</w:t>
      </w:r>
    </w:p>
    <w:p>
      <w:pPr>
        <w:sectPr>
          <w:pgSz w:w="11900" w:h="16838" w:orient="portrait"/>
          <w:cols w:equalWidth="0" w:num="1">
            <w:col w:w="10219"/>
          </w:cols>
          <w:pgMar w:left="240" w:top="919" w:right="1440" w:bottom="1440" w:gutter="0" w:footer="0" w:header="0"/>
        </w:sectPr>
      </w:pPr>
    </w:p>
    <w:bookmarkStart w:id="8" w:name="page9"/>
    <w:bookmarkEnd w:id="8"/>
    <w:p>
      <w:pPr>
        <w:jc w:val="center"/>
        <w:ind w:right="165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26, 1998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2980" w:space="720"/>
            <w:col w:w="651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7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2">
            <w:col w:w="3900" w:space="0"/>
            <w:col w:w="6319"/>
          </w:cols>
          <w:pgMar w:left="240" w:top="919" w:right="1440" w:bottom="1440" w:gutter="0" w:footer="0" w:header="0"/>
          <w:type w:val="continuous"/>
        </w:sect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OCHO ACQUISITION CORPORATION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74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2">
            <w:col w:w="3900" w:space="0"/>
            <w:col w:w="6319"/>
          </w:cols>
          <w:pgMar w:left="240" w:top="919" w:right="1440" w:bottom="1440" w:gutter="0" w:footer="0" w:header="0"/>
          <w:type w:val="continuous"/>
        </w:sectPr>
      </w:pPr>
    </w:p>
    <w:bookmarkStart w:id="9" w:name="page10"/>
    <w:bookmarkEnd w:id="9"/>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1580" w:right="2519" w:hanging="1474"/>
        <w:spacing w:after="0" w:line="236"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Agreement and Plan of Merger, dated as of August 16, 1998, among Waste Management, Inc., Ocho Acquisition Corporation and Eastern Environmental Services, Inc.</w:t>
      </w:r>
    </w:p>
    <w:p>
      <w:pPr>
        <w:spacing w:after="0" w:line="209" w:lineRule="exact"/>
        <w:rPr>
          <w:sz w:val="20"/>
          <w:szCs w:val="20"/>
          <w:color w:val="auto"/>
        </w:rPr>
      </w:pPr>
    </w:p>
    <w:p>
      <w:pPr>
        <w:ind w:left="1580" w:right="2319" w:hanging="1474"/>
        <w:spacing w:after="0" w:line="237" w:lineRule="auto"/>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Support Agreement, dated as of August 16, 1998, among certain stockholders of Eastern Environmental Services, Inc. listed as parties thereto, Waste Management, Inc. and Ocho Acquisition Corporation.</w:t>
      </w:r>
    </w:p>
    <w:p>
      <w:pPr>
        <w:spacing w:after="0" w:line="207" w:lineRule="exact"/>
        <w:rPr>
          <w:sz w:val="20"/>
          <w:szCs w:val="20"/>
          <w:color w:val="auto"/>
        </w:rPr>
      </w:pPr>
    </w:p>
    <w:p>
      <w:pPr>
        <w:ind w:left="1580" w:right="2619" w:hanging="1474"/>
        <w:spacing w:after="0" w:line="235" w:lineRule="auto"/>
        <w:tabs>
          <w:tab w:leader="none" w:pos="156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Joint Filing Agreement between Waste Management, Inc. and Ocho Acquisition Corporation.</w:t>
      </w:r>
    </w:p>
    <w:p>
      <w:pPr>
        <w:sectPr>
          <w:pgSz w:w="11900" w:h="16838" w:orient="portrait"/>
          <w:cols w:equalWidth="0" w:num="1">
            <w:col w:w="10219"/>
          </w:cols>
          <w:pgMar w:left="240" w:top="919" w:right="1440" w:bottom="1440" w:gutter="0" w:footer="0" w:header="0"/>
        </w:sectPr>
      </w:pPr>
    </w:p>
    <w:bookmarkStart w:id="10" w:name="page11"/>
    <w:bookmarkEnd w:id="10"/>
    <w:p>
      <w:pPr>
        <w:ind w:left="42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DIRECTORS OF WASTE MANAGEMENT, INC.</w:t>
      </w:r>
    </w:p>
    <w:p>
      <w:pPr>
        <w:spacing w:after="0" w:line="207" w:lineRule="exact"/>
        <w:rPr>
          <w:sz w:val="20"/>
          <w:szCs w:val="20"/>
          <w:color w:val="auto"/>
        </w:rPr>
      </w:pPr>
    </w:p>
    <w:p>
      <w:pPr>
        <w:ind w:right="2319" w:firstLine="1896"/>
        <w:spacing w:after="0" w:line="237" w:lineRule="auto"/>
        <w:rPr>
          <w:sz w:val="20"/>
          <w:szCs w:val="20"/>
          <w:color w:val="auto"/>
        </w:rPr>
      </w:pPr>
      <w:r>
        <w:rPr>
          <w:rFonts w:ascii="Courier New" w:cs="Courier New" w:eastAsia="Courier New" w:hAnsi="Courier New"/>
          <w:sz w:val="18"/>
          <w:szCs w:val="18"/>
          <w:color w:val="auto"/>
        </w:rPr>
        <w:t>The name, present business address and present principal occupation or employment of each director of Waste Management, Inc. are set forth below. Each person listed below is a citizen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4260" w:type="dxa"/>
            <w:vAlign w:val="bottom"/>
          </w:tcPr>
          <w:p>
            <w:pPr>
              <w:ind w:left="780"/>
              <w:spacing w:after="0"/>
              <w:rPr>
                <w:sz w:val="20"/>
                <w:szCs w:val="20"/>
                <w:color w:val="auto"/>
              </w:rPr>
            </w:pPr>
            <w:r>
              <w:rPr>
                <w:rFonts w:ascii="Courier New" w:cs="Courier New" w:eastAsia="Courier New" w:hAnsi="Courier New"/>
                <w:sz w:val="18"/>
                <w:szCs w:val="18"/>
                <w:color w:val="auto"/>
              </w:rPr>
              <w:t>Present Principal</w:t>
            </w:r>
          </w:p>
        </w:tc>
        <w:tc>
          <w:tcPr>
            <w:tcW w:w="31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2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Occuation/Employment</w:t>
            </w: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Present Business Address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H. Jesse Arnelle</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Of Counsel at Womble, Carlyle</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400 Urbano Drive</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Sandridge and Rice</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Fransciso, CA 94127</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Dr. Pastora San Juan</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Professor at the University of</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2440 North Lake View</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Cafferty</w:t>
            </w: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Chicago</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Chicago, IL 60614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Ralph F. Cox</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Management Consultant</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RABAR Enterprises</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4615 Post Oak Place, Suite</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Houston, TX 77027</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John E. Drury</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Chief Executive Officer of Waste</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Waste Management, Inc.</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Management, Inc.</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Richard J.</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Chairman, President and Chief</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U.S. Filter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Heckmann</w:t>
            </w: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 of United States</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40-004 Cook Street</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Filter Corporation</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Palm Desert, CA 92211</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Roderick M. Hills</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President of Hills Enterprises, Ltd.</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Roderick M. Hills</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a Partner of Hills &amp; Hills</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2440 North Lake View</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Chicago, IL 60614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Richard D. Kinder</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Chairman and Chief Executive</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Kinder Morgan Energy</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of Kinder Morgan Energy</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Partners, L.P.</w:t>
            </w:r>
          </w:p>
        </w:tc>
      </w:tr>
      <w:tr>
        <w:trPr>
          <w:trHeight w:val="203"/>
        </w:trPr>
        <w:tc>
          <w:tcPr>
            <w:tcW w:w="238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Partners, L.P.</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1301 McKinney, Suite 3450</w:t>
            </w:r>
          </w:p>
        </w:tc>
      </w:tr>
      <w:tr>
        <w:trPr>
          <w:trHeight w:val="203"/>
        </w:trPr>
        <w:tc>
          <w:tcPr>
            <w:tcW w:w="2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Houston, TX 77010</w:t>
            </w:r>
          </w:p>
        </w:tc>
      </w:tr>
    </w:tbl>
    <w:p>
      <w:pPr>
        <w:sectPr>
          <w:pgSz w:w="11900" w:h="16838" w:orient="portrait"/>
          <w:cols w:equalWidth="0" w:num="1">
            <w:col w:w="10219"/>
          </w:cols>
          <w:pgMar w:left="240" w:top="919" w:right="1440" w:bottom="1440" w:gutter="0" w:footer="0" w:header="0"/>
        </w:sectPr>
      </w:pPr>
    </w:p>
    <w:bookmarkStart w:id="11" w:name="page12"/>
    <w:bookmarkEnd w:id="11"/>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Robert S. Miller</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Vice Chairman of Morrison</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3003 Butterfield Road</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Knudsen Corporation</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Oak Brook, IL 60523</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Paul M. Montrone</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Chief Executive Officer and</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Liberty Lane</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of Fisher Scientific</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Hampton, NH 03842</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300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C. Pope</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Chairman of the Board of</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810 South Ridge Road</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MotivePower Industries, Inc.</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Lake Forest, IL 60045</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Rodney R. Proto</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President and Chief Operating</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Waste Management, Inc.</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of Waste Management, Inc.</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23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Steven G. Rothmeier</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Chairman and Chief Executive</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332 Minnesota Street</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of Great Northern Capital</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Suite W2900</w:t>
            </w:r>
          </w:p>
        </w:tc>
      </w:tr>
      <w:tr>
        <w:trPr>
          <w:trHeight w:val="203"/>
        </w:trPr>
        <w:tc>
          <w:tcPr>
            <w:tcW w:w="23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 Paul, MN 55101</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Ralph V. Whitworth</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Partner at Batchelder &amp; Partners</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Relational Investors LLC</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Principal and Managing</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4339 Lahoya Village Drive</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Member of Relational Investors</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Suite 220</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LLC</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San Diego, CA 92122</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Jerome B. York</w:t>
            </w:r>
          </w:p>
        </w:tc>
        <w:tc>
          <w:tcPr>
            <w:tcW w:w="4160" w:type="dxa"/>
            <w:vAlign w:val="bottom"/>
          </w:tcPr>
          <w:p>
            <w:pPr>
              <w:ind w:left="320"/>
              <w:spacing w:after="0"/>
              <w:rPr>
                <w:sz w:val="20"/>
                <w:szCs w:val="20"/>
                <w:color w:val="auto"/>
              </w:rPr>
            </w:pPr>
            <w:r>
              <w:rPr>
                <w:rFonts w:ascii="Courier New" w:cs="Courier New" w:eastAsia="Courier New" w:hAnsi="Courier New"/>
                <w:sz w:val="18"/>
                <w:szCs w:val="18"/>
                <w:color w:val="auto"/>
              </w:rPr>
              <w:t>Vice Chairman of Tracinda</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rPr>
              <w:t>Tracinda Corporation</w:t>
            </w:r>
          </w:p>
        </w:tc>
      </w:tr>
      <w:tr>
        <w:trPr>
          <w:trHeight w:val="203"/>
        </w:trPr>
        <w:tc>
          <w:tcPr>
            <w:tcW w:w="2320" w:type="dxa"/>
            <w:vAlign w:val="bottom"/>
          </w:tcPr>
          <w:p>
            <w:pPr>
              <w:spacing w:after="0"/>
              <w:rPr>
                <w:sz w:val="17"/>
                <w:szCs w:val="17"/>
                <w:color w:val="auto"/>
              </w:rPr>
            </w:pPr>
          </w:p>
        </w:tc>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4835 Koual Lane</w:t>
            </w:r>
          </w:p>
        </w:tc>
      </w:tr>
      <w:tr>
        <w:trPr>
          <w:trHeight w:val="203"/>
        </w:trPr>
        <w:tc>
          <w:tcPr>
            <w:tcW w:w="23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Las Vegas, NV 89109</w:t>
            </w:r>
          </w:p>
        </w:tc>
      </w:tr>
    </w:tbl>
    <w:p>
      <w:pPr>
        <w:sectPr>
          <w:pgSz w:w="11900" w:h="16838" w:orient="portrait"/>
          <w:cols w:equalWidth="0" w:num="1">
            <w:col w:w="10219"/>
          </w:cols>
          <w:pgMar w:left="240" w:top="919" w:right="1440" w:bottom="1440" w:gutter="0" w:footer="0" w:header="0"/>
        </w:sectPr>
      </w:pPr>
    </w:p>
    <w:bookmarkStart w:id="12" w:name="page13"/>
    <w:bookmarkEnd w:id="12"/>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WASTE MANAGEMENT, INC. EXECUTIVE OFFICERS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name and title of each executive officer of Waste Management, Inc. are set forth below. The present business address of each executive officer listed below is 1001 Fannin, Suite 4000, Houston, Texas 77002. Each person listed below is a citizen of the United States of America.</w:t>
      </w:r>
    </w:p>
    <w:p>
      <w:pPr>
        <w:sectPr>
          <w:pgSz w:w="11900" w:h="16838" w:orient="portrait"/>
          <w:cols w:equalWidth="0" w:num="1">
            <w:col w:w="10219"/>
          </w:cols>
          <w:pgMar w:left="240" w:top="919"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Title: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Operating Officer</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&amp; Chief Financial Officer</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Operations/Administration</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Susan J. Piller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Employee Relations</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Rothrock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Business Development</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Counsel and Secretary</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P. Damico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MidWest Area</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Miller J. Matthews,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Southern Area</w:t>
      </w:r>
    </w:p>
    <w:p>
      <w:pPr>
        <w:spacing w:after="0" w:line="200" w:lineRule="exact"/>
        <w:rPr>
          <w:sz w:val="20"/>
          <w:szCs w:val="20"/>
          <w:color w:val="auto"/>
        </w:rPr>
      </w:pPr>
    </w:p>
    <w:p>
      <w:pPr>
        <w:sectPr>
          <w:pgSz w:w="11900" w:h="16838" w:orient="portrait"/>
          <w:cols w:equalWidth="0" w:num="2">
            <w:col w:w="2440" w:space="5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Douglas G. Sobey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Western Area</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Atlantic Area</w:t>
      </w:r>
    </w:p>
    <w:p>
      <w:pPr>
        <w:spacing w:after="0" w:line="200" w:lineRule="exact"/>
        <w:rPr>
          <w:sz w:val="20"/>
          <w:szCs w:val="20"/>
          <w:color w:val="auto"/>
        </w:rPr>
      </w:pPr>
    </w:p>
    <w:p>
      <w:pPr>
        <w:sectPr>
          <w:pgSz w:w="11900" w:h="16838" w:orient="portrait"/>
          <w:cols w:equalWidth="0" w:num="2">
            <w:col w:w="2320" w:space="64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A. Wilcox</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Eastern Area</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Treasurer</w:t>
      </w:r>
    </w:p>
    <w:p>
      <w:pPr>
        <w:spacing w:after="0" w:line="200" w:lineRule="exact"/>
        <w:rPr>
          <w:sz w:val="20"/>
          <w:szCs w:val="20"/>
          <w:color w:val="auto"/>
        </w:rPr>
      </w:pPr>
    </w:p>
    <w:p>
      <w:pPr>
        <w:sectPr>
          <w:pgSz w:w="11900" w:h="16838" w:orient="portrait"/>
          <w:cols w:equalWidth="0" w:num="2">
            <w:col w:w="2240" w:space="720"/>
            <w:col w:w="72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ectPr>
          <w:pgSz w:w="11900" w:h="16838" w:orient="portrait"/>
          <w:cols w:equalWidth="0" w:num="2">
            <w:col w:w="2240" w:space="720"/>
            <w:col w:w="7259"/>
          </w:cols>
          <w:pgMar w:left="240" w:top="919" w:right="1440" w:bottom="1440" w:gutter="0" w:footer="0" w:header="0"/>
          <w:type w:val="continuous"/>
        </w:sectPr>
      </w:pPr>
    </w:p>
    <w:bookmarkStart w:id="13" w:name="page14"/>
    <w:bookmarkEnd w:id="13"/>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B</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DIRECTORS OF OCHO ACQUISITION CORPORATION</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name, present business address and present principal occupation or employment of each director of Ocho Acquisition Corporation are set forth below. Each person listed below is a citizen of the United States of America.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Present Business</w:t>
            </w:r>
          </w:p>
        </w:tc>
        <w:tc>
          <w:tcPr>
            <w:tcW w:w="3060" w:type="dxa"/>
            <w:vAlign w:val="bottom"/>
          </w:tcPr>
          <w:p>
            <w:pPr>
              <w:ind w:left="420"/>
              <w:spacing w:after="0"/>
              <w:rPr>
                <w:sz w:val="20"/>
                <w:szCs w:val="20"/>
                <w:color w:val="auto"/>
              </w:rPr>
            </w:pPr>
            <w:r>
              <w:rPr>
                <w:rFonts w:ascii="Courier New" w:cs="Courier New" w:eastAsia="Courier New" w:hAnsi="Courier New"/>
                <w:sz w:val="18"/>
                <w:szCs w:val="18"/>
                <w:color w:val="auto"/>
              </w:rPr>
              <w:t>Present Principal</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Address</w:t>
            </w: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Occupation/Employment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Gregory T. Sangalis</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1001 Fannin, Suite 4000</w:t>
            </w: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222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Houston, Texas 77002</w:t>
            </w: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2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Secretary</w:t>
            </w:r>
          </w:p>
        </w:tc>
      </w:tr>
      <w:tr>
        <w:trPr>
          <w:trHeight w:val="203"/>
        </w:trPr>
        <w:tc>
          <w:tcPr>
            <w:tcW w:w="22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of Waste Management, Inc.</w:t>
            </w:r>
          </w:p>
        </w:tc>
      </w:tr>
    </w:tbl>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OCHO ACQUISITION CORPORATION EXECUTIVE OFFICERS</w:t>
      </w:r>
    </w:p>
    <w:p>
      <w:pPr>
        <w:spacing w:after="0" w:line="20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The name and title of each executive officer of Ocho Acquisition Corporation are set forth below. The present business address of each executive officer listed below is 1001 Fannin, Suite 4000, Houston, Texas 77002 and each person listed below is a citizen of the United States of America.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Name and Title</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Title</w:t>
            </w:r>
          </w:p>
        </w:tc>
        <w:tc>
          <w:tcPr>
            <w:tcW w:w="14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E. Drury</w:t>
            </w:r>
          </w:p>
        </w:tc>
        <w:tc>
          <w:tcPr>
            <w:tcW w:w="56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President and Chief Executive Officer</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Earl E. DeFrates</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Executive Vice</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 and</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w w:val="96"/>
              </w:rPr>
              <w:t>Chief Financial Officer</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Gregory T. Sangalis</w:t>
            </w:r>
          </w:p>
        </w:tc>
        <w:tc>
          <w:tcPr>
            <w:tcW w:w="56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Senior Vice President and Secretary</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Bruce E. Snyder</w:t>
            </w:r>
          </w:p>
        </w:tc>
        <w:tc>
          <w:tcPr>
            <w:tcW w:w="56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Vice President, Chief Accounting Officer and</w:t>
            </w:r>
          </w:p>
        </w:tc>
      </w:tr>
      <w:tr>
        <w:trPr>
          <w:trHeight w:val="203"/>
        </w:trPr>
        <w:tc>
          <w:tcPr>
            <w:tcW w:w="2220" w:type="dxa"/>
            <w:vAlign w:val="bottom"/>
          </w:tcPr>
          <w:p>
            <w:pPr>
              <w:spacing w:after="0"/>
              <w:rPr>
                <w:sz w:val="17"/>
                <w:szCs w:val="17"/>
                <w:color w:val="auto"/>
              </w:rPr>
            </w:pPr>
          </w:p>
        </w:tc>
        <w:tc>
          <w:tcPr>
            <w:tcW w:w="3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24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Ronald H. Jones</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and Treasurer</w:t>
            </w:r>
          </w:p>
        </w:tc>
        <w:tc>
          <w:tcPr>
            <w:tcW w:w="2460" w:type="dxa"/>
            <w:vAlign w:val="bottom"/>
          </w:tcPr>
          <w:p>
            <w:pPr>
              <w:spacing w:after="0"/>
              <w:rPr>
                <w:sz w:val="24"/>
                <w:szCs w:val="24"/>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Bryan J. Blankfield</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and Assistant</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Secretary</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Jeffrey A. Draper</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and Assistant</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Treasurer</w:t>
            </w:r>
          </w:p>
        </w:tc>
      </w:tr>
    </w:tbl>
    <w:p>
      <w:pPr>
        <w:sectPr>
          <w:pgSz w:w="11900" w:h="16838" w:orient="portrait"/>
          <w:cols w:equalWidth="0" w:num="1">
            <w:col w:w="10219"/>
          </w:cols>
          <w:pgMar w:left="240" w:top="919"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AUGUST 16, 1998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OCHO ACQUISITION CORPORATION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EASTERN ENVIRONMENTAL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No.</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1.1</w:t>
        <w:tab/>
        <w:t>The Merger</w:t>
      </w:r>
      <w:r>
        <w:rPr>
          <w:sz w:val="20"/>
          <w:szCs w:val="20"/>
          <w:color w:val="auto"/>
        </w:rPr>
        <w:tab/>
      </w:r>
      <w:r>
        <w:rPr>
          <w:rFonts w:ascii="Courier New" w:cs="Courier New" w:eastAsia="Courier New" w:hAnsi="Courier New"/>
          <w:sz w:val="16"/>
          <w:szCs w:val="16"/>
          <w:color w:val="auto"/>
        </w:rPr>
        <w:t>1</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1.2</w:t>
        <w:tab/>
        <w:t>Effective Time of the Merger</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1" w:lineRule="exact"/>
        <w:rPr>
          <w:sz w:val="20"/>
          <w:szCs w:val="20"/>
          <w:color w:val="auto"/>
        </w:rPr>
      </w:pP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2.1</w:t>
        <w:tab/>
        <w:t>Certificate of Incorporation</w:t>
      </w:r>
      <w:r>
        <w:rPr>
          <w:sz w:val="20"/>
          <w:szCs w:val="20"/>
          <w:color w:val="auto"/>
        </w:rPr>
        <w:tab/>
      </w:r>
      <w:r>
        <w:rPr>
          <w:rFonts w:ascii="Courier New" w:cs="Courier New" w:eastAsia="Courier New" w:hAnsi="Courier New"/>
          <w:sz w:val="16"/>
          <w:szCs w:val="16"/>
          <w:color w:val="auto"/>
        </w:rPr>
        <w:t>2</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2.2</w:t>
        <w:tab/>
        <w:t>By-Laws</w:t>
      </w:r>
      <w:r>
        <w:rPr>
          <w:sz w:val="20"/>
          <w:szCs w:val="20"/>
          <w:color w:val="auto"/>
        </w:rPr>
        <w:tab/>
      </w:r>
      <w:r>
        <w:rPr>
          <w:rFonts w:ascii="Courier New" w:cs="Courier New" w:eastAsia="Courier New" w:hAnsi="Courier New"/>
          <w:sz w:val="16"/>
          <w:szCs w:val="16"/>
          <w:color w:val="auto"/>
        </w:rPr>
        <w:t>2</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2.3</w:t>
        <w:tab/>
        <w:t>Directors</w:t>
      </w:r>
      <w:r>
        <w:rPr>
          <w:sz w:val="20"/>
          <w:szCs w:val="20"/>
          <w:color w:val="auto"/>
        </w:rPr>
        <w:tab/>
      </w:r>
      <w:r>
        <w:rPr>
          <w:rFonts w:ascii="Courier New" w:cs="Courier New" w:eastAsia="Courier New" w:hAnsi="Courier New"/>
          <w:sz w:val="16"/>
          <w:szCs w:val="16"/>
          <w:color w:val="auto"/>
        </w:rPr>
        <w:t>2</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2.4</w:t>
        <w:tab/>
        <w:t>Officers</w:t>
      </w:r>
      <w:r>
        <w:rPr>
          <w:sz w:val="20"/>
          <w:szCs w:val="20"/>
          <w:color w:val="auto"/>
        </w:rPr>
        <w:tab/>
      </w:r>
      <w:r>
        <w:rPr>
          <w:rFonts w:ascii="Courier New" w:cs="Courier New" w:eastAsia="Courier New" w:hAnsi="Courier New"/>
          <w:sz w:val="16"/>
          <w:szCs w:val="16"/>
          <w:color w:val="auto"/>
        </w:rPr>
        <w:t>2</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CONVERSION OF SHARES</w:t>
      </w:r>
    </w:p>
    <w:p>
      <w:pPr>
        <w:spacing w:after="0" w:line="201" w:lineRule="exact"/>
        <w:rPr>
          <w:sz w:val="20"/>
          <w:szCs w:val="20"/>
          <w:color w:val="auto"/>
        </w:rPr>
      </w:pP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3.1</w:t>
        <w:tab/>
        <w:t>Conversion of Company Shares in the Merger</w:t>
      </w:r>
      <w:r>
        <w:rPr>
          <w:sz w:val="20"/>
          <w:szCs w:val="20"/>
          <w:color w:val="auto"/>
        </w:rPr>
        <w:tab/>
      </w:r>
      <w:r>
        <w:rPr>
          <w:rFonts w:ascii="Courier New" w:cs="Courier New" w:eastAsia="Courier New" w:hAnsi="Courier New"/>
          <w:sz w:val="16"/>
          <w:szCs w:val="16"/>
          <w:color w:val="auto"/>
        </w:rPr>
        <w:t>2</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3.2</w:t>
        <w:tab/>
        <w:t>Conversion of Subsidiary Shares</w:t>
      </w:r>
      <w:r>
        <w:rPr>
          <w:sz w:val="20"/>
          <w:szCs w:val="20"/>
          <w:color w:val="auto"/>
        </w:rPr>
        <w:tab/>
      </w:r>
      <w:r>
        <w:rPr>
          <w:rFonts w:ascii="Courier New" w:cs="Courier New" w:eastAsia="Courier New" w:hAnsi="Courier New"/>
          <w:sz w:val="16"/>
          <w:szCs w:val="16"/>
          <w:color w:val="auto"/>
        </w:rPr>
        <w:t>3</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3.3</w:t>
        <w:tab/>
        <w:t>Exchange of Certificates</w:t>
      </w:r>
      <w:r>
        <w:rPr>
          <w:sz w:val="20"/>
          <w:szCs w:val="20"/>
          <w:color w:val="auto"/>
        </w:rPr>
        <w:tab/>
      </w:r>
      <w:r>
        <w:rPr>
          <w:rFonts w:ascii="Courier New" w:cs="Courier New" w:eastAsia="Courier New" w:hAnsi="Courier New"/>
          <w:sz w:val="16"/>
          <w:szCs w:val="16"/>
          <w:color w:val="auto"/>
        </w:rPr>
        <w:t>3</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3.4</w:t>
        <w:tab/>
        <w:t>No Fractional Shares</w:t>
      </w:r>
      <w:r>
        <w:rPr>
          <w:sz w:val="20"/>
          <w:szCs w:val="20"/>
          <w:color w:val="auto"/>
        </w:rPr>
        <w:tab/>
      </w:r>
      <w:r>
        <w:rPr>
          <w:rFonts w:ascii="Courier New" w:cs="Courier New" w:eastAsia="Courier New" w:hAnsi="Courier New"/>
          <w:sz w:val="16"/>
          <w:szCs w:val="16"/>
          <w:color w:val="auto"/>
        </w:rPr>
        <w:t>5</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3.5</w:t>
        <w:tab/>
        <w:t>Closing</w:t>
      </w:r>
      <w:r>
        <w:rPr>
          <w:sz w:val="20"/>
          <w:szCs w:val="20"/>
          <w:color w:val="auto"/>
        </w:rPr>
        <w:tab/>
      </w:r>
      <w:r>
        <w:rPr>
          <w:rFonts w:ascii="Courier New" w:cs="Courier New" w:eastAsia="Courier New" w:hAnsi="Courier New"/>
          <w:sz w:val="16"/>
          <w:szCs w:val="16"/>
          <w:color w:val="auto"/>
        </w:rPr>
        <w:t>6</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3.6</w:t>
        <w:tab/>
        <w:t>Closing of the Company's Transfer Books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4.1</w:t>
        <w:tab/>
        <w:t>Organization and Qualification</w:t>
      </w:r>
      <w:r>
        <w:rPr>
          <w:sz w:val="20"/>
          <w:szCs w:val="20"/>
          <w:color w:val="auto"/>
        </w:rPr>
        <w:tab/>
      </w:r>
      <w:r>
        <w:rPr>
          <w:rFonts w:ascii="Courier New" w:cs="Courier New" w:eastAsia="Courier New" w:hAnsi="Courier New"/>
          <w:sz w:val="16"/>
          <w:szCs w:val="16"/>
          <w:color w:val="auto"/>
        </w:rPr>
        <w:t>7</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4.2</w:t>
        <w:tab/>
        <w:t>Capitalization</w:t>
      </w:r>
      <w:r>
        <w:rPr>
          <w:sz w:val="20"/>
          <w:szCs w:val="20"/>
          <w:color w:val="auto"/>
        </w:rPr>
        <w:tab/>
      </w:r>
      <w:r>
        <w:rPr>
          <w:rFonts w:ascii="Courier New" w:cs="Courier New" w:eastAsia="Courier New" w:hAnsi="Courier New"/>
          <w:sz w:val="16"/>
          <w:szCs w:val="16"/>
          <w:color w:val="auto"/>
        </w:rPr>
        <w:t>7</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4.3</w:t>
        <w:tab/>
        <w:t>Subsidiaries</w:t>
      </w:r>
      <w:r>
        <w:rPr>
          <w:sz w:val="20"/>
          <w:szCs w:val="20"/>
          <w:color w:val="auto"/>
        </w:rPr>
        <w:tab/>
      </w:r>
      <w:r>
        <w:rPr>
          <w:rFonts w:ascii="Courier New" w:cs="Courier New" w:eastAsia="Courier New" w:hAnsi="Courier New"/>
          <w:sz w:val="16"/>
          <w:szCs w:val="16"/>
          <w:color w:val="auto"/>
        </w:rPr>
        <w:t>8</w:t>
      </w:r>
    </w:p>
    <w:p>
      <w:pPr>
        <w:spacing w:after="0"/>
        <w:tabs>
          <w:tab w:leader="none" w:pos="1360" w:val="left"/>
          <w:tab w:leader="dot" w:pos="8100" w:val="left"/>
        </w:tabs>
        <w:rPr>
          <w:sz w:val="20"/>
          <w:szCs w:val="20"/>
          <w:color w:val="auto"/>
        </w:rPr>
      </w:pPr>
      <w:r>
        <w:rPr>
          <w:rFonts w:ascii="Courier New" w:cs="Courier New" w:eastAsia="Courier New" w:hAnsi="Courier New"/>
          <w:sz w:val="18"/>
          <w:szCs w:val="18"/>
          <w:color w:val="auto"/>
        </w:rPr>
        <w:t>Section 4.4</w:t>
        <w:tab/>
        <w:t>Authority; Non-Contravention; Approvals</w:t>
      </w:r>
      <w:r>
        <w:rPr>
          <w:sz w:val="20"/>
          <w:szCs w:val="20"/>
          <w:color w:val="auto"/>
        </w:rPr>
        <w:tab/>
      </w:r>
      <w:r>
        <w:rPr>
          <w:rFonts w:ascii="Courier New" w:cs="Courier New" w:eastAsia="Courier New" w:hAnsi="Courier New"/>
          <w:sz w:val="16"/>
          <w:szCs w:val="16"/>
          <w:color w:val="auto"/>
        </w:rPr>
        <w:t>8</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4.5</w:t>
        <w:tab/>
        <w:t>Reports and Financial Statements</w:t>
      </w:r>
      <w:r>
        <w:rPr>
          <w:sz w:val="20"/>
          <w:szCs w:val="20"/>
          <w:color w:val="auto"/>
        </w:rPr>
        <w:tab/>
      </w:r>
      <w:r>
        <w:rPr>
          <w:rFonts w:ascii="Courier New" w:cs="Courier New" w:eastAsia="Courier New" w:hAnsi="Courier New"/>
          <w:sz w:val="16"/>
          <w:szCs w:val="16"/>
          <w:color w:val="auto"/>
        </w:rPr>
        <w:t>10</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4.6</w:t>
        <w:tab/>
        <w:t>Absence of Undisclosed Liabilities</w:t>
      </w:r>
      <w:r>
        <w:rPr>
          <w:sz w:val="20"/>
          <w:szCs w:val="20"/>
          <w:color w:val="auto"/>
        </w:rPr>
        <w:tab/>
      </w:r>
      <w:r>
        <w:rPr>
          <w:rFonts w:ascii="Courier New" w:cs="Courier New" w:eastAsia="Courier New" w:hAnsi="Courier New"/>
          <w:sz w:val="16"/>
          <w:szCs w:val="16"/>
          <w:color w:val="auto"/>
        </w:rPr>
        <w:t>11</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4.7</w:t>
        <w:tab/>
        <w:t>Absence of Certain Changes or Events</w:t>
      </w:r>
      <w:r>
        <w:rPr>
          <w:sz w:val="20"/>
          <w:szCs w:val="20"/>
          <w:color w:val="auto"/>
        </w:rPr>
        <w:tab/>
      </w:r>
      <w:r>
        <w:rPr>
          <w:rFonts w:ascii="Courier New" w:cs="Courier New" w:eastAsia="Courier New" w:hAnsi="Courier New"/>
          <w:sz w:val="16"/>
          <w:szCs w:val="16"/>
          <w:color w:val="auto"/>
        </w:rPr>
        <w:t>11</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4.8</w:t>
        <w:tab/>
        <w:t>Litigation</w:t>
      </w:r>
      <w:r>
        <w:rPr>
          <w:sz w:val="20"/>
          <w:szCs w:val="20"/>
          <w:color w:val="auto"/>
        </w:rPr>
        <w:tab/>
      </w:r>
      <w:r>
        <w:rPr>
          <w:rFonts w:ascii="Courier New" w:cs="Courier New" w:eastAsia="Courier New" w:hAnsi="Courier New"/>
          <w:sz w:val="16"/>
          <w:szCs w:val="16"/>
          <w:color w:val="auto"/>
        </w:rPr>
        <w:t>11</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4.9</w:t>
        <w:tab/>
        <w:t>Registration Statement and Proxy Statement</w:t>
      </w:r>
      <w:r>
        <w:rPr>
          <w:sz w:val="20"/>
          <w:szCs w:val="20"/>
          <w:color w:val="auto"/>
        </w:rPr>
        <w:tab/>
      </w:r>
      <w:r>
        <w:rPr>
          <w:rFonts w:ascii="Courier New" w:cs="Courier New" w:eastAsia="Courier New" w:hAnsi="Courier New"/>
          <w:sz w:val="16"/>
          <w:szCs w:val="16"/>
          <w:color w:val="auto"/>
        </w:rPr>
        <w:t>12</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4.10</w:t>
        <w:tab/>
        <w:t>Violation of Law</w:t>
      </w:r>
      <w:r>
        <w:rPr>
          <w:sz w:val="20"/>
          <w:szCs w:val="20"/>
          <w:color w:val="auto"/>
        </w:rPr>
        <w:tab/>
      </w:r>
      <w:r>
        <w:rPr>
          <w:rFonts w:ascii="Courier New" w:cs="Courier New" w:eastAsia="Courier New" w:hAnsi="Courier New"/>
          <w:sz w:val="16"/>
          <w:szCs w:val="16"/>
          <w:color w:val="auto"/>
        </w:rPr>
        <w:t>12</w:t>
      </w:r>
    </w:p>
    <w:p>
      <w:pPr>
        <w:sectPr>
          <w:pgSz w:w="11900" w:h="16838" w:orient="portrait"/>
          <w:cols w:equalWidth="0" w:num="1">
            <w:col w:w="10219"/>
          </w:cols>
          <w:pgMar w:left="240" w:top="136" w:right="1440" w:bottom="563" w:gutter="0" w:footer="0" w:header="0"/>
        </w:sectPr>
      </w:pPr>
    </w:p>
    <w:bookmarkStart w:id="15" w:name="page16"/>
    <w:bookmarkEnd w:id="15"/>
    <w:p>
      <w:pPr>
        <w:ind w:left="4120"/>
        <w:spacing w:after="0"/>
        <w:rPr>
          <w:sz w:val="20"/>
          <w:szCs w:val="20"/>
          <w:color w:val="auto"/>
        </w:rPr>
      </w:pPr>
      <w:r>
        <w:rPr>
          <w:rFonts w:ascii="Courier New" w:cs="Courier New" w:eastAsia="Courier New" w:hAnsi="Courier New"/>
          <w:sz w:val="18"/>
          <w:szCs w:val="18"/>
          <w:color w:val="auto"/>
        </w:rPr>
        <w:t>ii</w:t>
      </w:r>
    </w:p>
    <w:p>
      <w:pPr>
        <w:spacing w:after="0" w:line="201"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4.11</w:t>
        <w:tab/>
        <w:t>Reorganization and Pooling of Interests</w:t>
      </w:r>
      <w:r>
        <w:rPr>
          <w:sz w:val="20"/>
          <w:szCs w:val="20"/>
          <w:color w:val="auto"/>
        </w:rPr>
        <w:tab/>
      </w:r>
      <w:r>
        <w:rPr>
          <w:rFonts w:ascii="Courier New" w:cs="Courier New" w:eastAsia="Courier New" w:hAnsi="Courier New"/>
          <w:sz w:val="16"/>
          <w:szCs w:val="16"/>
          <w:color w:val="auto"/>
        </w:rPr>
        <w:t>13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4.12</w:t>
        <w:tab/>
        <w:t>Brokers and Finders</w:t>
      </w:r>
      <w:r>
        <w:rPr>
          <w:sz w:val="20"/>
          <w:szCs w:val="20"/>
          <w:color w:val="auto"/>
        </w:rPr>
        <w:tab/>
      </w:r>
      <w:r>
        <w:rPr>
          <w:rFonts w:ascii="Courier New" w:cs="Courier New" w:eastAsia="Courier New" w:hAnsi="Courier New"/>
          <w:sz w:val="16"/>
          <w:szCs w:val="16"/>
          <w:color w:val="auto"/>
        </w:rPr>
        <w:t>13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4.13</w:t>
        <w:tab/>
        <w:t>Ownership of Company Common Stock</w:t>
      </w:r>
      <w:r>
        <w:rPr>
          <w:sz w:val="20"/>
          <w:szCs w:val="20"/>
          <w:color w:val="auto"/>
        </w:rPr>
        <w:tab/>
      </w:r>
      <w:r>
        <w:rPr>
          <w:rFonts w:ascii="Courier New" w:cs="Courier New" w:eastAsia="Courier New" w:hAnsi="Courier New"/>
          <w:sz w:val="16"/>
          <w:szCs w:val="16"/>
          <w:color w:val="auto"/>
        </w:rPr>
        <w:t>13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4.14</w:t>
        <w:tab/>
        <w:t>Subsidiary</w:t>
      </w:r>
      <w:r>
        <w:rPr>
          <w:sz w:val="20"/>
          <w:szCs w:val="20"/>
          <w:color w:val="auto"/>
        </w:rPr>
        <w:tab/>
      </w:r>
      <w:r>
        <w:rPr>
          <w:rFonts w:ascii="Courier New" w:cs="Courier New" w:eastAsia="Courier New" w:hAnsi="Courier New"/>
          <w:sz w:val="16"/>
          <w:szCs w:val="16"/>
          <w:color w:val="auto"/>
        </w:rPr>
        <w:t>13</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5.1</w:t>
        <w:tab/>
        <w:t>Organization and Qualification</w:t>
      </w:r>
      <w:r>
        <w:rPr>
          <w:sz w:val="20"/>
          <w:szCs w:val="20"/>
          <w:color w:val="auto"/>
        </w:rPr>
        <w:tab/>
      </w:r>
      <w:r>
        <w:rPr>
          <w:rFonts w:ascii="Courier New" w:cs="Courier New" w:eastAsia="Courier New" w:hAnsi="Courier New"/>
          <w:sz w:val="16"/>
          <w:szCs w:val="16"/>
          <w:color w:val="auto"/>
        </w:rPr>
        <w:t>14</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5.2</w:t>
        <w:tab/>
        <w:t>Capitalization</w:t>
      </w:r>
      <w:r>
        <w:rPr>
          <w:sz w:val="20"/>
          <w:szCs w:val="20"/>
          <w:color w:val="auto"/>
        </w:rPr>
        <w:tab/>
      </w:r>
      <w:r>
        <w:rPr>
          <w:rFonts w:ascii="Courier New" w:cs="Courier New" w:eastAsia="Courier New" w:hAnsi="Courier New"/>
          <w:sz w:val="16"/>
          <w:szCs w:val="16"/>
          <w:color w:val="auto"/>
        </w:rPr>
        <w:t>14</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5.3</w:t>
        <w:tab/>
        <w:t>Subsidiaries</w:t>
      </w:r>
      <w:r>
        <w:rPr>
          <w:sz w:val="20"/>
          <w:szCs w:val="20"/>
          <w:color w:val="auto"/>
        </w:rPr>
        <w:tab/>
      </w:r>
      <w:r>
        <w:rPr>
          <w:rFonts w:ascii="Courier New" w:cs="Courier New" w:eastAsia="Courier New" w:hAnsi="Courier New"/>
          <w:sz w:val="16"/>
          <w:szCs w:val="16"/>
          <w:color w:val="auto"/>
        </w:rPr>
        <w:t>15</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5.4</w:t>
        <w:tab/>
        <w:t>Authority; Non-Contravention; Approvals</w:t>
      </w:r>
      <w:r>
        <w:rPr>
          <w:sz w:val="20"/>
          <w:szCs w:val="20"/>
          <w:color w:val="auto"/>
        </w:rPr>
        <w:tab/>
      </w:r>
      <w:r>
        <w:rPr>
          <w:rFonts w:ascii="Courier New" w:cs="Courier New" w:eastAsia="Courier New" w:hAnsi="Courier New"/>
          <w:sz w:val="16"/>
          <w:szCs w:val="16"/>
          <w:color w:val="auto"/>
        </w:rPr>
        <w:t>15</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5.5</w:t>
        <w:tab/>
        <w:t>Reports and Financial Statements</w:t>
      </w:r>
      <w:r>
        <w:rPr>
          <w:sz w:val="20"/>
          <w:szCs w:val="20"/>
          <w:color w:val="auto"/>
        </w:rPr>
        <w:tab/>
      </w:r>
      <w:r>
        <w:rPr>
          <w:rFonts w:ascii="Courier New" w:cs="Courier New" w:eastAsia="Courier New" w:hAnsi="Courier New"/>
          <w:sz w:val="16"/>
          <w:szCs w:val="16"/>
          <w:color w:val="auto"/>
        </w:rPr>
        <w:t>17</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5.6</w:t>
        <w:tab/>
        <w:t>Absence of Undisclosed Liabilities</w:t>
      </w:r>
      <w:r>
        <w:rPr>
          <w:sz w:val="20"/>
          <w:szCs w:val="20"/>
          <w:color w:val="auto"/>
        </w:rPr>
        <w:tab/>
      </w:r>
      <w:r>
        <w:rPr>
          <w:rFonts w:ascii="Courier New" w:cs="Courier New" w:eastAsia="Courier New" w:hAnsi="Courier New"/>
          <w:sz w:val="16"/>
          <w:szCs w:val="16"/>
          <w:color w:val="auto"/>
        </w:rPr>
        <w:t>17</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5.7</w:t>
        <w:tab/>
        <w:t>Absence of Certain Changes or Events</w:t>
      </w:r>
      <w:r>
        <w:rPr>
          <w:sz w:val="20"/>
          <w:szCs w:val="20"/>
          <w:color w:val="auto"/>
        </w:rPr>
        <w:tab/>
      </w:r>
      <w:r>
        <w:rPr>
          <w:rFonts w:ascii="Courier New" w:cs="Courier New" w:eastAsia="Courier New" w:hAnsi="Courier New"/>
          <w:sz w:val="16"/>
          <w:szCs w:val="16"/>
          <w:color w:val="auto"/>
        </w:rPr>
        <w:t>18</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5.8</w:t>
        <w:tab/>
        <w:t>Litigation</w:t>
      </w:r>
      <w:r>
        <w:rPr>
          <w:sz w:val="20"/>
          <w:szCs w:val="20"/>
          <w:color w:val="auto"/>
        </w:rPr>
        <w:tab/>
      </w:r>
      <w:r>
        <w:rPr>
          <w:rFonts w:ascii="Courier New" w:cs="Courier New" w:eastAsia="Courier New" w:hAnsi="Courier New"/>
          <w:sz w:val="16"/>
          <w:szCs w:val="16"/>
          <w:color w:val="auto"/>
        </w:rPr>
        <w:t>18</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5.9</w:t>
        <w:tab/>
        <w:t>Registration Statement and Proxy Statement</w:t>
      </w:r>
      <w:r>
        <w:rPr>
          <w:sz w:val="20"/>
          <w:szCs w:val="20"/>
          <w:color w:val="auto"/>
        </w:rPr>
        <w:tab/>
      </w:r>
      <w:r>
        <w:rPr>
          <w:rFonts w:ascii="Courier New" w:cs="Courier New" w:eastAsia="Courier New" w:hAnsi="Courier New"/>
          <w:sz w:val="16"/>
          <w:szCs w:val="16"/>
          <w:color w:val="auto"/>
        </w:rPr>
        <w:t>18</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5.10</w:t>
        <w:tab/>
        <w:t>No Violation of Law</w:t>
      </w:r>
      <w:r>
        <w:rPr>
          <w:sz w:val="20"/>
          <w:szCs w:val="20"/>
          <w:color w:val="auto"/>
        </w:rPr>
        <w:tab/>
      </w:r>
      <w:r>
        <w:rPr>
          <w:rFonts w:ascii="Courier New" w:cs="Courier New" w:eastAsia="Courier New" w:hAnsi="Courier New"/>
          <w:sz w:val="16"/>
          <w:szCs w:val="16"/>
          <w:color w:val="auto"/>
        </w:rPr>
        <w:t>19</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5.11</w:t>
        <w:tab/>
        <w:t>Compliance with Agreements</w:t>
      </w:r>
      <w:r>
        <w:rPr>
          <w:sz w:val="20"/>
          <w:szCs w:val="20"/>
          <w:color w:val="auto"/>
        </w:rPr>
        <w:tab/>
      </w:r>
      <w:r>
        <w:rPr>
          <w:rFonts w:ascii="Courier New" w:cs="Courier New" w:eastAsia="Courier New" w:hAnsi="Courier New"/>
          <w:sz w:val="16"/>
          <w:szCs w:val="16"/>
          <w:color w:val="auto"/>
        </w:rPr>
        <w:t>19</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5.12</w:t>
        <w:tab/>
        <w:t>Taxes</w:t>
      </w:r>
      <w:r>
        <w:rPr>
          <w:sz w:val="20"/>
          <w:szCs w:val="20"/>
          <w:color w:val="auto"/>
        </w:rPr>
        <w:tab/>
      </w:r>
      <w:r>
        <w:rPr>
          <w:rFonts w:ascii="Courier New" w:cs="Courier New" w:eastAsia="Courier New" w:hAnsi="Courier New"/>
          <w:sz w:val="16"/>
          <w:szCs w:val="16"/>
          <w:color w:val="auto"/>
        </w:rPr>
        <w:t>20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5.13</w:t>
        <w:tab/>
        <w:t>Employee Benefit Plans; ERISA</w:t>
      </w:r>
      <w:r>
        <w:rPr>
          <w:sz w:val="20"/>
          <w:szCs w:val="20"/>
          <w:color w:val="auto"/>
        </w:rPr>
        <w:tab/>
      </w:r>
      <w:r>
        <w:rPr>
          <w:rFonts w:ascii="Courier New" w:cs="Courier New" w:eastAsia="Courier New" w:hAnsi="Courier New"/>
          <w:sz w:val="16"/>
          <w:szCs w:val="16"/>
          <w:color w:val="auto"/>
        </w:rPr>
        <w:t>21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5.14</w:t>
        <w:tab/>
        <w:t>Labor Controversies</w:t>
      </w:r>
      <w:r>
        <w:rPr>
          <w:sz w:val="20"/>
          <w:szCs w:val="20"/>
          <w:color w:val="auto"/>
        </w:rPr>
        <w:tab/>
      </w:r>
      <w:r>
        <w:rPr>
          <w:rFonts w:ascii="Courier New" w:cs="Courier New" w:eastAsia="Courier New" w:hAnsi="Courier New"/>
          <w:sz w:val="16"/>
          <w:szCs w:val="16"/>
          <w:color w:val="auto"/>
        </w:rPr>
        <w:t>23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5.15</w:t>
        <w:tab/>
        <w:t>Environmental Matters</w:t>
      </w:r>
      <w:r>
        <w:rPr>
          <w:sz w:val="20"/>
          <w:szCs w:val="20"/>
          <w:color w:val="auto"/>
        </w:rPr>
        <w:tab/>
      </w:r>
      <w:r>
        <w:rPr>
          <w:rFonts w:ascii="Courier New" w:cs="Courier New" w:eastAsia="Courier New" w:hAnsi="Courier New"/>
          <w:sz w:val="16"/>
          <w:szCs w:val="16"/>
          <w:color w:val="auto"/>
        </w:rPr>
        <w:t>23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5.16</w:t>
        <w:tab/>
        <w:t>Non-Competition Agreements</w:t>
      </w:r>
      <w:r>
        <w:rPr>
          <w:sz w:val="20"/>
          <w:szCs w:val="20"/>
          <w:color w:val="auto"/>
        </w:rPr>
        <w:tab/>
      </w:r>
      <w:r>
        <w:rPr>
          <w:rFonts w:ascii="Courier New" w:cs="Courier New" w:eastAsia="Courier New" w:hAnsi="Courier New"/>
          <w:sz w:val="16"/>
          <w:szCs w:val="16"/>
          <w:color w:val="auto"/>
        </w:rPr>
        <w:t>24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5.17</w:t>
        <w:tab/>
        <w:t>Title to Assets</w:t>
      </w:r>
      <w:r>
        <w:rPr>
          <w:sz w:val="20"/>
          <w:szCs w:val="20"/>
          <w:color w:val="auto"/>
        </w:rPr>
        <w:tab/>
      </w:r>
      <w:r>
        <w:rPr>
          <w:rFonts w:ascii="Courier New" w:cs="Courier New" w:eastAsia="Courier New" w:hAnsi="Courier New"/>
          <w:sz w:val="16"/>
          <w:szCs w:val="16"/>
          <w:color w:val="auto"/>
        </w:rPr>
        <w:t>25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5.18</w:t>
        <w:tab/>
        <w:t>Reorganization and Pooling of Interests</w:t>
      </w:r>
      <w:r>
        <w:rPr>
          <w:sz w:val="20"/>
          <w:szCs w:val="20"/>
          <w:color w:val="auto"/>
        </w:rPr>
        <w:tab/>
      </w:r>
      <w:r>
        <w:rPr>
          <w:rFonts w:ascii="Courier New" w:cs="Courier New" w:eastAsia="Courier New" w:hAnsi="Courier New"/>
          <w:sz w:val="16"/>
          <w:szCs w:val="16"/>
          <w:color w:val="auto"/>
        </w:rPr>
        <w:t>25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5.19</w:t>
        <w:tab/>
        <w:t>Company Stockholders' Approval</w:t>
      </w:r>
      <w:r>
        <w:rPr>
          <w:sz w:val="20"/>
          <w:szCs w:val="20"/>
          <w:color w:val="auto"/>
        </w:rPr>
        <w:tab/>
      </w:r>
      <w:r>
        <w:rPr>
          <w:rFonts w:ascii="Courier New" w:cs="Courier New" w:eastAsia="Courier New" w:hAnsi="Courier New"/>
          <w:sz w:val="16"/>
          <w:szCs w:val="16"/>
          <w:color w:val="auto"/>
        </w:rPr>
        <w:t>25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5.20</w:t>
        <w:tab/>
        <w:t>Brokers and Finders</w:t>
      </w:r>
      <w:r>
        <w:rPr>
          <w:sz w:val="20"/>
          <w:szCs w:val="20"/>
          <w:color w:val="auto"/>
        </w:rPr>
        <w:tab/>
      </w:r>
      <w:r>
        <w:rPr>
          <w:rFonts w:ascii="Courier New" w:cs="Courier New" w:eastAsia="Courier New" w:hAnsi="Courier New"/>
          <w:sz w:val="16"/>
          <w:szCs w:val="16"/>
          <w:color w:val="auto"/>
        </w:rPr>
        <w:t>25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5.21</w:t>
        <w:tab/>
        <w:t>Opinion of Financial Advisor</w:t>
      </w:r>
      <w:r>
        <w:rPr>
          <w:sz w:val="20"/>
          <w:szCs w:val="20"/>
          <w:color w:val="auto"/>
        </w:rPr>
        <w:tab/>
      </w:r>
      <w:r>
        <w:rPr>
          <w:rFonts w:ascii="Courier New" w:cs="Courier New" w:eastAsia="Courier New" w:hAnsi="Courier New"/>
          <w:sz w:val="16"/>
          <w:szCs w:val="16"/>
          <w:color w:val="auto"/>
        </w:rPr>
        <w:t>26</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1" w:lineRule="exact"/>
        <w:rPr>
          <w:sz w:val="20"/>
          <w:szCs w:val="20"/>
          <w:color w:val="auto"/>
        </w:rPr>
      </w:pP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6.1</w:t>
        <w:tab/>
        <w:t>Conduct of Business by the Company Pending the Merger</w:t>
      </w:r>
      <w:r>
        <w:rPr>
          <w:sz w:val="20"/>
          <w:szCs w:val="20"/>
          <w:color w:val="auto"/>
        </w:rPr>
        <w:tab/>
      </w:r>
      <w:r>
        <w:rPr>
          <w:rFonts w:ascii="Courier New" w:cs="Courier New" w:eastAsia="Courier New" w:hAnsi="Courier New"/>
          <w:sz w:val="16"/>
          <w:szCs w:val="16"/>
          <w:color w:val="auto"/>
        </w:rPr>
        <w:t>26</w:t>
      </w:r>
    </w:p>
    <w:p>
      <w:pPr>
        <w:spacing w:after="0"/>
        <w:tabs>
          <w:tab w:leader="none" w:pos="136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6"/>
          <w:szCs w:val="16"/>
          <w:color w:val="auto"/>
        </w:rPr>
        <w:t>Conduct of Business by Parent and Subsidiary</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Pending the Merger</w:t>
      </w:r>
      <w:r>
        <w:rPr>
          <w:sz w:val="20"/>
          <w:szCs w:val="20"/>
          <w:color w:val="auto"/>
        </w:rPr>
        <w:tab/>
      </w:r>
      <w:r>
        <w:rPr>
          <w:rFonts w:ascii="Courier New" w:cs="Courier New" w:eastAsia="Courier New" w:hAnsi="Courier New"/>
          <w:sz w:val="16"/>
          <w:szCs w:val="16"/>
          <w:color w:val="auto"/>
        </w:rPr>
        <w:t>29</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6.3</w:t>
        <w:tab/>
        <w:t>Control of the Company's Operations</w:t>
      </w:r>
      <w:r>
        <w:rPr>
          <w:sz w:val="20"/>
          <w:szCs w:val="20"/>
          <w:color w:val="auto"/>
        </w:rPr>
        <w:tab/>
      </w:r>
      <w:r>
        <w:rPr>
          <w:rFonts w:ascii="Courier New" w:cs="Courier New" w:eastAsia="Courier New" w:hAnsi="Courier New"/>
          <w:sz w:val="16"/>
          <w:szCs w:val="16"/>
          <w:color w:val="auto"/>
        </w:rPr>
        <w:t>30</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6.4</w:t>
        <w:tab/>
        <w:t>Control of Parent's Operations</w:t>
      </w:r>
      <w:r>
        <w:rPr>
          <w:sz w:val="20"/>
          <w:szCs w:val="20"/>
          <w:color w:val="auto"/>
        </w:rPr>
        <w:tab/>
      </w:r>
      <w:r>
        <w:rPr>
          <w:rFonts w:ascii="Courier New" w:cs="Courier New" w:eastAsia="Courier New" w:hAnsi="Courier New"/>
          <w:sz w:val="16"/>
          <w:szCs w:val="16"/>
          <w:color w:val="auto"/>
        </w:rPr>
        <w:t>30</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6.5</w:t>
        <w:tab/>
        <w:t>Acquisition Transactions</w:t>
      </w:r>
      <w:r>
        <w:rPr>
          <w:sz w:val="20"/>
          <w:szCs w:val="20"/>
          <w:color w:val="auto"/>
        </w:rPr>
        <w:tab/>
      </w:r>
      <w:r>
        <w:rPr>
          <w:rFonts w:ascii="Courier New" w:cs="Courier New" w:eastAsia="Courier New" w:hAnsi="Courier New"/>
          <w:sz w:val="16"/>
          <w:szCs w:val="16"/>
          <w:color w:val="auto"/>
        </w:rPr>
        <w:t>30</w:t>
      </w:r>
    </w:p>
    <w:p>
      <w:pPr>
        <w:sectPr>
          <w:pgSz w:w="11900" w:h="16838" w:orient="portrait"/>
          <w:cols w:equalWidth="0" w:num="1">
            <w:col w:w="10219"/>
          </w:cols>
          <w:pgMar w:left="240" w:top="919" w:right="1440" w:bottom="1440" w:gutter="0" w:footer="0" w:header="0"/>
        </w:sectPr>
      </w:pPr>
    </w:p>
    <w:bookmarkStart w:id="16" w:name="page17"/>
    <w:bookmarkEnd w:id="16"/>
    <w:p>
      <w:pPr>
        <w:ind w:left="4120"/>
        <w:spacing w:after="0"/>
        <w:rPr>
          <w:sz w:val="20"/>
          <w:szCs w:val="20"/>
          <w:color w:val="auto"/>
        </w:rPr>
      </w:pPr>
      <w:r>
        <w:rPr>
          <w:rFonts w:ascii="Courier New" w:cs="Courier New" w:eastAsia="Courier New" w:hAnsi="Courier New"/>
          <w:sz w:val="18"/>
          <w:szCs w:val="18"/>
          <w:color w:val="auto"/>
        </w:rPr>
        <w:t>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7.1</w:t>
        <w:tab/>
        <w:t>Access to Information</w:t>
      </w:r>
      <w:r>
        <w:rPr>
          <w:sz w:val="20"/>
          <w:szCs w:val="20"/>
          <w:color w:val="auto"/>
        </w:rPr>
        <w:tab/>
      </w:r>
      <w:r>
        <w:rPr>
          <w:rFonts w:ascii="Courier New" w:cs="Courier New" w:eastAsia="Courier New" w:hAnsi="Courier New"/>
          <w:sz w:val="16"/>
          <w:szCs w:val="16"/>
          <w:color w:val="auto"/>
        </w:rPr>
        <w:t>31</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7.2</w:t>
        <w:tab/>
        <w:t>Registration Statement and Proxy Statement</w:t>
      </w:r>
      <w:r>
        <w:rPr>
          <w:sz w:val="20"/>
          <w:szCs w:val="20"/>
          <w:color w:val="auto"/>
        </w:rPr>
        <w:tab/>
      </w:r>
      <w:r>
        <w:rPr>
          <w:rFonts w:ascii="Courier New" w:cs="Courier New" w:eastAsia="Courier New" w:hAnsi="Courier New"/>
          <w:sz w:val="16"/>
          <w:szCs w:val="16"/>
          <w:color w:val="auto"/>
        </w:rPr>
        <w:t>32</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7.3</w:t>
        <w:tab/>
        <w:t>Stockholders' Approvals</w:t>
      </w:r>
      <w:r>
        <w:rPr>
          <w:sz w:val="20"/>
          <w:szCs w:val="20"/>
          <w:color w:val="auto"/>
        </w:rPr>
        <w:tab/>
      </w:r>
      <w:r>
        <w:rPr>
          <w:rFonts w:ascii="Courier New" w:cs="Courier New" w:eastAsia="Courier New" w:hAnsi="Courier New"/>
          <w:sz w:val="16"/>
          <w:szCs w:val="16"/>
          <w:color w:val="auto"/>
        </w:rPr>
        <w:t>33</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7.4</w:t>
        <w:tab/>
        <w:t>Compliance with the Securities Act</w:t>
      </w:r>
      <w:r>
        <w:rPr>
          <w:sz w:val="20"/>
          <w:szCs w:val="20"/>
          <w:color w:val="auto"/>
        </w:rPr>
        <w:tab/>
      </w:r>
      <w:r>
        <w:rPr>
          <w:rFonts w:ascii="Courier New" w:cs="Courier New" w:eastAsia="Courier New" w:hAnsi="Courier New"/>
          <w:sz w:val="16"/>
          <w:szCs w:val="16"/>
          <w:color w:val="auto"/>
        </w:rPr>
        <w:t>33</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7.5</w:t>
        <w:tab/>
        <w:t>Exchange Listing</w:t>
      </w:r>
      <w:r>
        <w:rPr>
          <w:sz w:val="20"/>
          <w:szCs w:val="20"/>
          <w:color w:val="auto"/>
        </w:rPr>
        <w:tab/>
      </w:r>
      <w:r>
        <w:rPr>
          <w:rFonts w:ascii="Courier New" w:cs="Courier New" w:eastAsia="Courier New" w:hAnsi="Courier New"/>
          <w:sz w:val="16"/>
          <w:szCs w:val="16"/>
          <w:color w:val="auto"/>
        </w:rPr>
        <w:t>33</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7.6</w:t>
        <w:tab/>
        <w:t>Expenses and Fees</w:t>
      </w:r>
      <w:r>
        <w:rPr>
          <w:sz w:val="20"/>
          <w:szCs w:val="20"/>
          <w:color w:val="auto"/>
        </w:rPr>
        <w:tab/>
      </w:r>
      <w:r>
        <w:rPr>
          <w:rFonts w:ascii="Courier New" w:cs="Courier New" w:eastAsia="Courier New" w:hAnsi="Courier New"/>
          <w:sz w:val="16"/>
          <w:szCs w:val="16"/>
          <w:color w:val="auto"/>
        </w:rPr>
        <w:t>33</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7.7</w:t>
        <w:tab/>
        <w:t>Agreement to Cooperate</w:t>
      </w:r>
      <w:r>
        <w:rPr>
          <w:sz w:val="20"/>
          <w:szCs w:val="20"/>
          <w:color w:val="auto"/>
        </w:rPr>
        <w:tab/>
      </w:r>
      <w:r>
        <w:rPr>
          <w:rFonts w:ascii="Courier New" w:cs="Courier New" w:eastAsia="Courier New" w:hAnsi="Courier New"/>
          <w:sz w:val="16"/>
          <w:szCs w:val="16"/>
          <w:color w:val="auto"/>
        </w:rPr>
        <w:t>34</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7.8</w:t>
        <w:tab/>
        <w:t>Public Statements</w:t>
      </w:r>
      <w:r>
        <w:rPr>
          <w:sz w:val="20"/>
          <w:szCs w:val="20"/>
          <w:color w:val="auto"/>
        </w:rPr>
        <w:tab/>
      </w:r>
      <w:r>
        <w:rPr>
          <w:rFonts w:ascii="Courier New" w:cs="Courier New" w:eastAsia="Courier New" w:hAnsi="Courier New"/>
          <w:sz w:val="16"/>
          <w:szCs w:val="16"/>
          <w:color w:val="auto"/>
        </w:rPr>
        <w:t>36</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7.9</w:t>
        <w:tab/>
        <w:t>Option Plans</w:t>
      </w:r>
      <w:r>
        <w:rPr>
          <w:sz w:val="20"/>
          <w:szCs w:val="20"/>
          <w:color w:val="auto"/>
        </w:rPr>
        <w:tab/>
      </w:r>
      <w:r>
        <w:rPr>
          <w:rFonts w:ascii="Courier New" w:cs="Courier New" w:eastAsia="Courier New" w:hAnsi="Courier New"/>
          <w:sz w:val="16"/>
          <w:szCs w:val="16"/>
          <w:color w:val="auto"/>
        </w:rPr>
        <w:t>36</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7.10</w:t>
        <w:tab/>
        <w:t>Notification of Certain Matters</w:t>
      </w:r>
      <w:r>
        <w:rPr>
          <w:sz w:val="20"/>
          <w:szCs w:val="20"/>
          <w:color w:val="auto"/>
        </w:rPr>
        <w:tab/>
      </w:r>
      <w:r>
        <w:rPr>
          <w:rFonts w:ascii="Courier New" w:cs="Courier New" w:eastAsia="Courier New" w:hAnsi="Courier New"/>
          <w:sz w:val="16"/>
          <w:szCs w:val="16"/>
          <w:color w:val="auto"/>
        </w:rPr>
        <w:t>37</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7.11</w:t>
        <w:tab/>
        <w:t>Directors' and Officers' Indemnification</w:t>
      </w:r>
      <w:r>
        <w:rPr>
          <w:sz w:val="20"/>
          <w:szCs w:val="20"/>
          <w:color w:val="auto"/>
        </w:rPr>
        <w:tab/>
      </w:r>
      <w:r>
        <w:rPr>
          <w:rFonts w:ascii="Courier New" w:cs="Courier New" w:eastAsia="Courier New" w:hAnsi="Courier New"/>
          <w:sz w:val="16"/>
          <w:szCs w:val="16"/>
          <w:color w:val="auto"/>
        </w:rPr>
        <w:t>37</w:t>
      </w:r>
    </w:p>
    <w:p>
      <w:pPr>
        <w:spacing w:after="0"/>
        <w:tabs>
          <w:tab w:leader="none" w:pos="1460" w:val="left"/>
        </w:tabs>
        <w:rPr>
          <w:sz w:val="20"/>
          <w:szCs w:val="20"/>
          <w:color w:val="auto"/>
        </w:rPr>
      </w:pPr>
      <w:r>
        <w:rPr>
          <w:rFonts w:ascii="Courier New" w:cs="Courier New" w:eastAsia="Courier New" w:hAnsi="Courier New"/>
          <w:sz w:val="18"/>
          <w:szCs w:val="18"/>
          <w:color w:val="auto"/>
        </w:rPr>
        <w:t>Section 7.12</w:t>
      </w:r>
      <w:r>
        <w:rPr>
          <w:sz w:val="20"/>
          <w:szCs w:val="20"/>
          <w:color w:val="auto"/>
        </w:rPr>
        <w:tab/>
      </w:r>
      <w:r>
        <w:rPr>
          <w:rFonts w:ascii="Courier New" w:cs="Courier New" w:eastAsia="Courier New" w:hAnsi="Courier New"/>
          <w:sz w:val="16"/>
          <w:szCs w:val="16"/>
          <w:color w:val="auto"/>
        </w:rPr>
        <w:t>Corrections to the Proxy Statement/Prospectus and</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Registration Statement</w:t>
      </w:r>
      <w:r>
        <w:rPr>
          <w:sz w:val="20"/>
          <w:szCs w:val="20"/>
          <w:color w:val="auto"/>
        </w:rPr>
        <w:tab/>
      </w:r>
      <w:r>
        <w:rPr>
          <w:rFonts w:ascii="Courier New" w:cs="Courier New" w:eastAsia="Courier New" w:hAnsi="Courier New"/>
          <w:sz w:val="16"/>
          <w:szCs w:val="16"/>
          <w:color w:val="auto"/>
        </w:rPr>
        <w:t>39</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7.13.</w:t>
        <w:tab/>
        <w:t>Assumption of Registration Rights Agreements</w:t>
      </w:r>
      <w:r>
        <w:rPr>
          <w:sz w:val="20"/>
          <w:szCs w:val="20"/>
          <w:color w:val="auto"/>
        </w:rPr>
        <w:tab/>
      </w:r>
      <w:r>
        <w:rPr>
          <w:rFonts w:ascii="Courier New" w:cs="Courier New" w:eastAsia="Courier New" w:hAnsi="Courier New"/>
          <w:sz w:val="16"/>
          <w:szCs w:val="16"/>
          <w:color w:val="auto"/>
        </w:rPr>
        <w:t>39</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7.14.</w:t>
        <w:tab/>
        <w:t>Company Employees</w:t>
      </w:r>
      <w:r>
        <w:rPr>
          <w:sz w:val="20"/>
          <w:szCs w:val="20"/>
          <w:color w:val="auto"/>
        </w:rPr>
        <w:tab/>
      </w:r>
      <w:r>
        <w:rPr>
          <w:rFonts w:ascii="Courier New" w:cs="Courier New" w:eastAsia="Courier New" w:hAnsi="Courier New"/>
          <w:sz w:val="16"/>
          <w:szCs w:val="16"/>
          <w:color w:val="auto"/>
        </w:rPr>
        <w:t>39</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CONDITIONS</w:t>
      </w:r>
    </w:p>
    <w:p>
      <w:pPr>
        <w:spacing w:after="0" w:line="201" w:lineRule="exact"/>
        <w:rPr>
          <w:sz w:val="20"/>
          <w:szCs w:val="20"/>
          <w:color w:val="auto"/>
        </w:rPr>
      </w:pP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8.1</w:t>
        <w:tab/>
        <w:t>Conditions to Each Party's Obligation to Effect the Merger</w:t>
      </w:r>
      <w:r>
        <w:rPr>
          <w:sz w:val="20"/>
          <w:szCs w:val="20"/>
          <w:color w:val="auto"/>
        </w:rPr>
        <w:tab/>
      </w:r>
      <w:r>
        <w:rPr>
          <w:rFonts w:ascii="Courier New" w:cs="Courier New" w:eastAsia="Courier New" w:hAnsi="Courier New"/>
          <w:sz w:val="16"/>
          <w:szCs w:val="16"/>
          <w:color w:val="auto"/>
        </w:rPr>
        <w:t>39</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8.2</w:t>
        <w:tab/>
        <w:t>Conditions to Obligation of the Company to Effect the Merger</w:t>
      </w:r>
      <w:r>
        <w:rPr>
          <w:sz w:val="20"/>
          <w:szCs w:val="20"/>
          <w:color w:val="auto"/>
        </w:rPr>
        <w:tab/>
      </w:r>
      <w:r>
        <w:rPr>
          <w:rFonts w:ascii="Courier New" w:cs="Courier New" w:eastAsia="Courier New" w:hAnsi="Courier New"/>
          <w:sz w:val="16"/>
          <w:szCs w:val="16"/>
          <w:color w:val="auto"/>
        </w:rPr>
        <w:t>41</w:t>
      </w:r>
    </w:p>
    <w:p>
      <w:pPr>
        <w:spacing w:after="0"/>
        <w:tabs>
          <w:tab w:leader="none" w:pos="1360" w:val="left"/>
        </w:tabs>
        <w:rPr>
          <w:sz w:val="20"/>
          <w:szCs w:val="20"/>
          <w:color w:val="auto"/>
        </w:rPr>
      </w:pPr>
      <w:r>
        <w:rPr>
          <w:rFonts w:ascii="Courier New" w:cs="Courier New" w:eastAsia="Courier New" w:hAnsi="Courier New"/>
          <w:sz w:val="18"/>
          <w:szCs w:val="18"/>
          <w:color w:val="auto"/>
        </w:rPr>
        <w:t>Section 8.3</w:t>
      </w:r>
      <w:r>
        <w:rPr>
          <w:sz w:val="20"/>
          <w:szCs w:val="20"/>
          <w:color w:val="auto"/>
        </w:rPr>
        <w:tab/>
      </w:r>
      <w:r>
        <w:rPr>
          <w:rFonts w:ascii="Courier New" w:cs="Courier New" w:eastAsia="Courier New" w:hAnsi="Courier New"/>
          <w:sz w:val="16"/>
          <w:szCs w:val="16"/>
          <w:color w:val="auto"/>
        </w:rPr>
        <w:t>Conditions to Obligations of Parent and Subsidiary to</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Effect the Merger</w:t>
      </w:r>
      <w:r>
        <w:rPr>
          <w:sz w:val="20"/>
          <w:szCs w:val="20"/>
          <w:color w:val="auto"/>
        </w:rPr>
        <w:tab/>
      </w:r>
      <w:r>
        <w:rPr>
          <w:rFonts w:ascii="Courier New" w:cs="Courier New" w:eastAsia="Courier New" w:hAnsi="Courier New"/>
          <w:sz w:val="16"/>
          <w:szCs w:val="16"/>
          <w:color w:val="auto"/>
        </w:rPr>
        <w:t>41</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TERMINATION, AMENDMENT AND WAIVER</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9.1</w:t>
        <w:tab/>
        <w:t>Termination</w:t>
      </w:r>
      <w:r>
        <w:rPr>
          <w:sz w:val="20"/>
          <w:szCs w:val="20"/>
          <w:color w:val="auto"/>
        </w:rPr>
        <w:tab/>
      </w:r>
      <w:r>
        <w:rPr>
          <w:rFonts w:ascii="Courier New" w:cs="Courier New" w:eastAsia="Courier New" w:hAnsi="Courier New"/>
          <w:sz w:val="16"/>
          <w:szCs w:val="16"/>
          <w:color w:val="auto"/>
        </w:rPr>
        <w:t>42</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9.2</w:t>
        <w:tab/>
        <w:t>Effect of Termination</w:t>
      </w:r>
      <w:r>
        <w:rPr>
          <w:sz w:val="20"/>
          <w:szCs w:val="20"/>
          <w:color w:val="auto"/>
        </w:rPr>
        <w:tab/>
      </w:r>
      <w:r>
        <w:rPr>
          <w:rFonts w:ascii="Courier New" w:cs="Courier New" w:eastAsia="Courier New" w:hAnsi="Courier New"/>
          <w:sz w:val="16"/>
          <w:szCs w:val="16"/>
          <w:color w:val="auto"/>
        </w:rPr>
        <w:t>44</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9.3</w:t>
        <w:tab/>
        <w:t>Amendment</w:t>
      </w:r>
      <w:r>
        <w:rPr>
          <w:sz w:val="20"/>
          <w:szCs w:val="20"/>
          <w:color w:val="auto"/>
        </w:rPr>
        <w:tab/>
      </w:r>
      <w:r>
        <w:rPr>
          <w:rFonts w:ascii="Courier New" w:cs="Courier New" w:eastAsia="Courier New" w:hAnsi="Courier New"/>
          <w:sz w:val="16"/>
          <w:szCs w:val="16"/>
          <w:color w:val="auto"/>
        </w:rPr>
        <w:t>44</w:t>
      </w:r>
    </w:p>
    <w:p>
      <w:pPr>
        <w:spacing w:after="0"/>
        <w:tabs>
          <w:tab w:leader="none" w:pos="1360" w:val="left"/>
          <w:tab w:leader="dot" w:pos="8000" w:val="left"/>
        </w:tabs>
        <w:rPr>
          <w:sz w:val="20"/>
          <w:szCs w:val="20"/>
          <w:color w:val="auto"/>
        </w:rPr>
      </w:pPr>
      <w:r>
        <w:rPr>
          <w:rFonts w:ascii="Courier New" w:cs="Courier New" w:eastAsia="Courier New" w:hAnsi="Courier New"/>
          <w:sz w:val="18"/>
          <w:szCs w:val="18"/>
          <w:color w:val="auto"/>
        </w:rPr>
        <w:t>Section 9.4</w:t>
        <w:tab/>
        <w:t>Waiver</w:t>
      </w:r>
      <w:r>
        <w:rPr>
          <w:sz w:val="20"/>
          <w:szCs w:val="20"/>
          <w:color w:val="auto"/>
        </w:rPr>
        <w:tab/>
      </w:r>
      <w:r>
        <w:rPr>
          <w:rFonts w:ascii="Courier New" w:cs="Courier New" w:eastAsia="Courier New" w:hAnsi="Courier New"/>
          <w:sz w:val="16"/>
          <w:szCs w:val="16"/>
          <w:color w:val="auto"/>
        </w:rPr>
        <w:t>44</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10.1</w:t>
        <w:tab/>
        <w:t>Non-Survival of Representations and Warranties</w:t>
      </w:r>
      <w:r>
        <w:rPr>
          <w:sz w:val="20"/>
          <w:szCs w:val="20"/>
          <w:color w:val="auto"/>
        </w:rPr>
        <w:tab/>
      </w:r>
      <w:r>
        <w:rPr>
          <w:rFonts w:ascii="Courier New" w:cs="Courier New" w:eastAsia="Courier New" w:hAnsi="Courier New"/>
          <w:sz w:val="16"/>
          <w:szCs w:val="16"/>
          <w:color w:val="auto"/>
        </w:rPr>
        <w:t>45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10.2</w:t>
        <w:tab/>
        <w:t>Notices</w:t>
      </w:r>
      <w:r>
        <w:rPr>
          <w:sz w:val="20"/>
          <w:szCs w:val="20"/>
          <w:color w:val="auto"/>
        </w:rPr>
        <w:tab/>
      </w:r>
      <w:r>
        <w:rPr>
          <w:rFonts w:ascii="Courier New" w:cs="Courier New" w:eastAsia="Courier New" w:hAnsi="Courier New"/>
          <w:sz w:val="16"/>
          <w:szCs w:val="16"/>
          <w:color w:val="auto"/>
        </w:rPr>
        <w:t>45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10.3</w:t>
        <w:tab/>
        <w:t>Interpretation</w:t>
      </w:r>
      <w:r>
        <w:rPr>
          <w:sz w:val="20"/>
          <w:szCs w:val="20"/>
          <w:color w:val="auto"/>
        </w:rPr>
        <w:tab/>
      </w:r>
      <w:r>
        <w:rPr>
          <w:rFonts w:ascii="Courier New" w:cs="Courier New" w:eastAsia="Courier New" w:hAnsi="Courier New"/>
          <w:sz w:val="16"/>
          <w:szCs w:val="16"/>
          <w:color w:val="auto"/>
        </w:rPr>
        <w:t>46</w:t>
      </w:r>
    </w:p>
    <w:p>
      <w:pPr>
        <w:sectPr>
          <w:pgSz w:w="11900" w:h="16838" w:orient="portrait"/>
          <w:cols w:equalWidth="0" w:num="1">
            <w:col w:w="10219"/>
          </w:cols>
          <w:pgMar w:left="240" w:top="91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100" w:type="dxa"/>
            <w:vAlign w:val="bottom"/>
          </w:tcPr>
          <w:p>
            <w:pPr>
              <w:jc w:val="right"/>
              <w:ind w:right="3812"/>
              <w:spacing w:after="0"/>
              <w:rPr>
                <w:sz w:val="20"/>
                <w:szCs w:val="20"/>
                <w:color w:val="auto"/>
              </w:rPr>
            </w:pPr>
            <w:r>
              <w:rPr>
                <w:rFonts w:ascii="Courier New" w:cs="Courier New" w:eastAsia="Courier New" w:hAnsi="Courier New"/>
                <w:sz w:val="18"/>
                <w:szCs w:val="18"/>
                <w:color w:val="auto"/>
                <w:w w:val="83"/>
              </w:rPr>
              <w:t>iv</w:t>
            </w:r>
          </w:p>
        </w:tc>
      </w:tr>
      <w:tr>
        <w:trPr>
          <w:trHeight w:val="40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Section 10.4</w:t>
            </w:r>
          </w:p>
        </w:tc>
        <w:tc>
          <w:tcPr>
            <w:tcW w:w="2740" w:type="dxa"/>
            <w:vAlign w:val="bottom"/>
          </w:tcPr>
          <w:p>
            <w:pPr>
              <w:ind w:left="100"/>
              <w:spacing w:after="0"/>
              <w:rPr>
                <w:sz w:val="20"/>
                <w:szCs w:val="20"/>
                <w:color w:val="auto"/>
              </w:rPr>
            </w:pPr>
            <w:r>
              <w:rPr>
                <w:rFonts w:ascii="Courier New" w:cs="Courier New" w:eastAsia="Courier New" w:hAnsi="Courier New"/>
                <w:sz w:val="10"/>
                <w:szCs w:val="10"/>
                <w:color w:val="auto"/>
                <w:w w:val="70"/>
              </w:rPr>
              <w:t>Miscellaneous.................................................</w:t>
            </w: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c>
          <w:tcPr>
            <w:tcW w:w="2740" w:type="dxa"/>
            <w:vAlign w:val="bottom"/>
          </w:tcPr>
          <w:p>
            <w:pPr>
              <w:ind w:left="100"/>
              <w:spacing w:after="0"/>
              <w:rPr>
                <w:sz w:val="20"/>
                <w:szCs w:val="20"/>
                <w:color w:val="auto"/>
              </w:rPr>
            </w:pPr>
            <w:r>
              <w:rPr>
                <w:rFonts w:ascii="Courier New" w:cs="Courier New" w:eastAsia="Courier New" w:hAnsi="Courier New"/>
                <w:sz w:val="10"/>
                <w:szCs w:val="10"/>
                <w:color w:val="auto"/>
                <w:w w:val="70"/>
              </w:rPr>
              <w:t>Counterparts..................................................</w:t>
            </w: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c>
          <w:tcPr>
            <w:tcW w:w="2740" w:type="dxa"/>
            <w:vAlign w:val="bottom"/>
          </w:tcPr>
          <w:p>
            <w:pPr>
              <w:ind w:left="100"/>
              <w:spacing w:after="0"/>
              <w:rPr>
                <w:sz w:val="20"/>
                <w:szCs w:val="20"/>
                <w:color w:val="auto"/>
              </w:rPr>
            </w:pPr>
            <w:r>
              <w:rPr>
                <w:rFonts w:ascii="Courier New" w:cs="Courier New" w:eastAsia="Courier New" w:hAnsi="Courier New"/>
                <w:sz w:val="10"/>
                <w:szCs w:val="10"/>
                <w:color w:val="auto"/>
                <w:w w:val="70"/>
              </w:rPr>
              <w:t>Parties in Interest...........................................</w:t>
            </w: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NYDOCS02/338431 8</w:t>
      </w:r>
    </w:p>
    <w:p>
      <w:pPr>
        <w:sectPr>
          <w:pgSz w:w="11900" w:h="16838" w:orient="portrait"/>
          <w:cols w:equalWidth="0" w:num="1">
            <w:col w:w="10219"/>
          </w:cols>
          <w:pgMar w:left="240" w:top="9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6860" w:type="dxa"/>
            <w:vAlign w:val="bottom"/>
          </w:tcPr>
          <w:p>
            <w:pPr>
              <w:jc w:val="right"/>
              <w:ind w:right="3192"/>
              <w:spacing w:after="0"/>
              <w:rPr>
                <w:sz w:val="20"/>
                <w:szCs w:val="20"/>
                <w:color w:val="auto"/>
              </w:rPr>
            </w:pPr>
            <w:r>
              <w:rPr>
                <w:rFonts w:ascii="Courier New" w:cs="Courier New" w:eastAsia="Courier New" w:hAnsi="Courier New"/>
                <w:sz w:val="18"/>
                <w:szCs w:val="18"/>
                <w:color w:val="auto"/>
              </w:rPr>
              <w:t>v</w:t>
            </w:r>
          </w:p>
        </w:tc>
        <w:tc>
          <w:tcPr>
            <w:tcW w:w="1040" w:type="dxa"/>
            <w:vAlign w:val="bottom"/>
          </w:tcPr>
          <w:p>
            <w:pPr>
              <w:spacing w:after="0"/>
              <w:rPr>
                <w:sz w:val="17"/>
                <w:szCs w:val="17"/>
                <w:color w:val="auto"/>
              </w:rPr>
            </w:pPr>
          </w:p>
        </w:tc>
      </w:tr>
      <w:tr>
        <w:trPr>
          <w:trHeight w:val="608"/>
        </w:trPr>
        <w:tc>
          <w:tcPr>
            <w:tcW w:w="740" w:type="dxa"/>
            <w:vAlign w:val="bottom"/>
          </w:tcPr>
          <w:p>
            <w:pPr>
              <w:spacing w:after="0"/>
              <w:rPr>
                <w:sz w:val="24"/>
                <w:szCs w:val="24"/>
                <w:color w:val="auto"/>
              </w:rPr>
            </w:pPr>
          </w:p>
        </w:tc>
        <w:tc>
          <w:tcPr>
            <w:tcW w:w="68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GLOSSARY OF DEFINED TERMS</w:t>
            </w:r>
          </w:p>
        </w:tc>
        <w:tc>
          <w:tcPr>
            <w:tcW w:w="104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686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w w:val="92"/>
              </w:rPr>
              <w:t>Acquisition Proposal........................................................</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Acquisition Transaction.....................................................</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Affiliate Agreement.........................................................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Agreement....................................................................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Antitrust Division..........................................................</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APB No.</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16..................................................................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Business Combination........................................................</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Closing</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Closing</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Date.................................................................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Code.........................................................................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Certificates.........................................................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Common Stock.........................................................</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Disclosure Schedule.................................................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Financial Statements................................................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Options.............................................................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Permits.............................................................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Plans...............................................................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Preferred Stock.....................................................</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Representatives.....................................................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Required Statutory Approvals........................................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SEC Reports.........................................................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Stockholders' Approval..............................................</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DGCL.........................................................................</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Effective Time...............................................................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Environmental Law...........................................................</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ERISA.......................................................................</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Excess Shares................................................................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Exchange Act................................................................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Exchange Agent...............................................................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Exchange Ratio...............................................................</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Existing Credit Facilities..................................................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FTC.........................................................................</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Hazardous Substance.........................................................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HSR Act</w:t>
            </w:r>
          </w:p>
        </w:tc>
        <w:tc>
          <w:tcPr>
            <w:tcW w:w="6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indemnified Parties.........................................................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7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indemnified Party...........................................................</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r>
    </w:tbl>
    <w:p>
      <w:pPr>
        <w:sectPr>
          <w:pgSz w:w="11900" w:h="16838" w:orient="portrait"/>
          <w:cols w:equalWidth="0" w:num="1">
            <w:col w:w="10219"/>
          </w:cols>
          <w:pgMar w:left="240" w:top="919" w:right="1440" w:bottom="1440" w:gutter="0" w:footer="0" w:header="0"/>
        </w:sectPr>
      </w:pPr>
    </w:p>
    <w:bookmarkStart w:id="19" w:name="page20"/>
    <w:bookmarkEnd w:id="19"/>
    <w:p>
      <w:pPr>
        <w:ind w:left="4120"/>
        <w:spacing w:after="0"/>
        <w:rPr>
          <w:sz w:val="20"/>
          <w:szCs w:val="20"/>
          <w:color w:val="auto"/>
        </w:rPr>
      </w:pPr>
      <w:r>
        <w:rPr>
          <w:rFonts w:ascii="Courier New" w:cs="Courier New" w:eastAsia="Courier New" w:hAnsi="Courier New"/>
          <w:sz w:val="18"/>
          <w:szCs w:val="18"/>
          <w:color w:val="auto"/>
        </w:rPr>
        <w:t>vi</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Merger Filing</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NYSE</w:t>
      </w:r>
      <w:r>
        <w:rPr>
          <w:sz w:val="20"/>
          <w:szCs w:val="20"/>
          <w:color w:val="auto"/>
        </w:rPr>
        <w:tab/>
      </w:r>
      <w:r>
        <w:rPr>
          <w:rFonts w:ascii="Courier New" w:cs="Courier New" w:eastAsia="Courier New" w:hAnsi="Courier New"/>
          <w:sz w:val="16"/>
          <w:szCs w:val="16"/>
          <w:color w:val="auto"/>
        </w:rPr>
        <w:t>5</w:t>
      </w:r>
    </w:p>
    <w:p>
      <w:pPr>
        <w:spacing w:after="0"/>
        <w:tabs>
          <w:tab w:leader="dot" w:pos="8100" w:val="left"/>
        </w:tabs>
        <w:rPr>
          <w:sz w:val="20"/>
          <w:szCs w:val="20"/>
          <w:color w:val="auto"/>
        </w:rPr>
      </w:pPr>
      <w:r>
        <w:rPr>
          <w:rFonts w:ascii="Courier New" w:cs="Courier New" w:eastAsia="Courier New" w:hAnsi="Courier New"/>
          <w:sz w:val="18"/>
          <w:szCs w:val="18"/>
          <w:color w:val="auto"/>
        </w:rPr>
        <w:t>Parent</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Parent Common Stock</w:t>
      </w:r>
      <w:r>
        <w:rPr>
          <w:sz w:val="20"/>
          <w:szCs w:val="20"/>
          <w:color w:val="auto"/>
        </w:rPr>
        <w:tab/>
      </w:r>
      <w:r>
        <w:rPr>
          <w:rFonts w:ascii="Courier New" w:cs="Courier New" w:eastAsia="Courier New" w:hAnsi="Courier New"/>
          <w:sz w:val="16"/>
          <w:szCs w:val="16"/>
          <w:color w:val="auto"/>
        </w:rPr>
        <w:t>3</w:t>
      </w:r>
    </w:p>
    <w:p>
      <w:pPr>
        <w:spacing w:after="0"/>
        <w:tabs>
          <w:tab w:leader="dot" w:pos="8000" w:val="left"/>
        </w:tabs>
        <w:rPr>
          <w:sz w:val="20"/>
          <w:szCs w:val="20"/>
          <w:color w:val="auto"/>
        </w:rPr>
      </w:pPr>
      <w:r>
        <w:rPr>
          <w:rFonts w:ascii="Courier New" w:cs="Courier New" w:eastAsia="Courier New" w:hAnsi="Courier New"/>
          <w:sz w:val="18"/>
          <w:szCs w:val="18"/>
          <w:color w:val="auto"/>
        </w:rPr>
        <w:t>Parent Financial Statements</w:t>
      </w:r>
      <w:r>
        <w:rPr>
          <w:sz w:val="20"/>
          <w:szCs w:val="20"/>
          <w:color w:val="auto"/>
        </w:rPr>
        <w:tab/>
      </w:r>
      <w:r>
        <w:rPr>
          <w:rFonts w:ascii="Courier New" w:cs="Courier New" w:eastAsia="Courier New" w:hAnsi="Courier New"/>
          <w:sz w:val="16"/>
          <w:szCs w:val="16"/>
          <w:color w:val="auto"/>
        </w:rPr>
        <w:t>10</w:t>
      </w:r>
    </w:p>
    <w:p>
      <w:pPr>
        <w:spacing w:after="0"/>
        <w:tabs>
          <w:tab w:leader="dot" w:pos="8000" w:val="left"/>
        </w:tabs>
        <w:rPr>
          <w:sz w:val="20"/>
          <w:szCs w:val="20"/>
          <w:color w:val="auto"/>
        </w:rPr>
      </w:pPr>
      <w:r>
        <w:rPr>
          <w:rFonts w:ascii="Courier New" w:cs="Courier New" w:eastAsia="Courier New" w:hAnsi="Courier New"/>
          <w:sz w:val="18"/>
          <w:szCs w:val="18"/>
          <w:color w:val="auto"/>
        </w:rPr>
        <w:t>Parent Permits</w:t>
      </w:r>
      <w:r>
        <w:rPr>
          <w:sz w:val="20"/>
          <w:szCs w:val="20"/>
          <w:color w:val="auto"/>
        </w:rPr>
        <w:tab/>
      </w:r>
      <w:r>
        <w:rPr>
          <w:rFonts w:ascii="Courier New" w:cs="Courier New" w:eastAsia="Courier New" w:hAnsi="Courier New"/>
          <w:sz w:val="16"/>
          <w:szCs w:val="16"/>
          <w:color w:val="auto"/>
        </w:rPr>
        <w:t>13</w:t>
      </w:r>
    </w:p>
    <w:p>
      <w:pPr>
        <w:spacing w:after="0"/>
        <w:tabs>
          <w:tab w:leader="dot" w:pos="8100" w:val="left"/>
        </w:tabs>
        <w:rPr>
          <w:sz w:val="20"/>
          <w:szCs w:val="20"/>
          <w:color w:val="auto"/>
        </w:rPr>
      </w:pPr>
      <w:r>
        <w:rPr>
          <w:rFonts w:ascii="Courier New" w:cs="Courier New" w:eastAsia="Courier New" w:hAnsi="Courier New"/>
          <w:sz w:val="18"/>
          <w:szCs w:val="18"/>
          <w:color w:val="auto"/>
        </w:rPr>
        <w:t>Parent Preferred Stock</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Parent Representatives</w:t>
      </w:r>
      <w:r>
        <w:rPr>
          <w:sz w:val="20"/>
          <w:szCs w:val="20"/>
          <w:color w:val="auto"/>
        </w:rPr>
        <w:tab/>
      </w:r>
      <w:r>
        <w:rPr>
          <w:rFonts w:ascii="Courier New" w:cs="Courier New" w:eastAsia="Courier New" w:hAnsi="Courier New"/>
          <w:sz w:val="16"/>
          <w:szCs w:val="16"/>
          <w:color w:val="auto"/>
        </w:rPr>
        <w:t>31</w:t>
      </w:r>
    </w:p>
    <w:p>
      <w:pPr>
        <w:spacing w:after="0"/>
        <w:tabs>
          <w:tab w:leader="dot" w:pos="8000" w:val="left"/>
        </w:tabs>
        <w:rPr>
          <w:sz w:val="20"/>
          <w:szCs w:val="20"/>
          <w:color w:val="auto"/>
        </w:rPr>
      </w:pPr>
      <w:r>
        <w:rPr>
          <w:rFonts w:ascii="Courier New" w:cs="Courier New" w:eastAsia="Courier New" w:hAnsi="Courier New"/>
          <w:sz w:val="18"/>
          <w:szCs w:val="18"/>
          <w:color w:val="auto"/>
        </w:rPr>
        <w:t>Parent Required Statutory Approvals</w:t>
      </w:r>
      <w:r>
        <w:rPr>
          <w:sz w:val="20"/>
          <w:szCs w:val="20"/>
          <w:color w:val="auto"/>
        </w:rPr>
        <w:tab/>
      </w:r>
      <w:r>
        <w:rPr>
          <w:rFonts w:ascii="Courier New" w:cs="Courier New" w:eastAsia="Courier New" w:hAnsi="Courier New"/>
          <w:sz w:val="16"/>
          <w:szCs w:val="16"/>
          <w:color w:val="auto"/>
        </w:rPr>
        <w:t>10</w:t>
      </w:r>
    </w:p>
    <w:p>
      <w:pPr>
        <w:spacing w:after="0"/>
        <w:tabs>
          <w:tab w:leader="dot" w:pos="8000" w:val="left"/>
        </w:tabs>
        <w:rPr>
          <w:sz w:val="20"/>
          <w:szCs w:val="20"/>
          <w:color w:val="auto"/>
        </w:rPr>
      </w:pPr>
      <w:r>
        <w:rPr>
          <w:rFonts w:ascii="Courier New" w:cs="Courier New" w:eastAsia="Courier New" w:hAnsi="Courier New"/>
          <w:sz w:val="18"/>
          <w:szCs w:val="18"/>
          <w:color w:val="auto"/>
        </w:rPr>
        <w:t>Parent SEC Reports</w:t>
      </w:r>
      <w:r>
        <w:rPr>
          <w:sz w:val="20"/>
          <w:szCs w:val="20"/>
          <w:color w:val="auto"/>
        </w:rPr>
        <w:tab/>
      </w:r>
      <w:r>
        <w:rPr>
          <w:rFonts w:ascii="Courier New" w:cs="Courier New" w:eastAsia="Courier New" w:hAnsi="Courier New"/>
          <w:sz w:val="16"/>
          <w:szCs w:val="16"/>
          <w:color w:val="auto"/>
        </w:rPr>
        <w:t>10</w:t>
      </w:r>
    </w:p>
    <w:p>
      <w:pPr>
        <w:spacing w:after="0"/>
        <w:tabs>
          <w:tab w:leader="dot" w:pos="8000" w:val="left"/>
        </w:tabs>
        <w:rPr>
          <w:sz w:val="20"/>
          <w:szCs w:val="20"/>
          <w:color w:val="auto"/>
        </w:rPr>
      </w:pPr>
      <w:r>
        <w:rPr>
          <w:rFonts w:ascii="Courier New" w:cs="Courier New" w:eastAsia="Courier New" w:hAnsi="Courier New"/>
          <w:sz w:val="18"/>
          <w:szCs w:val="18"/>
          <w:color w:val="auto"/>
        </w:rPr>
        <w:t>Pooling Transaction</w:t>
      </w:r>
      <w:r>
        <w:rPr>
          <w:sz w:val="20"/>
          <w:szCs w:val="20"/>
          <w:color w:val="auto"/>
        </w:rPr>
        <w:tab/>
      </w:r>
      <w:r>
        <w:rPr>
          <w:rFonts w:ascii="Courier New" w:cs="Courier New" w:eastAsia="Courier New" w:hAnsi="Courier New"/>
          <w:sz w:val="16"/>
          <w:szCs w:val="16"/>
          <w:color w:val="auto"/>
        </w:rPr>
        <w:t>13</w:t>
      </w:r>
    </w:p>
    <w:p>
      <w:pPr>
        <w:spacing w:after="0"/>
        <w:tabs>
          <w:tab w:leader="dot" w:pos="8000" w:val="left"/>
        </w:tabs>
        <w:rPr>
          <w:sz w:val="20"/>
          <w:szCs w:val="20"/>
          <w:color w:val="auto"/>
        </w:rPr>
      </w:pPr>
      <w:r>
        <w:rPr>
          <w:rFonts w:ascii="Courier New" w:cs="Courier New" w:eastAsia="Courier New" w:hAnsi="Courier New"/>
          <w:sz w:val="18"/>
          <w:szCs w:val="18"/>
          <w:color w:val="auto"/>
        </w:rPr>
        <w:t>Potential Acquirer</w:t>
      </w:r>
      <w:r>
        <w:rPr>
          <w:sz w:val="20"/>
          <w:szCs w:val="20"/>
          <w:color w:val="auto"/>
        </w:rPr>
        <w:tab/>
      </w:r>
      <w:r>
        <w:rPr>
          <w:rFonts w:ascii="Courier New" w:cs="Courier New" w:eastAsia="Courier New" w:hAnsi="Courier New"/>
          <w:sz w:val="16"/>
          <w:szCs w:val="16"/>
          <w:color w:val="auto"/>
        </w:rPr>
        <w:t>31</w:t>
      </w:r>
    </w:p>
    <w:p>
      <w:pPr>
        <w:spacing w:after="0"/>
        <w:tabs>
          <w:tab w:leader="dot" w:pos="8000" w:val="left"/>
        </w:tabs>
        <w:rPr>
          <w:sz w:val="20"/>
          <w:szCs w:val="20"/>
          <w:color w:val="auto"/>
        </w:rPr>
      </w:pPr>
      <w:r>
        <w:rPr>
          <w:rFonts w:ascii="Courier New" w:cs="Courier New" w:eastAsia="Courier New" w:hAnsi="Courier New"/>
          <w:sz w:val="18"/>
          <w:szCs w:val="18"/>
          <w:color w:val="auto"/>
        </w:rPr>
        <w:t>Proxy Statement</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Proxy Statement/Prospectus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Registration Statement</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SEC</w:t>
      </w:r>
      <w:r>
        <w:rPr>
          <w:sz w:val="20"/>
          <w:szCs w:val="20"/>
          <w:color w:val="auto"/>
        </w:rPr>
        <w:tab/>
      </w:r>
      <w:r>
        <w:rPr>
          <w:rFonts w:ascii="Courier New" w:cs="Courier New" w:eastAsia="Courier New" w:hAnsi="Courier New"/>
          <w:sz w:val="16"/>
          <w:szCs w:val="16"/>
          <w:color w:val="auto"/>
        </w:rPr>
        <w:t>10</w:t>
      </w:r>
    </w:p>
    <w:p>
      <w:pPr>
        <w:spacing w:after="0"/>
        <w:tabs>
          <w:tab w:leader="dot" w:pos="8000" w:val="left"/>
        </w:tabs>
        <w:rPr>
          <w:sz w:val="20"/>
          <w:szCs w:val="20"/>
          <w:color w:val="auto"/>
        </w:rPr>
      </w:pPr>
      <w:r>
        <w:rPr>
          <w:rFonts w:ascii="Courier New" w:cs="Courier New" w:eastAsia="Courier New" w:hAnsi="Courier New"/>
          <w:sz w:val="18"/>
          <w:szCs w:val="18"/>
          <w:color w:val="auto"/>
        </w:rPr>
        <w:t>Securities Act</w:t>
      </w:r>
      <w:r>
        <w:rPr>
          <w:sz w:val="20"/>
          <w:szCs w:val="20"/>
          <w:color w:val="auto"/>
        </w:rPr>
        <w:tab/>
      </w:r>
      <w:r>
        <w:rPr>
          <w:rFonts w:ascii="Courier New" w:cs="Courier New" w:eastAsia="Courier New" w:hAnsi="Courier New"/>
          <w:sz w:val="16"/>
          <w:szCs w:val="16"/>
          <w:color w:val="auto"/>
        </w:rPr>
        <w:t>10</w:t>
      </w:r>
    </w:p>
    <w:p>
      <w:pPr>
        <w:spacing w:after="0"/>
        <w:tabs>
          <w:tab w:leader="dot" w:pos="810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Subsidiary Common Stock</w:t>
      </w:r>
      <w:r>
        <w:rPr>
          <w:sz w:val="20"/>
          <w:szCs w:val="20"/>
          <w:color w:val="auto"/>
        </w:rPr>
        <w:tab/>
      </w:r>
      <w:r>
        <w:rPr>
          <w:rFonts w:ascii="Courier New" w:cs="Courier New" w:eastAsia="Courier New" w:hAnsi="Courier New"/>
          <w:sz w:val="16"/>
          <w:szCs w:val="16"/>
          <w:color w:val="auto"/>
        </w:rPr>
        <w:t>3</w:t>
      </w:r>
    </w:p>
    <w:p>
      <w:pPr>
        <w:spacing w:after="0"/>
        <w:tabs>
          <w:tab w:leader="dot" w:pos="8000" w:val="left"/>
        </w:tabs>
        <w:rPr>
          <w:sz w:val="20"/>
          <w:szCs w:val="20"/>
          <w:color w:val="auto"/>
        </w:rPr>
      </w:pPr>
      <w:r>
        <w:rPr>
          <w:rFonts w:ascii="Courier New" w:cs="Courier New" w:eastAsia="Courier New" w:hAnsi="Courier New"/>
          <w:sz w:val="18"/>
          <w:szCs w:val="18"/>
          <w:color w:val="auto"/>
        </w:rPr>
        <w:t>Superior Proposal</w:t>
      </w:r>
      <w:r>
        <w:rPr>
          <w:sz w:val="20"/>
          <w:szCs w:val="20"/>
          <w:color w:val="auto"/>
        </w:rPr>
        <w:tab/>
      </w:r>
      <w:r>
        <w:rPr>
          <w:rFonts w:ascii="Courier New" w:cs="Courier New" w:eastAsia="Courier New" w:hAnsi="Courier New"/>
          <w:sz w:val="16"/>
          <w:szCs w:val="16"/>
          <w:color w:val="auto"/>
        </w:rPr>
        <w:t>31</w:t>
      </w:r>
    </w:p>
    <w:p>
      <w:pPr>
        <w:spacing w:after="0"/>
        <w:tabs>
          <w:tab w:leader="dot" w:pos="8100" w:val="left"/>
        </w:tabs>
        <w:rPr>
          <w:sz w:val="20"/>
          <w:szCs w:val="20"/>
          <w:color w:val="auto"/>
        </w:rPr>
      </w:pPr>
      <w:r>
        <w:rPr>
          <w:rFonts w:ascii="Courier New" w:cs="Courier New" w:eastAsia="Courier New" w:hAnsi="Courier New"/>
          <w:sz w:val="18"/>
          <w:szCs w:val="18"/>
          <w:color w:val="auto"/>
        </w:rPr>
        <w:t>Surviving Corporation</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Tax Return</w:t>
      </w:r>
      <w:r>
        <w:rPr>
          <w:sz w:val="20"/>
          <w:szCs w:val="20"/>
          <w:color w:val="auto"/>
        </w:rPr>
        <w:tab/>
      </w:r>
      <w:r>
        <w:rPr>
          <w:rFonts w:ascii="Courier New" w:cs="Courier New" w:eastAsia="Courier New" w:hAnsi="Courier New"/>
          <w:sz w:val="16"/>
          <w:szCs w:val="16"/>
          <w:color w:val="auto"/>
        </w:rPr>
        <w:t>21</w:t>
      </w:r>
    </w:p>
    <w:p>
      <w:pPr>
        <w:spacing w:after="0"/>
        <w:tabs>
          <w:tab w:leader="dot" w:pos="800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20</w:t>
      </w:r>
    </w:p>
    <w:p>
      <w:pPr>
        <w:spacing w:after="0"/>
        <w:tabs>
          <w:tab w:leader="dot" w:pos="8000" w:val="left"/>
        </w:tabs>
        <w:rPr>
          <w:sz w:val="20"/>
          <w:szCs w:val="20"/>
          <w:color w:val="auto"/>
        </w:rPr>
      </w:pPr>
      <w:r>
        <w:rPr>
          <w:rFonts w:ascii="Courier New" w:cs="Courier New" w:eastAsia="Courier New" w:hAnsi="Courier New"/>
          <w:sz w:val="18"/>
          <w:szCs w:val="18"/>
          <w:color w:val="auto"/>
        </w:rPr>
        <w:t>Termination Date</w:t>
      </w:r>
      <w:r>
        <w:rPr>
          <w:sz w:val="20"/>
          <w:szCs w:val="20"/>
          <w:color w:val="auto"/>
        </w:rPr>
        <w:tab/>
      </w:r>
      <w:r>
        <w:rPr>
          <w:rFonts w:ascii="Courier New" w:cs="Courier New" w:eastAsia="Courier New" w:hAnsi="Courier New"/>
          <w:sz w:val="16"/>
          <w:szCs w:val="16"/>
          <w:color w:val="auto"/>
        </w:rPr>
        <w:t>43</w:t>
      </w:r>
    </w:p>
    <w:p>
      <w:pPr>
        <w:sectPr>
          <w:pgSz w:w="11900" w:h="16838" w:orient="portrait"/>
          <w:cols w:equalWidth="0" w:num="1">
            <w:col w:w="10219"/>
          </w:cols>
          <w:pgMar w:left="240" w:top="919" w:right="1440" w:bottom="1440" w:gutter="0" w:footer="0" w:header="0"/>
        </w:sectPr>
      </w:pPr>
    </w:p>
    <w:bookmarkStart w:id="20" w:name="page21"/>
    <w:bookmarkEnd w:id="20"/>
    <w:p>
      <w:pPr>
        <w:jc w:val="center"/>
        <w:ind w:right="1659"/>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THIS AGREEMENT AND PLAN OF MERGER, dated as of August 16, 1998 (this "Agreement"), is made and entered into by and among Waste Management, Inc., a Delaware corporation ("Parent"), Ocho Acquisition Corporation, a Delaware corporation and a wholly owned subsidiary of Parent ("Subsidiary"), and Eastern Environmental Services, Inc., a Delaware corporation (the "Company").</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WHEREAS, the Boards of Directors of Parent, Subsidiary and the Company have approved the merger of Subsidiary with and into the Company on the terms set forth in this Agreement (the "Merger");</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Parent, Subsidiary and the Company intend the Merger to qualify as a tax-free reorganization under the provisions of Section 368 of the Internal Revenue Code of 1986, as amended (the "Code"), and the regulations thereunder and to be considered a pooling of interests for financial accounting purposes; and</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WHEREAS, certain officers of the Company owning stock of the Company have entered into shareholder support agreements dated as of the date hereof.</w:t>
      </w:r>
    </w:p>
    <w:p>
      <w:pPr>
        <w:spacing w:after="0" w:line="209" w:lineRule="exact"/>
        <w:rPr>
          <w:sz w:val="20"/>
          <w:szCs w:val="20"/>
          <w:color w:val="auto"/>
        </w:rPr>
      </w:pPr>
    </w:p>
    <w:p>
      <w:pPr>
        <w:ind w:right="2319" w:firstLine="1896"/>
        <w:spacing w:after="0" w:line="279"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w:t>
      </w:r>
    </w:p>
    <w:p>
      <w:pPr>
        <w:sectPr>
          <w:pgSz w:w="11900" w:h="16838" w:orient="portrait"/>
          <w:cols w:equalWidth="0" w:num="1">
            <w:col w:w="10219"/>
          </w:cols>
          <w:pgMar w:left="240" w:top="919" w:right="1440" w:bottom="1440" w:gutter="0" w:footer="0" w:header="0"/>
        </w:sectPr>
      </w:pPr>
    </w:p>
    <w:bookmarkStart w:id="21" w:name="page22"/>
    <w:bookmarkEnd w:id="21"/>
    <w:p>
      <w:pPr>
        <w:jc w:val="center"/>
        <w:ind w:right="165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2.1 Certificate of Incorporation. The Certificate of Incorporation of the Company except for Article One shall be amended as of the Effective Time to be identical to the Certificate of Incorporation of Subsidiary, as in effect immediately prior to the Effective Time, and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Nine of the Certificate of Incorporation of the Company.</w:t>
      </w:r>
    </w:p>
    <w:p>
      <w:pPr>
        <w:spacing w:after="0" w:line="21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2.2 By-Laws. The By-laws of Subsidiary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2.3 Directors. 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ectPr>
          <w:pgSz w:w="11900" w:h="16838" w:orient="portrait"/>
          <w:cols w:equalWidth="0" w:num="1">
            <w:col w:w="10219"/>
          </w:cols>
          <w:pgMar w:left="240" w:top="919" w:right="1440" w:bottom="1440" w:gutter="0" w:footer="0" w:header="0"/>
        </w:sectPr>
      </w:pPr>
    </w:p>
    <w:bookmarkStart w:id="22" w:name="page23"/>
    <w:bookmarkEnd w:id="22"/>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left="960" w:right="1879" w:firstLine="944"/>
        <w:spacing w:after="0" w:line="268" w:lineRule="auto"/>
        <w:tabs>
          <w:tab w:leader="none" w:pos="232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$.01 per share, of the Company (the "Company Common Stock") shall, subject to Sections 3.3 and 3.4, be converted into the right to receive, without interest,</w:t>
      </w:r>
    </w:p>
    <w:p>
      <w:pPr>
        <w:ind w:left="96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0.6406 (the "Exchange Ratio") shares of the common stock, par value $.01 per share, of Parent ("Parent Common Stock");</w:t>
      </w:r>
    </w:p>
    <w:p>
      <w:pPr>
        <w:spacing w:after="0" w:line="208"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210"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 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ectPr>
          <w:pgSz w:w="11900" w:h="16838" w:orient="portrait"/>
          <w:cols w:equalWidth="0" w:num="1">
            <w:col w:w="10219"/>
          </w:cols>
          <w:pgMar w:left="240" w:top="919" w:right="1440" w:bottom="1440" w:gutter="0" w:footer="0" w:header="0"/>
        </w:sectPr>
      </w:pPr>
    </w:p>
    <w:bookmarkStart w:id="23" w:name="page24"/>
    <w:bookmarkEnd w:id="23"/>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73" w:lineRule="auto"/>
        <w:tabs>
          <w:tab w:leader="none" w:pos="231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4" w:lineRule="exact"/>
        <w:rPr>
          <w:rFonts w:ascii="Courier New" w:cs="Courier New" w:eastAsia="Courier New" w:hAnsi="Courier New"/>
          <w:sz w:val="16"/>
          <w:szCs w:val="16"/>
          <w:color w:val="auto"/>
        </w:rPr>
      </w:pPr>
    </w:p>
    <w:p>
      <w:pPr>
        <w:ind w:right="2099" w:firstLine="1904"/>
        <w:spacing w:after="0" w:line="268" w:lineRule="auto"/>
        <w:tabs>
          <w:tab w:leader="none" w:pos="231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make available to the Exchange Agent the certificates representing shares of Parent Common Stock required to effect the exchanges referred to in paragraph</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cash for payment of any fractional shares referred to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cause the Exchange Agent to mail to each holder of record of a certificate or certificates that immediately prior to the Effective Time represented outstanding shares of Company Common Stock (the "Company Certificates") (i) a letter of transmittal satisfactory to the Company and approved by it prior to Closing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ectPr>
          <w:pgSz w:w="11900" w:h="16838" w:orient="portrait"/>
          <w:cols w:equalWidth="0" w:num="1">
            <w:col w:w="10219"/>
          </w:cols>
          <w:pgMar w:left="240" w:top="919" w:right="1440" w:bottom="1440" w:gutter="0" w:footer="0" w:header="0"/>
        </w:sectPr>
      </w:pPr>
    </w:p>
    <w:bookmarkStart w:id="24" w:name="page25"/>
    <w:bookmarkEnd w:id="24"/>
    <w:p>
      <w:pPr>
        <w:ind w:left="42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1904"/>
        <w:spacing w:after="0" w:line="238"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3.4 No Fractional Shares. (a) No certificates or scrip representing fractional shares of Parent Common Stock shall be issued upon the surrender for exchange of Company Certificates, no dividend or distribution with respect to Parent Common Stock shall be payable on or with respect to any fractional share and such fractional share interests will not entitle the owner thereof to any rights of a stockholder of Parent.</w:t>
      </w:r>
    </w:p>
    <w:p>
      <w:pPr>
        <w:spacing w:after="0" w:line="210" w:lineRule="exact"/>
        <w:rPr>
          <w:sz w:val="20"/>
          <w:szCs w:val="20"/>
          <w:color w:val="auto"/>
        </w:rPr>
      </w:pPr>
    </w:p>
    <w:p>
      <w:pPr>
        <w:ind w:right="17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Effective Time, the Exchange Agent shall determine the excess of (x) the number of full shares of Parent Common Stock delivered to the Exchange Agent by Parent over (y) the aggregate number of full shares of Parent Common Stock to be distributed to holders of Company Common Stock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(c) of this Section 3.4.</w:t>
      </w:r>
    </w:p>
    <w:p>
      <w:pPr>
        <w:spacing w:after="0" w:line="213"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w:t>
      </w:r>
    </w:p>
    <w:p>
      <w:pPr>
        <w:sectPr>
          <w:pgSz w:w="11900" w:h="16838" w:orient="portrait"/>
          <w:cols w:equalWidth="0" w:num="1">
            <w:col w:w="10219"/>
          </w:cols>
          <w:pgMar w:left="240" w:top="919" w:right="1440" w:bottom="1440" w:gutter="0" w:footer="0" w:header="0"/>
        </w:sectPr>
      </w:pPr>
    </w:p>
    <w:bookmarkStart w:id="25" w:name="page26"/>
    <w:bookmarkEnd w:id="25"/>
    <w:p>
      <w:pPr>
        <w:jc w:val="center"/>
        <w:ind w:right="165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209" w:lineRule="exact"/>
        <w:rPr>
          <w:sz w:val="20"/>
          <w:szCs w:val="20"/>
          <w:color w:val="auto"/>
        </w:rPr>
      </w:pPr>
    </w:p>
    <w:p>
      <w:pPr>
        <w:ind w:right="1779" w:firstLine="1904"/>
        <w:spacing w:after="0" w:line="270"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this Section 3.4,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on the first business day immediately following the Effective Time and, in such case, all references herein to the cash proceeds of the sale of the Excess Shares and similar references shall be deemed to mean and refer to the payments calculated as set forth in this Section 3.4(d)).</w:t>
      </w:r>
    </w:p>
    <w:p>
      <w:pPr>
        <w:spacing w:after="0" w:line="38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ectPr>
          <w:pgSz w:w="11900" w:h="16838" w:orient="portrait"/>
          <w:cols w:equalWidth="0" w:num="1">
            <w:col w:w="10219"/>
          </w:cols>
          <w:pgMar w:left="240" w:top="919" w:right="1440" w:bottom="1440" w:gutter="0" w:footer="0" w:header="0"/>
        </w:sectPr>
      </w:pPr>
    </w:p>
    <w:bookmarkStart w:id="26" w:name="page27"/>
    <w:bookmarkEnd w:id="26"/>
    <w:p>
      <w:pPr>
        <w:ind w:left="42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Parent and Subsidiary each represent and warrant to the</w:t>
      </w:r>
    </w:p>
    <w:p>
      <w:pPr>
        <w:spacing w:after="0" w:line="238" w:lineRule="auto"/>
        <w:rPr>
          <w:sz w:val="20"/>
          <w:szCs w:val="20"/>
          <w:color w:val="auto"/>
        </w:rPr>
      </w:pPr>
      <w:r>
        <w:rPr>
          <w:rFonts w:ascii="Courier New" w:cs="Courier New" w:eastAsia="Courier New" w:hAnsi="Courier New"/>
          <w:sz w:val="18"/>
          <w:szCs w:val="18"/>
          <w:color w:val="auto"/>
        </w:rPr>
        <w:t>Company that:</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4.2 Capitalization. (a) As of August 10, 1998, the authorized capital stock of Parent consisted of 1,500,000,000 shares of Parent Common Stock and 10,000,000 shares of preferred stock, par value $.01 per share ("Parent Preferred Stock"). As of August 10, 1998, (i) 579,687,096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37,600,799 shares of Parent Common Stock were reserved for issuance upon exercise of outstanding options and warrants to purchase Parent Common Stock and (v) 31,552,845 shares of Parent Common Stock were reserved for issuance upon conversion of outstanding convertible debentures and outstanding convertible notes. Assuming the conversion of all outstanding convertible debentures and outstanding convertible notes of Parent and the exercise of all outstanding options, warrants and rights to purchase Parent Common Stock, as of August 10, 1998, there would be 648,840,740 shares of Parent Common Stock issued and outstanding. In addition, as of the date hereof, no more than 12,373,067 shares of Parent Common Stock were reserved for issuance in connection with pending acquisitions.</w:t>
      </w:r>
    </w:p>
    <w:p>
      <w:pPr>
        <w:spacing w:after="0" w:line="200" w:lineRule="exact"/>
        <w:rPr>
          <w:sz w:val="20"/>
          <w:szCs w:val="20"/>
          <w:color w:val="auto"/>
        </w:rPr>
      </w:pPr>
    </w:p>
    <w:p>
      <w:pPr>
        <w:spacing w:after="0" w:line="398" w:lineRule="exact"/>
        <w:rPr>
          <w:sz w:val="20"/>
          <w:szCs w:val="20"/>
          <w:color w:val="auto"/>
        </w:rPr>
      </w:pPr>
    </w:p>
    <w:p>
      <w:pPr>
        <w:ind w:right="2199" w:firstLine="1904"/>
        <w:spacing w:after="0" w:line="279" w:lineRule="auto"/>
        <w:tabs>
          <w:tab w:leader="none" w:pos="231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78"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Parent SEC Reports (as defined in Section 4.5) or in Section 4.2(a) or as otherwise contemplated by this Agreement, as of the date hereof, there</w:t>
      </w:r>
    </w:p>
    <w:p>
      <w:pPr>
        <w:sectPr>
          <w:pgSz w:w="11900" w:h="16838" w:orient="portrait"/>
          <w:cols w:equalWidth="0" w:num="1">
            <w:col w:w="10219"/>
          </w:cols>
          <w:pgMar w:left="240" w:top="919" w:right="1440" w:bottom="1440" w:gutter="0" w:footer="0" w:header="0"/>
        </w:sectPr>
      </w:pPr>
    </w:p>
    <w:bookmarkStart w:id="27" w:name="page28"/>
    <w:bookmarkEnd w:id="27"/>
    <w:p>
      <w:pPr>
        <w:ind w:left="42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repurchase or redeem,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free of preemptive rights and will be issued in compliance with all applicable securities and other laws.</w:t>
      </w: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encumbrances, security interests, equities and options of any nature whatsoever,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00" w:lineRule="exact"/>
        <w:rPr>
          <w:sz w:val="20"/>
          <w:szCs w:val="20"/>
          <w:color w:val="auto"/>
        </w:rPr>
      </w:pPr>
    </w:p>
    <w:p>
      <w:pPr>
        <w:spacing w:after="0" w:line="392"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4.4 Authority; Non-Contravention; Approvals. (a) Parent and Subsidiary each have full corporate power and authority to enter into this Agreement and, subject to the</w:t>
      </w:r>
    </w:p>
    <w:p>
      <w:pPr>
        <w:sectPr>
          <w:pgSz w:w="11900" w:h="16838" w:orient="portrait"/>
          <w:cols w:equalWidth="0" w:num="1">
            <w:col w:w="10219"/>
          </w:cols>
          <w:pgMar w:left="240" w:top="919" w:right="1440" w:bottom="1440" w:gutter="0" w:footer="0" w:header="0"/>
        </w:sectPr>
      </w:pPr>
    </w:p>
    <w:bookmarkStart w:id="28" w:name="page29"/>
    <w:bookmarkEnd w:id="28"/>
    <w:p>
      <w:pPr>
        <w:ind w:left="42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w:t>
      </w:r>
    </w:p>
    <w:p>
      <w:pPr>
        <w:spacing w:after="0" w:line="208" w:lineRule="exact"/>
        <w:rPr>
          <w:sz w:val="20"/>
          <w:szCs w:val="20"/>
          <w:color w:val="auto"/>
        </w:rPr>
      </w:pPr>
    </w:p>
    <w:p>
      <w:pPr>
        <w:ind w:right="1779" w:firstLine="1904"/>
        <w:spacing w:after="0" w:line="269" w:lineRule="auto"/>
        <w:tabs>
          <w:tab w:leader="none" w:pos="231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200" w:lineRule="exact"/>
        <w:rPr>
          <w:rFonts w:ascii="Courier New" w:cs="Courier New" w:eastAsia="Courier New" w:hAnsi="Courier New"/>
          <w:sz w:val="16"/>
          <w:szCs w:val="16"/>
          <w:color w:val="auto"/>
        </w:rPr>
      </w:pPr>
    </w:p>
    <w:p>
      <w:pPr>
        <w:spacing w:after="0" w:line="385"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filings by Parent required by the</w:t>
      </w:r>
    </w:p>
    <w:p>
      <w:pPr>
        <w:spacing w:after="0" w:line="4"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Hart-Scott-Rodino Antitrust Improvements Act of 1976, as amended (the "HSR Act"), (ii) the filing of the Registration Statement and Proxy Statement/ Prospectus (as such terms are defined in Section</w:t>
      </w:r>
    </w:p>
    <w:p>
      <w:pPr>
        <w:sectPr>
          <w:pgSz w:w="11900" w:h="16838" w:orient="portrait"/>
          <w:cols w:equalWidth="0" w:num="1">
            <w:col w:w="10219"/>
          </w:cols>
          <w:pgMar w:left="240" w:top="919" w:right="1440" w:bottom="1440" w:gutter="0" w:footer="0" w:header="0"/>
        </w:sectPr>
      </w:pPr>
    </w:p>
    <w:bookmarkStart w:id="29" w:name="page30"/>
    <w:bookmarkEnd w:id="29"/>
    <w:p>
      <w:pPr>
        <w:ind w:left="4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NYSE,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39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4.5 Reports and Financial Statements. Since January 1, 1995,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1997 and for the immediately preceding fiscal year, as filed with the SEC, (b) proxy and information statements relating to (i) all meetings of its stockholders (whether annual or special) and (ii) actions by written consent in lieu of a stockholders' meeting from January 1, 1996, until the date hereof, and (c) all other reports, including quarterly reports, and registration statements filed by Parent with the SEC since January 1, 1996 (other than registration statements filed on Form S-8) (the documents referred to in clauses (a), (b) and (c) filed prior to the date hereof are collectively referred to as the "Parent SEC Reports"). As of their respective dates (or, in the case of filing under the Securities Act, at the time of effectiveness),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1997 and the unaudited consolidated interim financial statements included in Parent's Quarterly Report on Form 10-Q for the quarter ending June 30, 1998 (collectively, the "Parent Financial Statements") have been prepared in accordance with generally accepted accounting principles applied on a consistent basis (except as may be indicated therein or in the notes thereto) and fairly present the</w:t>
      </w:r>
    </w:p>
    <w:p>
      <w:pPr>
        <w:sectPr>
          <w:pgSz w:w="11900" w:h="16838" w:orient="portrait"/>
          <w:cols w:equalWidth="0" w:num="1">
            <w:col w:w="10219"/>
          </w:cols>
          <w:pgMar w:left="240" w:top="919"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financial position of Parent and its subsidiaries as of the dates thereof and the results of their operations and changes in financial position for the periods then ended (subject, in the case of unaudited interim financial statements to normal year-end adjustments, none of which, individually or in the aggregate, would have a material adverse effect on the business, operations, properties, assets, condition (financial or other) or results of operations of Parent and its subsidiaries, taken as a whole).</w:t>
      </w:r>
    </w:p>
    <w:p>
      <w:pPr>
        <w:spacing w:after="0" w:line="211"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1997, or has incurred since that date and as of the date hereof,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200" w:lineRule="exact"/>
        <w:rPr>
          <w:sz w:val="20"/>
          <w:szCs w:val="20"/>
          <w:color w:val="auto"/>
        </w:rPr>
      </w:pPr>
    </w:p>
    <w:p>
      <w:pPr>
        <w:spacing w:after="0" w:line="398"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211"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or any of their respective directors or officers, before any court, governmental department, commission, agency, instrumentality or authority, or any arbitrator that seek to restrain or enjoin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w:t>
      </w:r>
    </w:p>
    <w:p>
      <w:pPr>
        <w:sectPr>
          <w:pgSz w:w="11900" w:h="16838" w:orient="portrait"/>
          <w:cols w:equalWidth="0" w:num="1">
            <w:col w:w="10219"/>
          </w:cols>
          <w:pgMar w:left="240" w:top="919" w:right="1440" w:bottom="1440" w:gutter="0" w:footer="0" w:header="0"/>
        </w:sectPr>
      </w:pPr>
    </w:p>
    <w:bookmarkStart w:id="31" w:name="page32"/>
    <w:bookmarkEnd w:id="31"/>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have any material adverse effect on the business, operations, properties, assets, condition (financial or other) or results of operations of Parent and its subsidiaries, taken as a whole.</w:t>
      </w:r>
    </w:p>
    <w:p>
      <w:pPr>
        <w:spacing w:after="0" w:line="209"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w:t>
      </w:r>
    </w:p>
    <w:p>
      <w:pPr>
        <w:ind w:right="1779" w:firstLine="8"/>
        <w:spacing w:after="0" w:line="269"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S-4, as amended or supplemented from time to time, to be filed under the Securities Act with the SEC by Parent in connection with the Merger for the purpose of registering the shares of Parent Common Stock to be issued in the Merger (such registration statement, together with any amendments thereof, being the "Registration Statement") or (b) the proxy statement, as amended or supplemented from time to time, to be distributed in connection with the Company's meeting of stockholders to vote upon this Agreement and the transactions contemplated hereby (the "Proxy Statement" and, together with the prospectus included in the Registration Statement, the "Proxy Statement/Prospectus")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0" w:lineRule="exact"/>
        <w:rPr>
          <w:sz w:val="20"/>
          <w:szCs w:val="20"/>
          <w:color w:val="auto"/>
        </w:rPr>
      </w:pPr>
    </w:p>
    <w:p>
      <w:pPr>
        <w:spacing w:after="0" w:line="39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4.10 Violation of Law. Except as disclosed in the Parent SEC Reports, neither Parent nor any of its subsidiaries is or at any time since December 31, 1997, has been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w:t>
      </w:r>
    </w:p>
    <w:p>
      <w:pPr>
        <w:sectPr>
          <w:pgSz w:w="11900" w:h="16838" w:orient="portrait"/>
          <w:cols w:equalWidth="0" w:num="1">
            <w:col w:w="10219"/>
          </w:cols>
          <w:pgMar w:left="240" w:top="919" w:right="1440" w:bottom="1440" w:gutter="0" w:footer="0" w:header="0"/>
        </w:sectPr>
      </w:pPr>
    </w:p>
    <w:bookmarkStart w:id="32" w:name="page33"/>
    <w:bookmarkEnd w:id="32"/>
    <w:p>
      <w:pPr>
        <w:jc w:val="center"/>
        <w:ind w:right="1779"/>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0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4.11 Reorganization and Pooling of Interests. To the knowledge of Parent, none of the Parent, Subsidiary or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392"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4.12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4.13 Ownership of Company Common Stock. Parent and its subsidiaries beneficially own an aggregate of 655,000 shares of Company Common Stock as of the date hereof.</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4.14 Subsidiary. Subsidiary was formed solely for the purposes of engaging in the transactions contemplated hereby, and has engaged in no other business activities and has conducted its operations only as contemplated hereby.</w:t>
      </w:r>
    </w:p>
    <w:p>
      <w:pPr>
        <w:sectPr>
          <w:pgSz w:w="11900" w:h="16838" w:orient="portrait"/>
          <w:cols w:equalWidth="0" w:num="1">
            <w:col w:w="10219"/>
          </w:cols>
          <w:pgMar w:left="240" w:top="919" w:right="1440" w:bottom="1440" w:gutter="0" w:footer="0" w:header="0"/>
        </w:sectPr>
      </w:pPr>
    </w:p>
    <w:bookmarkStart w:id="33" w:name="page34"/>
    <w:bookmarkEnd w:id="33"/>
    <w:p>
      <w:pPr>
        <w:ind w:left="4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apparent from the face of the Company Disclosure Schedule.</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5.2 Capitalization. (a) The authorized capital stock of the Company consists of 150,000,000 shares of Company Common Stock and 50,000,000 shares of preferred stock, par value $.01 per share ("Company Preferred Stock"). As of August 11, 1998, (i) 36,129,103 shares of Company Common Stock were issued and outstanding, all of which were validly issued and are fully paid, nonassessable and free of preemptive rights, and no shares of Company Preferred Stock were issued and outstanding, (ii) 39,100 shares of Company Common Stock and no shares of Company Preferred Stock were held in the treasury of the Company, and (iii) 3,889,846 shares of Company Common Stock were reserved for issuance upon exercise of warrants and options issued and outstanding pursuant to the Company's 1997 Stock Option Plan, 1996 Stock Option Plan and 1991 Stock Option Plan. Assuming the exercise of all outstanding options, rights and warrants to purchase Company Common Stock, as of August 11, 1998 there would be 40,018,949 shares of Company Common Stock issued and outstanding.</w:t>
      </w:r>
    </w:p>
    <w:p>
      <w:pPr>
        <w:spacing w:after="0" w:line="208" w:lineRule="exact"/>
        <w:rPr>
          <w:sz w:val="20"/>
          <w:szCs w:val="20"/>
          <w:color w:val="auto"/>
        </w:rPr>
      </w:pPr>
    </w:p>
    <w:p>
      <w:pPr>
        <w:ind w:right="1779" w:firstLine="1904"/>
        <w:spacing w:after="0" w:line="237"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5.2(b) of the Company Disclosure Schedule,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w:t>
      </w:r>
    </w:p>
    <w:p>
      <w:pPr>
        <w:sectPr>
          <w:pgSz w:w="11900" w:h="16838" w:orient="portrait"/>
          <w:cols w:equalWidth="0" w:num="1">
            <w:col w:w="10219"/>
          </w:cols>
          <w:pgMar w:left="240" w:top="919"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anti-takeover agreement, obligating the Company or any subsidiary of the Company to issue, deliver or sell or repurchase or redeem,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and options of any nature whatsoever, except that such shares are pledged to secure the Company's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the Company, including any right of conversion or exchange under any outstanding security, instrument or agreement.</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5.4 Authority; Non-Contravention; Approvals. (a) The Company has full corporate power and authority to enter into this Agreement and, subject to the Company Stockholders' Approval (as defined in Section 7.3)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w:t>
      </w:r>
    </w:p>
    <w:p>
      <w:pPr>
        <w:sectPr>
          <w:pgSz w:w="11900" w:h="16838" w:orient="portrait"/>
          <w:cols w:equalWidth="0" w:num="1">
            <w:col w:w="10219"/>
          </w:cols>
          <w:pgMar w:left="240" w:top="919"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general equitable principles. Without limitation of the foregoing, each of the covenants and obligations of the Company set forth in Sections 6.1, 6.5, 7.1,</w:t>
      </w:r>
    </w:p>
    <w:p>
      <w:pPr>
        <w:ind w:right="1779"/>
        <w:spacing w:after="0" w:line="236" w:lineRule="auto"/>
        <w:rPr>
          <w:sz w:val="20"/>
          <w:szCs w:val="20"/>
          <w:color w:val="auto"/>
        </w:rPr>
      </w:pPr>
      <w:r>
        <w:rPr>
          <w:rFonts w:ascii="Courier New" w:cs="Courier New" w:eastAsia="Courier New" w:hAnsi="Courier New"/>
          <w:sz w:val="18"/>
          <w:szCs w:val="18"/>
          <w:color w:val="auto"/>
        </w:rPr>
        <w:t>7.2, 7.3, 7.6, 7.7, 7.8, 7.10 and 7.12 is valid, legally binding and enforceable (subject as aforesaid) notwithstanding the absence of the Company Stockholders' Approval.</w:t>
      </w:r>
    </w:p>
    <w:p>
      <w:pPr>
        <w:spacing w:after="0" w:line="209" w:lineRule="exact"/>
        <w:rPr>
          <w:sz w:val="20"/>
          <w:szCs w:val="20"/>
          <w:color w:val="auto"/>
        </w:rPr>
      </w:pPr>
    </w:p>
    <w:p>
      <w:pPr>
        <w:ind w:right="1779" w:firstLine="1904"/>
        <w:spacing w:after="0" w:line="268" w:lineRule="auto"/>
        <w:tabs>
          <w:tab w:leader="none" w:pos="23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5.4(b) of the Company Disclosure Schedule, 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filings by the Company required by the HSR Act, (ii) the filing of the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or similar governmental regulatory agencies (e.g. New York Trade Waste Commission) and public utility commissions (the filings and</w:t>
      </w:r>
    </w:p>
    <w:p>
      <w:pPr>
        <w:sectPr>
          <w:pgSz w:w="11900" w:h="16838" w:orient="portrait"/>
          <w:cols w:equalWidth="0" w:num="1">
            <w:col w:w="10219"/>
          </w:cols>
          <w:pgMar w:left="240" w:top="919"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216"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5.5 Reports and Financial Statements. Since January 1, 1995,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except as disclosed in Section 5.5 of the Company Disclosure Schedule. The Company has previously delivered or made available to Parent copies (including all exhibits, post-effective amendments and supplements thereto) of its (a) Annual Report on Form 10-K for the year ended June 30, 1997, as filed with the SEC, (b) Transition Report on Form 10-K for the six months ended December 31, 1997, (c) proxy and information statements relating to (i) all meetings of its stockholders (whether annual or special) and (ii) actions by written consent in lieu of a stockholders' meeting from January 1, 1997, until the date hereof, and (d) all other reports, including quarterly reports, and registration statements filed by the Company with the SEC since January 1, 1996 (other than registration statements filed on Form S-8) (the documents referred to in clauses (a), (b), (c) and (d) filed prior to the date hereof are collectively referred to as the "Company SEC Reports"). As of their respective dates (or, in the case of filing under the Securities Act, at the time of effectiveness),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Transition Report on Form 10-K for the six months ended December 31, 1997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200" w:lineRule="exact"/>
        <w:rPr>
          <w:sz w:val="20"/>
          <w:szCs w:val="20"/>
          <w:color w:val="auto"/>
        </w:rPr>
      </w:pPr>
    </w:p>
    <w:p>
      <w:pPr>
        <w:spacing w:after="0" w:line="390"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5.6 Absence of Undisclosed Liabilities. Except as disclosed in Section 5.6 of the Company Disclosure Schedule, the Company SEC Reports or as heretofore disclosed to Parent in writing with respect to acquisitions or potential transactions or commitments, neither the Company nor any of its subsidiaries had at December 31, 1997, or has incurred since that date and</w:t>
      </w:r>
    </w:p>
    <w:p>
      <w:pPr>
        <w:sectPr>
          <w:pgSz w:w="11900" w:h="16838" w:orient="portrait"/>
          <w:cols w:equalWidth="0" w:num="1">
            <w:col w:w="10219"/>
          </w:cols>
          <w:pgMar w:left="240" w:top="919" w:right="1440" w:bottom="1440" w:gutter="0" w:footer="0" w:header="0"/>
        </w:sectPr>
      </w:pPr>
    </w:p>
    <w:bookmarkStart w:id="37" w:name="page38"/>
    <w:bookmarkEnd w:id="37"/>
    <w:p>
      <w:pPr>
        <w:ind w:left="41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w:t>
      </w:r>
    </w:p>
    <w:p>
      <w:pPr>
        <w:spacing w:after="0" w:line="2" w:lineRule="exact"/>
        <w:rPr>
          <w:sz w:val="20"/>
          <w:szCs w:val="20"/>
          <w:color w:val="auto"/>
        </w:rPr>
      </w:pPr>
    </w:p>
    <w:p>
      <w:pPr>
        <w:ind w:right="19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5.8 Litigation. Except as referred to in Section 5.8 of the Company Disclosure Schedule or the Company SEC Reports, there are no claims, suits, actions or proceedings pending or, to the knowledge of the Company, threatened against, relating to or affecting the Company or any of its subsidiaries or any of their respective directors or officers, before any court, governmental department, commission, agency, instrumentality or authority, or any arbitrator that seek to restrain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5.9 Registration Statement and Proxy Statement. None of the information to be supplied by the Company or its subsidiaries for inclusion in (a) 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w:t>
      </w:r>
    </w:p>
    <w:p>
      <w:pPr>
        <w:sectPr>
          <w:pgSz w:w="11900" w:h="16838" w:orient="portrait"/>
          <w:cols w:equalWidth="0" w:num="1">
            <w:col w:w="10219"/>
          </w:cols>
          <w:pgMar w:left="240" w:top="919"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case of the Registration Statement, as amended or supplemented, at the time it becomes effective and at the time of such meetings of the stockholders of the Company, contain any untrue statement of a material fact or omit to state any material fact required to be stated therein or necessary in order to make the statements therein, in the light of the circumstances under which they are made, not misleading. The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216"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or at any time since December 31, 1997, has been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00" w:lineRule="exact"/>
        <w:rPr>
          <w:sz w:val="20"/>
          <w:szCs w:val="20"/>
          <w:color w:val="auto"/>
        </w:rPr>
      </w:pPr>
    </w:p>
    <w:p>
      <w:pPr>
        <w:spacing w:after="0" w:line="39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would result in a default under, (a) the respective charter, by-laws or similar organizational instruments of the Company or any of its subsidiaries or (b) any contract, commitment, agreement, indenture, mortgage, loan agreement,</w:t>
      </w:r>
    </w:p>
    <w:p>
      <w:pPr>
        <w:sectPr>
          <w:pgSz w:w="11900" w:h="16838" w:orient="portrait"/>
          <w:cols w:equalWidth="0" w:num="1">
            <w:col w:w="10219"/>
          </w:cols>
          <w:pgMar w:left="240" w:top="919" w:right="1440" w:bottom="1440" w:gutter="0" w:footer="0" w:header="0"/>
        </w:sectPr>
      </w:pPr>
    </w:p>
    <w:bookmarkStart w:id="39" w:name="page40"/>
    <w:bookmarkEnd w:id="39"/>
    <w:p>
      <w:pPr>
        <w:jc w:val="center"/>
        <w:ind w:right="17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2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Section 5.12 Taxes. (a) The Company and its subsidiaries have</w:t>
      </w:r>
    </w:p>
    <w:p>
      <w:pPr>
        <w:spacing w:after="0" w:line="4" w:lineRule="exact"/>
        <w:rPr>
          <w:sz w:val="20"/>
          <w:szCs w:val="20"/>
          <w:color w:val="auto"/>
        </w:rPr>
      </w:pPr>
    </w:p>
    <w:p>
      <w:pPr>
        <w:ind w:right="1779" w:firstLine="8"/>
        <w:spacing w:after="0" w:line="268"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filed with the appropriate governmental authorities all Tax Returns required to be filed by them for all periods ending on or prior to the Closing Date,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w:t>
      </w:r>
    </w:p>
    <w:p>
      <w:pPr>
        <w:sectPr>
          <w:pgSz w:w="11900" w:h="16838" w:orient="portrait"/>
          <w:cols w:equalWidth="0" w:num="1">
            <w:col w:w="10219"/>
          </w:cols>
          <w:pgMar w:left="240" w:top="919" w:right="1440" w:bottom="1440" w:gutter="0" w:footer="0" w:header="0"/>
        </w:sectPr>
      </w:pPr>
    </w:p>
    <w:bookmarkStart w:id="40" w:name="page41"/>
    <w:bookmarkEnd w:id="40"/>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211" w:lineRule="exact"/>
        <w:rPr>
          <w:sz w:val="20"/>
          <w:szCs w:val="20"/>
          <w:color w:val="auto"/>
        </w:rPr>
      </w:pPr>
    </w:p>
    <w:p>
      <w:pPr>
        <w:ind w:right="2199" w:firstLine="1904"/>
        <w:spacing w:after="0" w:line="236" w:lineRule="auto"/>
        <w:tabs>
          <w:tab w:leader="none" w:pos="231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 Return" shall mean any return, report or other document required to be supplied to a taxing authority in connection with Taxes.</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5.13 Employee Benefit Plans; ERISA. (a) Except as disclosed in Section 5.13(a) of the Company Disclosure Schedule or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the Company and its subsidiaries being referred to as the "Company Plans"). Section 5.13 of the Company Disclosure Schedule lists all Multi-employer Plans to which any of them makes contributions or has any obligation or liability to make material contributions. Neither the Company nor any of its subsidiaries maintains or has any material 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211" w:lineRule="exact"/>
        <w:rPr>
          <w:sz w:val="20"/>
          <w:szCs w:val="20"/>
          <w:color w:val="auto"/>
        </w:rPr>
      </w:pPr>
    </w:p>
    <w:p>
      <w:pPr>
        <w:ind w:right="1779" w:firstLine="1904"/>
        <w:spacing w:after="0" w:line="268" w:lineRule="auto"/>
        <w:tabs>
          <w:tab w:leader="none" w:pos="231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w:t>
      </w:r>
    </w:p>
    <w:p>
      <w:pPr>
        <w:sectPr>
          <w:pgSz w:w="11900" w:h="16838" w:orient="portrait"/>
          <w:cols w:equalWidth="0" w:num="1">
            <w:col w:w="10219"/>
          </w:cols>
          <w:pgMar w:left="240" w:top="920" w:right="1440" w:bottom="1440" w:gutter="0" w:footer="0" w:header="0"/>
        </w:sectPr>
      </w:pPr>
    </w:p>
    <w:bookmarkStart w:id="41" w:name="page42"/>
    <w:bookmarkEnd w:id="41"/>
    <w:p>
      <w:pPr>
        <w:jc w:val="center"/>
        <w:ind w:right="1779"/>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1997, based upon reasonable actuarial assumptions currently utilized for such Company Plan, (vi) 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(x) 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 of ERISA or Chapter 43 of Subtitle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Code. None of the Company Plans has an "accumulated funding deficiency" (as defined in Section 302 of ERISA and Section 412 of the Code) or is required to provide security to a Company Plan pursuant to Section 401(a)(29) of the Code.</w:t>
      </w:r>
    </w:p>
    <w:p>
      <w:pPr>
        <w:spacing w:after="0" w:line="207"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ectPr>
          <w:pgSz w:w="11900" w:h="16838" w:orient="portrait"/>
          <w:cols w:equalWidth="0" w:num="1">
            <w:col w:w="10219"/>
          </w:cols>
          <w:pgMar w:left="240" w:top="919" w:right="1440" w:bottom="1440" w:gutter="0" w:footer="0" w:header="0"/>
        </w:sectPr>
      </w:pPr>
    </w:p>
    <w:bookmarkStart w:id="42" w:name="page43"/>
    <w:bookmarkEnd w:id="42"/>
    <w:p>
      <w:pPr>
        <w:ind w:left="41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8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5.13(d) of the Company Disclosure Schedule, there are no agreements which will or may provide payments to any current or former officer, employee, stockholder, or highly compensated individual which will be "parachute payments" under Code Section 280G that will be nondeductible to the Company or subject to the excise tax imposed under Code Section 4999.</w:t>
      </w:r>
    </w:p>
    <w:p>
      <w:pPr>
        <w:spacing w:after="0" w:line="210" w:lineRule="exact"/>
        <w:rPr>
          <w:sz w:val="20"/>
          <w:szCs w:val="20"/>
          <w:color w:val="auto"/>
        </w:rPr>
      </w:pPr>
    </w:p>
    <w:p>
      <w:pPr>
        <w:ind w:right="1999" w:firstLine="1896"/>
        <w:spacing w:after="0" w:line="270" w:lineRule="auto"/>
        <w:rPr>
          <w:sz w:val="20"/>
          <w:szCs w:val="20"/>
          <w:color w:val="auto"/>
        </w:rPr>
      </w:pPr>
      <w:r>
        <w:rPr>
          <w:rFonts w:ascii="Courier New" w:cs="Courier New" w:eastAsia="Courier New" w:hAnsi="Courier New"/>
          <w:sz w:val="16"/>
          <w:szCs w:val="16"/>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392"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5.15 Environmental Matters. (a)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1995,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 a whole.</w:t>
      </w:r>
    </w:p>
    <w:p>
      <w:pPr>
        <w:sectPr>
          <w:pgSz w:w="11900" w:h="16838" w:orient="portrait"/>
          <w:cols w:equalWidth="0" w:num="1">
            <w:col w:w="10219"/>
          </w:cols>
          <w:pgMar w:left="240" w:top="920" w:right="1440" w:bottom="1440" w:gutter="0" w:footer="0" w:header="0"/>
        </w:sectPr>
      </w:pPr>
    </w:p>
    <w:bookmarkStart w:id="43" w:name="page44"/>
    <w:bookmarkEnd w:id="43"/>
    <w:p>
      <w:pPr>
        <w:ind w:left="4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firstLine="1904"/>
        <w:spacing w:after="0" w:line="269"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 (x)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91"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w:t>
      </w:r>
    </w:p>
    <w:p>
      <w:pPr>
        <w:sectPr>
          <w:pgSz w:w="11900" w:h="16838" w:orient="portrait"/>
          <w:cols w:equalWidth="0" w:num="1">
            <w:col w:w="10219"/>
          </w:cols>
          <w:pgMar w:left="240" w:top="920" w:right="1440" w:bottom="1440" w:gutter="0" w:footer="0" w:header="0"/>
        </w:sectPr>
      </w:pPr>
    </w:p>
    <w:bookmarkStart w:id="44" w:name="page45"/>
    <w:bookmarkEnd w:id="44"/>
    <w:p>
      <w:pPr>
        <w:ind w:left="41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relationship with the Company, restricts in any material respect the Company or any subsidiary or affiliate of the Company from, directly or indirectly, engaging in any of the businesses described above.</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1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5.18 Reorganization and Pooling of Interests. To the knowledge of the Company, neither the Company nor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 (c) and (d) of Rule 145 under the Securities Act.</w:t>
      </w:r>
    </w:p>
    <w:p>
      <w:pPr>
        <w:spacing w:after="0" w:line="214"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207"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Section 5.20 Brokers and Finders. Except for the fees and expenses payable to Salomon Smith Barney, which fees are reflected in its agreement with the Company, the</w:t>
      </w:r>
    </w:p>
    <w:p>
      <w:pPr>
        <w:sectPr>
          <w:pgSz w:w="11900" w:h="16838" w:orient="portrait"/>
          <w:cols w:equalWidth="0" w:num="1">
            <w:col w:w="10219"/>
          </w:cols>
          <w:pgMar w:left="240" w:top="919" w:right="1440" w:bottom="1440" w:gutter="0" w:footer="0" w:header="0"/>
        </w:sectPr>
      </w:pPr>
    </w:p>
    <w:bookmarkStart w:id="45" w:name="page46"/>
    <w:bookmarkEnd w:id="45"/>
    <w:p>
      <w:pPr>
        <w:jc w:val="center"/>
        <w:ind w:right="1779"/>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Salomon Smith Barney,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8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Salomon Smith Barney, has rendered an opinion to the Board of Directors of the Company to the effect that, as of the date thereof, the Exchange Ratio is fair to the holders of Company Common Stock from a financial point of view;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6.1 Conduct of Business by the Company Pending the Merger. Except as otherwise permitted by Section 6.1 of the Company Disclosure Schedule or otherwise contemplated by this Agreement, after the date hereof and prior to the Closing Date or earlier termination of this Agreement, unless Parent shall otherwise agree in writing, the Company shall, and shall cause its subsidiaries to:</w:t>
      </w:r>
    </w:p>
    <w:p>
      <w:pPr>
        <w:spacing w:after="0" w:line="210" w:lineRule="exact"/>
        <w:rPr>
          <w:sz w:val="20"/>
          <w:szCs w:val="20"/>
          <w:color w:val="auto"/>
        </w:rPr>
      </w:pPr>
    </w:p>
    <w:p>
      <w:pPr>
        <w:ind w:left="960" w:right="2099" w:firstLine="944"/>
        <w:spacing w:after="0" w:line="235"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212"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exercise of options and warrants, (ii) the Company may issue shares of Company Common Stock (or warrants or options to acquire up to an aggregate of 120,000 shares of Company Common Stock) in connection with acquisitions of assets or businesses pursuant to the proviso of Section 6.1(d), (iii) the Company may grant options with an exercise price per share of Company Common Stock no less than the closing price</w:t>
      </w:r>
    </w:p>
    <w:p>
      <w:pPr>
        <w:sectPr>
          <w:pgSz w:w="11900" w:h="16838" w:orient="portrait"/>
          <w:cols w:equalWidth="0" w:num="1">
            <w:col w:w="10219"/>
          </w:cols>
          <w:pgMar w:left="240" w:top="919" w:right="1440" w:bottom="1440" w:gutter="0" w:footer="0" w:header="0"/>
        </w:sectPr>
      </w:pPr>
    </w:p>
    <w:bookmarkStart w:id="46" w:name="page47"/>
    <w:bookmarkEnd w:id="46"/>
    <w:p>
      <w:pPr>
        <w:ind w:left="3164"/>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4" w:right="1779"/>
        <w:spacing w:after="0" w:line="270" w:lineRule="auto"/>
        <w:rPr>
          <w:sz w:val="20"/>
          <w:szCs w:val="20"/>
          <w:color w:val="auto"/>
        </w:rPr>
      </w:pPr>
      <w:r>
        <w:rPr>
          <w:rFonts w:ascii="Courier New" w:cs="Courier New" w:eastAsia="Courier New" w:hAnsi="Courier New"/>
          <w:sz w:val="16"/>
          <w:szCs w:val="16"/>
          <w:color w:val="auto"/>
        </w:rPr>
        <w:t>of a share of Company Common Stock on the day prior to grant of such option with respect to up to an aggregate of 100,000 shares of Company Common Stock; provided, however, that such grants may not be made to any current executive officer or director of the Company and may only be made in the ordinary course of business, to employees of the Company and its subsidiaries consistent with past practice; and (iv) after December 31, 1998, the Company may issue options to executive officers and directors in an amount consistent with past practice and after delivery to Parent of a letter from Ernst &amp; Young LLP in a form reasonably satisfactory to Parent to the effect that the issuance of such options would not prevent the Merger from being treated as a "pooling of interests" for financial accounting purposes.</w:t>
      </w:r>
    </w:p>
    <w:p>
      <w:pPr>
        <w:spacing w:after="0" w:line="391" w:lineRule="exact"/>
        <w:rPr>
          <w:sz w:val="20"/>
          <w:szCs w:val="20"/>
          <w:color w:val="auto"/>
        </w:rPr>
      </w:pPr>
    </w:p>
    <w:p>
      <w:pPr>
        <w:ind w:left="4" w:right="1779" w:firstLine="944"/>
        <w:spacing w:after="0" w:line="270" w:lineRule="auto"/>
        <w:tabs>
          <w:tab w:leader="none" w:pos="137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or extensions of the Existing Credit Facilities to finance acquisitions pursuant to the proviso of this Section 6.1(d), (B) borrowings to refinance existing indebtedness on terms which are reasonably acceptable to Parent, (C) assumption of loans of certain leases of equipment in connection with acquisitions or rollovers of certain leases of equipment in the ordinary course of business consistent with past practice in amount or (D) borrowings in connection with acquisitions as set forth in the proviso in this Section 6.1(d),</w:t>
      </w:r>
    </w:p>
    <w:p>
      <w:pPr>
        <w:spacing w:after="0" w:line="183" w:lineRule="exact"/>
        <w:rPr>
          <w:rFonts w:ascii="Courier New" w:cs="Courier New" w:eastAsia="Courier New" w:hAnsi="Courier New"/>
          <w:sz w:val="16"/>
          <w:szCs w:val="16"/>
          <w:color w:val="auto"/>
        </w:rPr>
      </w:pPr>
    </w:p>
    <w:p>
      <w:pPr>
        <w:ind w:left="4" w:right="1779" w:hanging="4"/>
        <w:spacing w:after="0" w:line="238" w:lineRule="auto"/>
        <w:tabs>
          <w:tab w:leader="none" w:pos="53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acquire or offer to purchase or acquire any shares of its capital stock or any options, warrants or rights to acquire any of its capital stock or any security convertible into or exchangeable for its capital stock, (iii) notwithstanding any other provision of this Section 6.1, take any action that would jeopardize the treatment of the Merger as a pooling of interests under Opinion No. 16 of the Accounting Principles Board ("APB No. 16"), (iv) notwithstanding any other provision of this Section 6.1,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1997 revenues less than $5.0 million, and (d) pledges or encumbrances pursuant to Existing Credit Facilities or other permitted borrowings, or (vii)</w:t>
      </w:r>
    </w:p>
    <w:p>
      <w:pPr>
        <w:sectPr>
          <w:pgSz w:w="11900" w:h="16838" w:orient="portrait"/>
          <w:cols w:equalWidth="0" w:num="1">
            <w:col w:w="9263"/>
          </w:cols>
          <w:pgMar w:left="1196" w:top="920" w:right="1440" w:bottom="1440" w:gutter="0" w:footer="0" w:header="0"/>
        </w:sectPr>
      </w:pPr>
    </w:p>
    <w:bookmarkStart w:id="47" w:name="page48"/>
    <w:bookmarkEnd w:id="47"/>
    <w:p>
      <w:pPr>
        <w:ind w:left="316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except as contemplated by the following proviso,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revenue projected to be earned from acquisitions (other than those acquisitions disclosed in Section 6.1 of the Company Disclosure Schedule) for the twelve months following each acquisition does not exceed $150 million prior to December 31, 1998 or $250 million thereafter, and the aggregate value of consideration paid or payable for any one such acquisition (other than those acquisitions disclosed in Section 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$60 million. For purposes of the foregoing, any contingent, royalty and similar payments made in connection with acquisitions of businesses or assets shall be included as acquisition consideration and shall be deemed to have a value equal to their present value assuming an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944"/>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w:t>
      </w:r>
    </w:p>
    <w:p>
      <w:pPr>
        <w:sectPr>
          <w:pgSz w:w="11900" w:h="16838" w:orient="portrait"/>
          <w:cols w:equalWidth="0" w:num="1">
            <w:col w:w="9259"/>
          </w:cols>
          <w:pgMar w:left="1200" w:top="920" w:right="1440" w:bottom="1440" w:gutter="0" w:footer="0" w:header="0"/>
        </w:sectPr>
      </w:pPr>
    </w:p>
    <w:bookmarkStart w:id="48" w:name="page49"/>
    <w:bookmarkEnd w:id="48"/>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left="960" w:right="1879" w:firstLine="944"/>
        <w:spacing w:after="0" w:line="279"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with one or more representatives of Parent to report operational matters of materiality and the general status of ongoing operations;</w:t>
      </w:r>
    </w:p>
    <w:p>
      <w:pPr>
        <w:spacing w:after="0" w:line="178" w:lineRule="exact"/>
        <w:rPr>
          <w:rFonts w:ascii="Courier New" w:cs="Courier New" w:eastAsia="Courier New" w:hAnsi="Courier New"/>
          <w:sz w:val="16"/>
          <w:szCs w:val="16"/>
          <w:color w:val="auto"/>
        </w:rPr>
      </w:pPr>
    </w:p>
    <w:p>
      <w:pPr>
        <w:ind w:left="960" w:right="1779" w:firstLine="944"/>
        <w:spacing w:after="0" w:line="271"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of business and consistent with past practice; provided, however, that the Company and its subsidiaries shall in no event enter into or amend any written employment agreement providing for annual base salary in excess of $75,000 per annum, except for employment agreements entered into with the sellers of businesses acquired in accordance with this Agreement;</w:t>
      </w:r>
    </w:p>
    <w:p>
      <w:pPr>
        <w:spacing w:after="0" w:line="183" w:lineRule="exact"/>
        <w:rPr>
          <w:rFonts w:ascii="Courier New" w:cs="Courier New" w:eastAsia="Courier New" w:hAnsi="Courier New"/>
          <w:sz w:val="16"/>
          <w:szCs w:val="16"/>
          <w:color w:val="auto"/>
        </w:rPr>
      </w:pPr>
    </w:p>
    <w:p>
      <w:pPr>
        <w:ind w:left="960" w:right="1779" w:firstLine="944"/>
        <w:spacing w:after="0" w:line="268"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or award under the Company's 1997 Stock Option Plan, 1996 Stock Option Plan, 1991 Stock Option Plan and the 1988 Employee Stock Bonus Plan,</w:t>
      </w:r>
    </w:p>
    <w:p>
      <w:pPr>
        <w:spacing w:after="0" w:line="2" w:lineRule="exact"/>
        <w:rPr>
          <w:rFonts w:ascii="Courier New" w:cs="Courier New" w:eastAsia="Courier New" w:hAnsi="Courier New"/>
          <w:sz w:val="16"/>
          <w:szCs w:val="16"/>
          <w:color w:val="auto"/>
        </w:rPr>
      </w:pPr>
    </w:p>
    <w:p>
      <w:pPr>
        <w:ind w:left="960" w:right="1779" w:hanging="4"/>
        <w:spacing w:after="0" w:line="237" w:lineRule="auto"/>
        <w:tabs>
          <w:tab w:leader="none" w:pos="148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foregoing involving any such then existing plans, agreements, trusts, funds or arrangements of any company acquired after the date hereof or (v) as required pursuant to an existing contractual arrangement or agreement;</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7" w:lineRule="exact"/>
        <w:rPr>
          <w:rFonts w:ascii="Courier New" w:cs="Courier New" w:eastAsia="Courier New" w:hAnsi="Courier New"/>
          <w:sz w:val="18"/>
          <w:szCs w:val="18"/>
          <w:color w:val="auto"/>
        </w:rPr>
      </w:pPr>
    </w:p>
    <w:p>
      <w:pPr>
        <w:ind w:left="960" w:right="2099" w:firstLine="944"/>
        <w:spacing w:after="0" w:line="236"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make, change or revoke any material Tax election or make any material agreement or settlement regarding Taxes with any taxing authority; and</w:t>
      </w:r>
    </w:p>
    <w:p>
      <w:pPr>
        <w:spacing w:after="0" w:line="208" w:lineRule="exact"/>
        <w:rPr>
          <w:rFonts w:ascii="Courier New" w:cs="Courier New" w:eastAsia="Courier New" w:hAnsi="Courier New"/>
          <w:sz w:val="18"/>
          <w:szCs w:val="18"/>
          <w:color w:val="auto"/>
        </w:rPr>
      </w:pPr>
    </w:p>
    <w:p>
      <w:pPr>
        <w:ind w:left="960" w:right="2099" w:firstLine="944"/>
        <w:spacing w:after="0" w:line="236"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its accounting principles or practices other than as required by United States generally accepted accounting principles.</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ectPr>
          <w:pgSz w:w="11900" w:h="16838" w:orient="portrait"/>
          <w:cols w:equalWidth="0" w:num="1">
            <w:col w:w="10219"/>
          </w:cols>
          <w:pgMar w:left="240" w:top="919" w:right="1440" w:bottom="1440" w:gutter="0" w:footer="0" w:header="0"/>
        </w:sectPr>
      </w:pPr>
    </w:p>
    <w:bookmarkStart w:id="49" w:name="page50"/>
    <w:bookmarkEnd w:id="49"/>
    <w:p>
      <w:pPr>
        <w:ind w:left="41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960" w:right="2099" w:firstLine="944"/>
        <w:spacing w:after="0" w:line="235" w:lineRule="auto"/>
        <w:tabs>
          <w:tab w:leader="none" w:pos="232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(except for any amendments by Parent of its Certificate of Incorporation to increase the number of authorized shares of Parent Common Stock so as to be able to consummate the Merger) or by-laws,</w:t>
      </w:r>
    </w:p>
    <w:p>
      <w:pPr>
        <w:spacing w:after="0" w:line="4" w:lineRule="exact"/>
        <w:rPr>
          <w:rFonts w:ascii="Courier New" w:cs="Courier New" w:eastAsia="Courier New" w:hAnsi="Courier New"/>
          <w:sz w:val="18"/>
          <w:szCs w:val="18"/>
          <w:color w:val="auto"/>
        </w:rPr>
      </w:pPr>
    </w:p>
    <w:p>
      <w:pPr>
        <w:ind w:left="960" w:right="1779" w:hanging="4"/>
        <w:spacing w:after="0" w:line="237" w:lineRule="auto"/>
        <w:tabs>
          <w:tab w:leader="none" w:pos="148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or reclassify (whether by stock dividend or otherwise) their outstanding capital stock, or (iii) declare, set aside or pay any dividend or distribution payable in cash, stock, property or otherwise, except for the payment of quarterly cash dividends, or dividends or distributions to Parent by a wholly-owned subsidiary of Parent;</w:t>
      </w:r>
    </w:p>
    <w:p>
      <w:pPr>
        <w:spacing w:after="0" w:line="209" w:lineRule="exact"/>
        <w:rPr>
          <w:rFonts w:ascii="Courier New" w:cs="Courier New" w:eastAsia="Courier New" w:hAnsi="Courier New"/>
          <w:sz w:val="18"/>
          <w:szCs w:val="18"/>
          <w:color w:val="auto"/>
        </w:rPr>
      </w:pPr>
    </w:p>
    <w:p>
      <w:pPr>
        <w:ind w:left="960" w:right="2199" w:firstLine="944"/>
        <w:spacing w:after="0" w:line="268" w:lineRule="auto"/>
        <w:tabs>
          <w:tab w:leader="none" w:pos="232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take any action that would jeopardize the treatment of the Merger as a pooling of interests under APB No. 16,</w:t>
      </w:r>
    </w:p>
    <w:p>
      <w:pPr>
        <w:ind w:left="960" w:right="1779" w:hanging="4"/>
        <w:spacing w:after="0" w:line="237" w:lineRule="auto"/>
        <w:tabs>
          <w:tab w:leader="none" w:pos="148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w:t>
      </w:r>
    </w:p>
    <w:p>
      <w:pPr>
        <w:spacing w:after="0" w:line="208"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intentionally delist the Parent Common Stock from trading on the NYSE; and</w:t>
      </w:r>
    </w:p>
    <w:p>
      <w:pPr>
        <w:spacing w:after="0" w:line="208" w:lineRule="exact"/>
        <w:rPr>
          <w:rFonts w:ascii="Courier New" w:cs="Courier New" w:eastAsia="Courier New" w:hAnsi="Courier New"/>
          <w:sz w:val="18"/>
          <w:szCs w:val="18"/>
          <w:color w:val="auto"/>
        </w:rPr>
      </w:pPr>
    </w:p>
    <w:p>
      <w:pPr>
        <w:ind w:left="960" w:right="2099" w:firstLine="944"/>
        <w:spacing w:after="0" w:line="236" w:lineRule="auto"/>
        <w:tabs>
          <w:tab w:leader="none" w:pos="232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its accounting principles or practices other than as required by United States generally accepted accounting principles.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210" w:lineRule="exact"/>
        <w:rPr>
          <w:sz w:val="20"/>
          <w:szCs w:val="20"/>
          <w:color w:val="auto"/>
        </w:rPr>
      </w:pPr>
    </w:p>
    <w:p>
      <w:pPr>
        <w:ind w:right="1879" w:firstLine="1896"/>
        <w:spacing w:after="0" w:line="273" w:lineRule="auto"/>
        <w:rPr>
          <w:sz w:val="20"/>
          <w:szCs w:val="20"/>
          <w:color w:val="auto"/>
        </w:rPr>
      </w:pPr>
      <w:r>
        <w:rPr>
          <w:rFonts w:ascii="Courier New" w:cs="Courier New" w:eastAsia="Courier New" w:hAnsi="Courier New"/>
          <w:sz w:val="16"/>
          <w:szCs w:val="16"/>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85"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w:t>
      </w:r>
    </w:p>
    <w:p>
      <w:pPr>
        <w:sectPr>
          <w:pgSz w:w="11900" w:h="16838" w:orient="portrait"/>
          <w:cols w:equalWidth="0" w:num="1">
            <w:col w:w="10219"/>
          </w:cols>
          <w:pgMar w:left="240" w:top="919" w:right="1440" w:bottom="144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offer to acquire all or any substantial part of the business or properties of the Company or any capital stock of the Company, whether by merger, purchase of assets, tender offer or otherwise, (other than a transaction permitted pursuant to Section 6.1(d)) whether for cash, securities or any other consideration or combination thereof (any such transactions being referred to herein as an "Acquisition Transaction").</w:t>
      </w:r>
    </w:p>
    <w:p>
      <w:pPr>
        <w:spacing w:after="0" w:line="210" w:lineRule="exact"/>
        <w:rPr>
          <w:sz w:val="20"/>
          <w:szCs w:val="20"/>
          <w:color w:val="auto"/>
        </w:rPr>
      </w:pPr>
    </w:p>
    <w:p>
      <w:pPr>
        <w:ind w:right="1779" w:firstLine="1904"/>
        <w:spacing w:after="0" w:line="238"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could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 and agreed that negotiations and other activities conducted in accordance with this paragraph (b) shall not constitute a violation of paragraph (a) of this Section 6.5.</w:t>
      </w:r>
    </w:p>
    <w:p>
      <w:pPr>
        <w:spacing w:after="0" w:line="210"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promptly (but in any event within 48 hours)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w:t>
      </w:r>
    </w:p>
    <w:p>
      <w:pPr>
        <w:sectPr>
          <w:pgSz w:w="11900" w:h="16838" w:orient="portrait"/>
          <w:cols w:equalWidth="0" w:num="1">
            <w:col w:w="10219"/>
          </w:cols>
          <w:pgMar w:left="240" w:top="920" w:right="1440" w:bottom="1440" w:gutter="0" w:footer="0" w:header="0"/>
        </w:sectPr>
      </w:pPr>
    </w:p>
    <w:bookmarkStart w:id="51" w:name="page52"/>
    <w:bookmarkEnd w:id="51"/>
    <w:p>
      <w:pPr>
        <w:jc w:val="center"/>
        <w:ind w:right="1779"/>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representatives (the "Company Representatives") reasonable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392" w:lineRule="exact"/>
        <w:rPr>
          <w:sz w:val="20"/>
          <w:szCs w:val="20"/>
          <w:color w:val="auto"/>
        </w:rPr>
      </w:pPr>
    </w:p>
    <w:p>
      <w:pPr>
        <w:ind w:right="1779" w:firstLine="1904"/>
        <w:spacing w:after="0" w:line="237"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Proxy Statement/Prospectus shall not contain any untrue statement of a material fact or omit to</w:t>
      </w:r>
    </w:p>
    <w:p>
      <w:pPr>
        <w:sectPr>
          <w:pgSz w:w="11900" w:h="16838" w:orient="portrait"/>
          <w:cols w:equalWidth="0" w:num="1">
            <w:col w:w="10219"/>
          </w:cols>
          <w:pgMar w:left="240" w:top="919" w:right="1440" w:bottom="1440" w:gutter="0" w:footer="0" w:header="0"/>
        </w:sectPr>
      </w:pPr>
    </w:p>
    <w:bookmarkStart w:id="52" w:name="page53"/>
    <w:bookmarkEnd w:id="52"/>
    <w:p>
      <w:pPr>
        <w:ind w:left="41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state a material fact required to be stated therein or necessary to make the statements therein, in the light of the circumstances under which they were made, not misleading.</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7.3 Stockholders' Approvals. Subject to the fiduciary duties of the Board of Directors of the Company under applicable law and to the terms of this Agreement,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and to the terms of this Agreement, such meeting of stockholders shall be held as soon as practicable following the date upon which the Registration Statement becomes effective. Subject to the fiduciary duties of the Board of Directors of the Company under applicable law and to the terms of this Agreement, the Company shall, through its Board of Directors, recommend to its stockholders approval of the transactions contemplated by this Agreement.</w:t>
      </w:r>
    </w:p>
    <w:p>
      <w:pPr>
        <w:spacing w:after="0" w:line="38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NYSE, upon official notice of issuance, of the shares of Parent Common Stock to be issued pursuant to the Merger or to be reserved for issuance upon exercise of stock options or warrants.</w:t>
      </w:r>
    </w:p>
    <w:p>
      <w:pPr>
        <w:spacing w:after="0" w:line="209" w:lineRule="exact"/>
        <w:rPr>
          <w:sz w:val="20"/>
          <w:szCs w:val="20"/>
          <w:color w:val="auto"/>
        </w:rPr>
      </w:pPr>
    </w:p>
    <w:p>
      <w:pPr>
        <w:ind w:right="2199" w:firstLine="1896"/>
        <w:spacing w:after="0" w:line="273"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Proxy Statement/Prospectus shall be shared equally by Parent and the Company.</w:t>
      </w:r>
    </w:p>
    <w:p>
      <w:pPr>
        <w:spacing w:after="0" w:line="179" w:lineRule="exact"/>
        <w:rPr>
          <w:sz w:val="20"/>
          <w:szCs w:val="20"/>
          <w:color w:val="auto"/>
        </w:rPr>
      </w:pPr>
    </w:p>
    <w:p>
      <w:pPr>
        <w:ind w:left="2320" w:hanging="416"/>
        <w:spacing w:after="0"/>
        <w:tabs>
          <w:tab w:leader="none" w:pos="23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$35</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 if:</w:t>
      </w:r>
    </w:p>
    <w:p>
      <w:pPr>
        <w:sectPr>
          <w:pgSz w:w="11900" w:h="16838" w:orient="portrait"/>
          <w:cols w:equalWidth="0" w:num="1">
            <w:col w:w="10219"/>
          </w:cols>
          <w:pgMar w:left="240" w:top="920" w:right="1440" w:bottom="1440" w:gutter="0" w:footer="0" w:header="0"/>
        </w:sectPr>
      </w:pPr>
    </w:p>
    <w:bookmarkStart w:id="53" w:name="page54"/>
    <w:bookmarkEnd w:id="53"/>
    <w:p>
      <w:pPr>
        <w:ind w:left="41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2320" w:hanging="416"/>
        <w:spacing w:after="0"/>
        <w:tabs>
          <w:tab w:leader="none" w:pos="23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this Agreement pursuant to clause</w:t>
      </w:r>
    </w:p>
    <w:p>
      <w:pPr>
        <w:ind w:left="1480" w:hanging="524"/>
        <w:spacing w:after="0" w:line="238" w:lineRule="auto"/>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(v) of Section 9.1(a);</w:t>
      </w:r>
    </w:p>
    <w:p>
      <w:pPr>
        <w:spacing w:after="0" w:line="207" w:lineRule="exact"/>
        <w:rPr>
          <w:rFonts w:ascii="Courier New" w:cs="Courier New" w:eastAsia="Courier New" w:hAnsi="Courier New"/>
          <w:sz w:val="18"/>
          <w:szCs w:val="18"/>
          <w:color w:val="auto"/>
        </w:rPr>
      </w:pPr>
    </w:p>
    <w:p>
      <w:pPr>
        <w:ind w:left="960" w:right="1879" w:firstLine="944"/>
        <w:spacing w:after="0" w:line="235" w:lineRule="auto"/>
        <w:tabs>
          <w:tab w:leader="none" w:pos="2435"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terminates this Agreement pursuant to clause (iv) of Section 9.1(b); or</w:t>
      </w:r>
    </w:p>
    <w:p>
      <w:pPr>
        <w:spacing w:after="0" w:line="208"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terminates this Agreement pursuant to clause</w:t>
      </w:r>
    </w:p>
    <w:p>
      <w:pPr>
        <w:spacing w:after="0" w:line="21" w:lineRule="exact"/>
        <w:rPr>
          <w:rFonts w:ascii="Courier New" w:cs="Courier New" w:eastAsia="Courier New" w:hAnsi="Courier New"/>
          <w:sz w:val="16"/>
          <w:szCs w:val="16"/>
          <w:color w:val="auto"/>
        </w:rPr>
      </w:pPr>
    </w:p>
    <w:p>
      <w:pPr>
        <w:ind w:left="960" w:right="1779" w:hanging="4"/>
        <w:spacing w:after="0" w:line="271" w:lineRule="auto"/>
        <w:tabs>
          <w:tab w:leader="none" w:pos="148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9.1(b); (B) prior to the time of such termination a proposal relating to a Acquisition Transaction had been made; and (C) on or prior to the six month anniversary of the termination of this Agreement the Company or any of its subsidiaries or affiliates (x) enters into an agreement or letter of intent (or if the Company's Board of Directors resolves or announces an intention to do) with respect to any Business Combination with any person, entity or group or (y) consummates any Business Combination with any person, entity or group.</w:t>
      </w:r>
    </w:p>
    <w:p>
      <w:pPr>
        <w:spacing w:after="0" w:line="18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For purposes of this Section 7.6, "Business Combination" means</w:t>
      </w:r>
    </w:p>
    <w:p>
      <w:pPr>
        <w:spacing w:after="0" w:line="21" w:lineRule="exact"/>
        <w:rPr>
          <w:sz w:val="20"/>
          <w:szCs w:val="20"/>
          <w:color w:val="auto"/>
        </w:rPr>
      </w:pPr>
    </w:p>
    <w:p>
      <w:pPr>
        <w:ind w:right="17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consolidation, share exchange, business combination or similar transaction involving the Company as a result of which the Company stockholders prior to such transaction in the aggregate cease to own at least 70% of the voting securities of the entity surviving or resulting from such transaction (or the ultimate parent entity thereof), (ii) a sale, lease, exchange, transfer or other disposition of more than 30% of the assets of the Company and its subsidiaries, taken as a whole, in a single transaction or a series of related transactions, or (iii) the acquisition, by a person (other than Parent or any affiliate thereof), group or entity of beneficial ownership (as defined in Rule 13d-3 under the Exchange Act) of more than 30% of the Company Common Stock whether by tender or exchange offer or otherwise.</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208" w:lineRule="exact"/>
        <w:rPr>
          <w:sz w:val="20"/>
          <w:szCs w:val="20"/>
          <w:color w:val="auto"/>
        </w:rPr>
      </w:pPr>
    </w:p>
    <w:p>
      <w:pPr>
        <w:ind w:right="1779" w:firstLine="1904"/>
        <w:spacing w:after="0" w:line="272" w:lineRule="auto"/>
        <w:tabs>
          <w:tab w:leader="none" w:pos="231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and in any event prior to 15 days after the date hereof, a Notification and Report Form under the HSR Act with the Federal Trade Commission (the "FTC") and the Antitrust Division of the Department of Justice (the "Antitrust Division"). Each of Parent and the Company shall (i) respond as promptly as practicable to any</w:t>
      </w:r>
    </w:p>
    <w:p>
      <w:pPr>
        <w:sectPr>
          <w:pgSz w:w="11900" w:h="16838" w:orient="portrait"/>
          <w:cols w:equalWidth="0" w:num="1">
            <w:col w:w="10219"/>
          </w:cols>
          <w:pgMar w:left="240" w:top="920" w:right="1440" w:bottom="1440" w:gutter="0" w:footer="0" w:header="0"/>
        </w:sectPr>
      </w:pPr>
    </w:p>
    <w:bookmarkStart w:id="54" w:name="page55"/>
    <w:bookmarkEnd w:id="54"/>
    <w:p>
      <w:pPr>
        <w:ind w:left="41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 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take any such actions if such action would be reasonably likely, in the aggregate, to have a material adverse effect on the business, operations, properties, assets, condition (financial or other) or results of operations of the Company and its subsidiaries taken as a whole, in the case of a sale divestiture, holding separate or other disposition of assets of the Company or its subsidiaries, or, in the case of a sale, divestiture, holding separate or other disposition of assets of the Parent or its subsidiaries, such action with respect to a comparable amount of assets of the Company would be reasonably likely, in the aggregate, to have such a material adverse effect.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necessary to vacate, modify or suspend such injunction or order so as to permit such consummation prior to the deadline specified in Section 9.1(a)(ii) or Section 9.1(b)(ii).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the FTC, the Antitrust Division or any State Attorney General relating to this Agreement or any of the matters described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7.7(b). The parties hereto agree that all material telephonic calls and meetings with the FTC, the Antitrust Division or any State Attorney General regarding the transactions contemplated hereby or any of the matters described in this Section 7.7(b) shall include representatives of each of Parent and the Company. Parent shall coordinate and be the principal spokesperson in connection with any proceedings or negotiations with any</w:t>
      </w:r>
    </w:p>
    <w:p>
      <w:pPr>
        <w:sectPr>
          <w:pgSz w:w="11900" w:h="16838" w:orient="portrait"/>
          <w:cols w:equalWidth="0" w:num="1">
            <w:col w:w="10219"/>
          </w:cols>
          <w:pgMar w:left="240" w:top="919" w:right="1440" w:bottom="1440" w:gutter="0" w:footer="0" w:header="0"/>
        </w:sectPr>
      </w:pPr>
    </w:p>
    <w:bookmarkStart w:id="55" w:name="page56"/>
    <w:bookmarkEnd w:id="55"/>
    <w:p>
      <w:pPr>
        <w:ind w:left="41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governmental entity relating to any of the foregoing, provided that it shall afford the Company a reasonable opportunity to participate therein.</w:t>
      </w:r>
    </w:p>
    <w:p>
      <w:pPr>
        <w:spacing w:after="0" w:line="208" w:lineRule="exact"/>
        <w:rPr>
          <w:sz w:val="20"/>
          <w:szCs w:val="20"/>
          <w:color w:val="auto"/>
        </w:rPr>
      </w:pPr>
    </w:p>
    <w:p>
      <w:pPr>
        <w:ind w:right="1779" w:firstLine="1904"/>
        <w:spacing w:after="0" w:line="273" w:lineRule="auto"/>
        <w:tabs>
          <w:tab w:leader="none" w:pos="231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or any Acquisition Transaction, Parent shall have the right, at its own expense, to participate therein, and the Company will not settle any such litigation without the consent of Parent, which consent will not be unreasonably withheld.</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7.9 Option Plans. (a) The Company shall use commercially reasonable efforts and shall take all necessary actions, including but not limited to obtaining the consent of the option holders, if necessary,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average of the closing prices of the Parent Common Stock on the NYSE for the 10 trading days immediately prior to the Closing Date) to the fair value of such Company Option as determined by independent third party experts,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387" w:lineRule="exact"/>
        <w:rPr>
          <w:sz w:val="20"/>
          <w:szCs w:val="20"/>
          <w:color w:val="auto"/>
        </w:rPr>
      </w:pPr>
    </w:p>
    <w:p>
      <w:pPr>
        <w:ind w:right="1879" w:firstLine="1904"/>
        <w:spacing w:after="0" w:line="238" w:lineRule="auto"/>
        <w:tabs>
          <w:tab w:leader="none" w:pos="231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automatically and without any action on the part of the holder thereof, each outstanding Company Option that was not canceled in accordance with Section 7.9(a) above shall be assumed by Parent and become an option to purchase that number of shares of Parent Common Stock obtained by multiplying the number of shares of Company Common Stock issuable upon the exercise of such option by the Exchange Ratio at an exercise price per share equal to the per share exercise price of such option divided by the Exchange Ratio, and otherwise upon the same terms and conditions as such outstanding Company Options; provided, however, that in the case of any Company Option to which Section 421 of the Code applies by reason of the qualifications under Section 422 or 423 of such Code, the exercise price, the number of shares purchasable pursuant to such Company Option be determined in order to comply with Section 424(a) of the Code.</w:t>
      </w:r>
    </w:p>
    <w:p>
      <w:pPr>
        <w:spacing w:after="0" w:line="207"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take all corporate actions necessary to reserve for issuance a sufficient number of shares of Parent Common Stock for delivery upon exercise of the Company Options assumed by Parent, if any, pursuant to Section 7.9(b) above.</w:t>
      </w:r>
    </w:p>
    <w:p>
      <w:pPr>
        <w:sectPr>
          <w:pgSz w:w="11900" w:h="16838" w:orient="portrait"/>
          <w:cols w:equalWidth="0" w:num="1">
            <w:col w:w="10219"/>
          </w:cols>
          <w:pgMar w:left="240" w:top="919" w:right="1440" w:bottom="1440" w:gutter="0" w:footer="0" w:header="0"/>
        </w:sectPr>
      </w:pPr>
    </w:p>
    <w:bookmarkStart w:id="56" w:name="page57"/>
    <w:bookmarkEnd w:id="56"/>
    <w:p>
      <w:pPr>
        <w:ind w:left="41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779" w:firstLine="1904"/>
        <w:spacing w:after="0" w:line="237"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the Effective Time, Parent shall file a Registration Statement on Form S-8 (or any successor or other appropriate forms) with respect to the shares of Parent Common Stock subject to the Company Options and shall use its reasonable efforts to maintain the effectiveness of such registration statement or registration statements (and maintain the current status of the prospectus or prospectuses contained therein) for so long as such Company Options remain outstanding.</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or as otherwise agreed to by the parties, each of the Company stock option plans providing for the issuance or grant of Company Options shall be assumed as of the Effective Time by Parent with such amendments thereto as may be required to reflect the Merger.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guaranty and stand surety for, and shall cause the Surviving Corporation to honor, in accordance with their respective terms each of the covenants contained in this Section 7.11 and each of the indemnification agreements listed on Section 7.11 of the Company Disclosure Schedule without limit as to time; provided, however, in the event of a conflict between the provisions of this Section 7.11 and the provisions of an indemnification agreement listed on Section 7.11 of the Company Disclosure Schedule, the provisions of such indemnification agreement shall govern.</w:t>
      </w:r>
    </w:p>
    <w:p>
      <w:pPr>
        <w:spacing w:after="0" w:line="208" w:lineRule="exact"/>
        <w:rPr>
          <w:sz w:val="20"/>
          <w:szCs w:val="20"/>
          <w:color w:val="auto"/>
        </w:rPr>
      </w:pPr>
    </w:p>
    <w:p>
      <w:pPr>
        <w:ind w:right="1779" w:firstLine="1904"/>
        <w:spacing w:after="0" w:line="237" w:lineRule="auto"/>
        <w:tabs>
          <w:tab w:leader="none" w:pos="231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w:t>
      </w:r>
    </w:p>
    <w:p>
      <w:pPr>
        <w:sectPr>
          <w:pgSz w:w="11900" w:h="16838" w:orient="portrait"/>
          <w:cols w:equalWidth="0" w:num="1">
            <w:col w:w="10219"/>
          </w:cols>
          <w:pgMar w:left="240" w:top="919" w:right="1440" w:bottom="1440" w:gutter="0" w:footer="0" w:header="0"/>
        </w:sectPr>
      </w:pPr>
    </w:p>
    <w:bookmarkStart w:id="57" w:name="page58"/>
    <w:bookmarkEnd w:id="57"/>
    <w:p>
      <w:pPr>
        <w:ind w:left="41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 omission occurring or alleged to occur prior to the Effective Time (including, without limitation, acts or omissions in connection with this Agreement and the consummation of transactions contemplated hereunder and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 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the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1904"/>
        <w:spacing w:after="0" w:line="271"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as set forth in this Section 7.11.</w:t>
      </w:r>
    </w:p>
    <w:p>
      <w:pPr>
        <w:spacing w:after="0" w:line="185" w:lineRule="exact"/>
        <w:rPr>
          <w:rFonts w:ascii="Courier New" w:cs="Courier New" w:eastAsia="Courier New" w:hAnsi="Courier New"/>
          <w:sz w:val="16"/>
          <w:szCs w:val="16"/>
          <w:color w:val="auto"/>
        </w:rPr>
      </w:pPr>
    </w:p>
    <w:p>
      <w:pPr>
        <w:ind w:right="1779" w:firstLine="1904"/>
        <w:spacing w:after="0" w:line="271"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provided that there shall be no lapse of coverage) with respect to matters arising on or before the Effective Time and acts or</w:t>
      </w:r>
    </w:p>
    <w:p>
      <w:pPr>
        <w:sectPr>
          <w:pgSz w:w="11900" w:h="16838" w:orient="portrait"/>
          <w:cols w:equalWidth="0" w:num="1">
            <w:col w:w="10219"/>
          </w:cols>
          <w:pgMar w:left="240" w:top="920" w:right="1440" w:bottom="1440" w:gutter="0" w:footer="0" w:header="0"/>
        </w:sectPr>
      </w:pPr>
    </w:p>
    <w:bookmarkStart w:id="58" w:name="page59"/>
    <w:bookmarkEnd w:id="58"/>
    <w:p>
      <w:pPr>
        <w:ind w:left="41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omissions in connection with this Agreement and the consummation of the transactions contemplated hereunder.</w:t>
      </w:r>
    </w:p>
    <w:p>
      <w:pPr>
        <w:spacing w:after="0" w:line="208" w:lineRule="exact"/>
        <w:rPr>
          <w:sz w:val="20"/>
          <w:szCs w:val="20"/>
          <w:color w:val="auto"/>
        </w:rPr>
      </w:pPr>
    </w:p>
    <w:p>
      <w:pPr>
        <w:ind w:right="2199" w:firstLine="1904"/>
        <w:spacing w:after="0" w:line="279" w:lineRule="auto"/>
        <w:tabs>
          <w:tab w:leader="none" w:pos="231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pay all reasonable expenses, including reasonable attorneys' fees, that may be incurred by any indemnified Party in enforcing the indemnity and other obligations provided in this Section 7.11.</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7.12 Corrections to the Proxy Statement/Prospectus and Registration Statement. Prior to the date of approval of the Merger by their respective stockholders, each of the Company, Parent and Subsidiary shall correct promptly any information provided by it to be used specifically in the Proxy Statement/Prospectus and Registration Statement that shall have become false or misleading in any material respect and shall take all steps necessary to file with the SEC and have declared effective or cleared by the SEC any amendment or supplement to the Proxy Statement/Prospectus or the Registration Statement so as to correct the same and to cause the Proxy Statement/Prospectus as so corrected to be disseminated to the stockholders of the Company and Parent, in each case to the extent required by applicable law.</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7.13. Assumption of Registration Rights Agreements. The Company will use reasonable best efforts to ensure that Parent and Subsidiary shall have no obligation to register any securities of the Surviving Corporation after the Effective Time.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7.14. Company Employees. Prior to the Effective Time, neither Parent nor any subsidiary of Parent or any affiliate of Parent or any of its subsidiaries shall offer to employ or employ any salaried managerial or professional employee of Company or any of its subsidiaries, if such employment would begin prior to the Effective Time, without the prior written consent of Company.</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8.1 Conditions to Each Party's Obligation to Effect the Merger. The respective obligations of each party to effect the Merger shall be subject to the fulfillment at or prior to the Closing Date of the following conditions:</w:t>
      </w:r>
    </w:p>
    <w:p>
      <w:pPr>
        <w:sectPr>
          <w:pgSz w:w="11900" w:h="16838" w:orient="portrait"/>
          <w:cols w:equalWidth="0" w:num="1">
            <w:col w:w="10219"/>
          </w:cols>
          <w:pgMar w:left="240" w:top="919" w:right="1440" w:bottom="1440" w:gutter="0" w:footer="0" w:header="0"/>
        </w:sectPr>
      </w:pPr>
    </w:p>
    <w:bookmarkStart w:id="59" w:name="page60"/>
    <w:bookmarkEnd w:id="59"/>
    <w:p>
      <w:pPr>
        <w:ind w:left="29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240" w:right="17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transactions contemplated hereby shall have been approved and adopted by the requisite vote of the stockholders of the Company under applicable law and applicable listing requirements;</w:t>
      </w:r>
    </w:p>
    <w:p>
      <w:pPr>
        <w:spacing w:after="0" w:line="207"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left="-240" w:right="1999" w:firstLine="944"/>
        <w:spacing w:after="0" w:line="235"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statute, rule or regulation shall have been enacted by any state or federal government or governmental agency in the United States which would prevent the consummation of the Merger or make the Merger illegal;</w:t>
      </w:r>
    </w:p>
    <w:p>
      <w:pPr>
        <w:spacing w:after="0" w:line="207"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and approvals legally required for the consummation of the Merger and the transactions contemplated hereby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213" w:lineRule="exact"/>
        <w:rPr>
          <w:rFonts w:ascii="Courier New" w:cs="Courier New" w:eastAsia="Courier New" w:hAnsi="Courier New"/>
          <w:sz w:val="18"/>
          <w:szCs w:val="18"/>
          <w:color w:val="auto"/>
        </w:rPr>
      </w:pPr>
    </w:p>
    <w:p>
      <w:pPr>
        <w:ind w:left="-240" w:right="2099" w:firstLine="944"/>
        <w:spacing w:after="0" w:line="273" w:lineRule="auto"/>
        <w:tabs>
          <w:tab w:leader="none" w:pos="112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4" w:lineRule="exact"/>
        <w:rPr>
          <w:rFonts w:ascii="Courier New" w:cs="Courier New" w:eastAsia="Courier New" w:hAnsi="Courier New"/>
          <w:sz w:val="16"/>
          <w:szCs w:val="16"/>
          <w:color w:val="auto"/>
        </w:rPr>
      </w:pPr>
    </w:p>
    <w:p>
      <w:pPr>
        <w:ind w:left="-240" w:right="1779" w:firstLine="944"/>
        <w:spacing w:after="0" w:line="273" w:lineRule="auto"/>
        <w:tabs>
          <w:tab w:leader="none" w:pos="112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w:t>
      </w:r>
    </w:p>
    <w:p>
      <w:pPr>
        <w:sectPr>
          <w:pgSz w:w="11900" w:h="16838" w:orient="portrait"/>
          <w:cols w:equalWidth="0" w:num="1">
            <w:col w:w="9019"/>
          </w:cols>
          <w:pgMar w:left="1440" w:top="919" w:right="1440" w:bottom="1440" w:gutter="0" w:footer="0" w:header="0"/>
        </w:sectPr>
      </w:pPr>
    </w:p>
    <w:bookmarkStart w:id="60" w:name="page61"/>
    <w:bookmarkEnd w:id="60"/>
    <w:p>
      <w:pPr>
        <w:ind w:left="41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the Company as a pooling of interests under Accounting Principles Board Opinion No. 16 if closed and consummated in accordance with this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7" w:lineRule="exact"/>
        <w:rPr>
          <w:sz w:val="20"/>
          <w:szCs w:val="20"/>
          <w:color w:val="auto"/>
        </w:rPr>
      </w:pPr>
    </w:p>
    <w:p>
      <w:pPr>
        <w:ind w:left="960" w:right="1879" w:firstLine="944"/>
        <w:spacing w:after="0" w:line="238" w:lineRule="auto"/>
        <w:tabs>
          <w:tab w:leader="none" w:pos="232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have not and would not, in the aggregate, reasonably be expected to have a material adverse effect on the business operations, properties, assets, condition (financial or other) or results of operations of Parent and its subsidiaries considered as a whole (except for representations and warranties that contain materiality or material adverse effect qualifications which representations and warranties shall be true and correct in all respects),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09"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Drinker Biddle &amp; Reath LLP,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w:t>
      </w:r>
    </w:p>
    <w:p>
      <w:pPr>
        <w:spacing w:after="0" w:line="38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2" w:lineRule="exact"/>
        <w:rPr>
          <w:sz w:val="20"/>
          <w:szCs w:val="20"/>
          <w:color w:val="auto"/>
        </w:rPr>
      </w:pPr>
    </w:p>
    <w:p>
      <w:pPr>
        <w:ind w:left="960" w:right="1779" w:firstLine="944"/>
        <w:spacing w:after="0" w:line="237" w:lineRule="auto"/>
        <w:tabs>
          <w:tab w:leader="none" w:pos="232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its agreements contained in this Agreement required to be performed on or prior to the Closing Date and the representations and warranties of the Company contained in this Agreement shall be true</w:t>
      </w:r>
    </w:p>
    <w:p>
      <w:pPr>
        <w:sectPr>
          <w:pgSz w:w="11900" w:h="16838" w:orient="portrait"/>
          <w:cols w:equalWidth="0" w:num="1">
            <w:col w:w="10219"/>
          </w:cols>
          <w:pgMar w:left="240" w:top="919" w:right="1440" w:bottom="1440" w:gutter="0" w:footer="0" w:header="0"/>
        </w:sectPr>
      </w:pPr>
    </w:p>
    <w:bookmarkStart w:id="61" w:name="page62"/>
    <w:bookmarkEnd w:id="61"/>
    <w:p>
      <w:pPr>
        <w:ind w:left="41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and correct on and as of the date made and (except to the extent that such representations and warranties speak as of an earlier date) on and as of the Closing Date as if made at and as of such date, except for such failures to perform and to be true and correct that have not and would not, in the aggregate, reasonably be expected to have a material adverse effect on the business, operations, properties, assets, condition (financial or other) or results of operations of the Company and its subsidiaries considered as a whole (except for representations and warranties that contain materiality or material adverse effect qualifications which representations and warranties shall be true and correct in all respects), and Parent shall have received a Certificate of the President and Chief Executive Officer or of a Vice President of the Company to that effect;</w:t>
      </w:r>
    </w:p>
    <w:p>
      <w:pPr>
        <w:spacing w:after="0" w:line="207" w:lineRule="exact"/>
        <w:rPr>
          <w:sz w:val="20"/>
          <w:szCs w:val="20"/>
          <w:color w:val="auto"/>
        </w:rPr>
      </w:pPr>
    </w:p>
    <w:p>
      <w:pPr>
        <w:ind w:left="960" w:right="1779" w:firstLine="944"/>
        <w:spacing w:after="0" w:line="270" w:lineRule="auto"/>
        <w:tabs>
          <w:tab w:leader="none" w:pos="23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Shearman &amp; Sterling,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 and</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approvals or waivers from the Company's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202" w:lineRule="exact"/>
        <w:rPr>
          <w:sz w:val="20"/>
          <w:szCs w:val="20"/>
          <w:color w:val="auto"/>
        </w:rPr>
      </w:pPr>
    </w:p>
    <w:p>
      <w:pPr>
        <w:ind w:left="2320" w:hanging="416"/>
        <w:spacing w:after="0"/>
        <w:tabs>
          <w:tab w:leader="none" w:pos="23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ectPr>
          <w:pgSz w:w="11900" w:h="16838" w:orient="portrait"/>
          <w:cols w:equalWidth="0" w:num="1">
            <w:col w:w="10219"/>
          </w:cols>
          <w:pgMar w:left="240" w:top="920" w:right="1440" w:bottom="1440" w:gutter="0" w:footer="0" w:header="0"/>
        </w:sectPr>
      </w:pPr>
    </w:p>
    <w:bookmarkStart w:id="62" w:name="page63"/>
    <w:bookmarkEnd w:id="62"/>
    <w:p>
      <w:pPr>
        <w:ind w:left="29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left="700" w:right="1779" w:firstLine="952"/>
        <w:spacing w:after="0" w:line="236" w:lineRule="auto"/>
        <w:tabs>
          <w:tab w:leader="none" w:pos="21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March 31, 1999 (the "Termination Date") (unless due to a delay or default on the part of the Company);</w:t>
      </w:r>
    </w:p>
    <w:p>
      <w:pPr>
        <w:spacing w:after="0" w:line="208" w:lineRule="exact"/>
        <w:rPr>
          <w:rFonts w:ascii="Courier New" w:cs="Courier New" w:eastAsia="Courier New" w:hAnsi="Courier New"/>
          <w:sz w:val="18"/>
          <w:szCs w:val="18"/>
          <w:color w:val="auto"/>
        </w:rPr>
      </w:pPr>
    </w:p>
    <w:p>
      <w:pPr>
        <w:ind w:left="700" w:right="1879" w:firstLine="952"/>
        <w:spacing w:after="0" w:line="237" w:lineRule="auto"/>
        <w:tabs>
          <w:tab w:leader="none" w:pos="2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enjoined by a final, unappealable court order not entered at the request or with the support of the Company and if the Company shall have used reasonable efforts to prevent the entry of such order;</w:t>
      </w:r>
    </w:p>
    <w:p>
      <w:pPr>
        <w:spacing w:after="0" w:line="207" w:lineRule="exact"/>
        <w:rPr>
          <w:rFonts w:ascii="Courier New" w:cs="Courier New" w:eastAsia="Courier New" w:hAnsi="Courier New"/>
          <w:sz w:val="18"/>
          <w:szCs w:val="18"/>
          <w:color w:val="auto"/>
        </w:rPr>
      </w:pPr>
    </w:p>
    <w:p>
      <w:pPr>
        <w:ind w:left="700" w:right="1779" w:firstLine="952"/>
        <w:spacing w:after="0" w:line="237" w:lineRule="auto"/>
        <w:tabs>
          <w:tab w:leader="none" w:pos="21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11" w:lineRule="exact"/>
        <w:rPr>
          <w:rFonts w:ascii="Courier New" w:cs="Courier New" w:eastAsia="Courier New" w:hAnsi="Courier New"/>
          <w:sz w:val="18"/>
          <w:szCs w:val="18"/>
          <w:color w:val="auto"/>
        </w:rPr>
      </w:pPr>
    </w:p>
    <w:p>
      <w:pPr>
        <w:ind w:left="700" w:right="1779" w:firstLine="952"/>
        <w:spacing w:after="0" w:line="268" w:lineRule="auto"/>
        <w:tabs>
          <w:tab w:leader="none" w:pos="2069"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Potential Acquirer (excluding any affiliate of the Company or any group of which any affiliate of the Company is a member) for all outstanding shares of Company Common Stock,</w:t>
      </w:r>
    </w:p>
    <w:p>
      <w:pPr>
        <w:ind w:left="700" w:right="1779" w:firstLine="4"/>
        <w:spacing w:after="0" w:line="237" w:lineRule="auto"/>
        <w:tabs>
          <w:tab w:leader="none" w:pos="11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 or</w:t>
      </w:r>
    </w:p>
    <w:p>
      <w:pPr>
        <w:spacing w:after="0" w:line="215" w:lineRule="exact"/>
        <w:rPr>
          <w:rFonts w:ascii="Courier New" w:cs="Courier New" w:eastAsia="Courier New" w:hAnsi="Courier New"/>
          <w:sz w:val="18"/>
          <w:szCs w:val="18"/>
          <w:color w:val="auto"/>
        </w:rPr>
      </w:pPr>
    </w:p>
    <w:p>
      <w:pPr>
        <w:ind w:left="700" w:right="1999" w:firstLine="952"/>
        <w:spacing w:after="0" w:line="268" w:lineRule="auto"/>
        <w:tabs>
          <w:tab w:leader="none" w:pos="217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w:t>
      </w:r>
    </w:p>
    <w:p>
      <w:pPr>
        <w:ind w:left="700" w:right="1779" w:firstLine="4"/>
        <w:spacing w:after="0" w:line="237" w:lineRule="auto"/>
        <w:tabs>
          <w:tab w:leader="none" w:pos="11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cure such default in all material respects within 30 days after written notice of such default specifying such default in reasonable detail is given to Parent by the Company.</w:t>
      </w:r>
    </w:p>
    <w:p>
      <w:pPr>
        <w:spacing w:after="0" w:line="202" w:lineRule="exact"/>
        <w:rPr>
          <w:sz w:val="20"/>
          <w:szCs w:val="20"/>
          <w:color w:val="auto"/>
        </w:rPr>
      </w:pPr>
    </w:p>
    <w:p>
      <w:pPr>
        <w:ind w:left="1120" w:hanging="416"/>
        <w:spacing w:after="0"/>
        <w:tabs>
          <w:tab w:leader="none" w:pos="11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6" w:lineRule="exact"/>
        <w:rPr>
          <w:rFonts w:ascii="Courier New" w:cs="Courier New" w:eastAsia="Courier New" w:hAnsi="Courier New"/>
          <w:sz w:val="18"/>
          <w:szCs w:val="18"/>
          <w:color w:val="auto"/>
        </w:rPr>
      </w:pPr>
    </w:p>
    <w:p>
      <w:pPr>
        <w:ind w:left="700" w:right="1879" w:firstLine="952"/>
        <w:spacing w:after="0" w:line="237" w:lineRule="auto"/>
        <w:tabs>
          <w:tab w:leader="none" w:pos="2069"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208" w:lineRule="exact"/>
        <w:rPr>
          <w:rFonts w:ascii="Courier New" w:cs="Courier New" w:eastAsia="Courier New" w:hAnsi="Courier New"/>
          <w:sz w:val="18"/>
          <w:szCs w:val="18"/>
          <w:color w:val="auto"/>
        </w:rPr>
      </w:pPr>
    </w:p>
    <w:p>
      <w:pPr>
        <w:ind w:left="700" w:right="1779" w:firstLine="952"/>
        <w:spacing w:after="0" w:line="290" w:lineRule="auto"/>
        <w:tabs>
          <w:tab w:leader="none" w:pos="217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March 31, 1999 (unless due to a delay or default on the part of Parent);</w:t>
      </w:r>
    </w:p>
    <w:p>
      <w:pPr>
        <w:sectPr>
          <w:pgSz w:w="11900" w:h="16838" w:orient="portrait"/>
          <w:cols w:equalWidth="0" w:num="1">
            <w:col w:w="9019"/>
          </w:cols>
          <w:pgMar w:left="1440" w:top="919" w:right="1440" w:bottom="1440" w:gutter="0" w:footer="0" w:header="0"/>
        </w:sectPr>
      </w:pPr>
    </w:p>
    <w:bookmarkStart w:id="63" w:name="page64"/>
    <w:bookmarkEnd w:id="63"/>
    <w:p>
      <w:pPr>
        <w:ind w:left="41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left="1900" w:right="1779" w:firstLine="952"/>
        <w:spacing w:after="0" w:line="237" w:lineRule="auto"/>
        <w:tabs>
          <w:tab w:leader="none" w:pos="34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enjoined by a final, unappealable court order not entered at the request or with the support of Parent and if Parent shall have used reasonable efforts to prevent the entry of such order;</w:t>
      </w:r>
    </w:p>
    <w:p>
      <w:pPr>
        <w:spacing w:after="0" w:line="207" w:lineRule="exact"/>
        <w:rPr>
          <w:rFonts w:ascii="Courier New" w:cs="Courier New" w:eastAsia="Courier New" w:hAnsi="Courier New"/>
          <w:sz w:val="18"/>
          <w:szCs w:val="18"/>
          <w:color w:val="auto"/>
        </w:rPr>
      </w:pPr>
    </w:p>
    <w:p>
      <w:pPr>
        <w:ind w:left="1900" w:right="1779" w:firstLine="952"/>
        <w:spacing w:after="0" w:line="272" w:lineRule="auto"/>
        <w:tabs>
          <w:tab w:leader="none" w:pos="337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185" w:lineRule="exact"/>
        <w:rPr>
          <w:rFonts w:ascii="Courier New" w:cs="Courier New" w:eastAsia="Courier New" w:hAnsi="Courier New"/>
          <w:sz w:val="16"/>
          <w:szCs w:val="16"/>
          <w:color w:val="auto"/>
        </w:rPr>
      </w:pPr>
    </w:p>
    <w:p>
      <w:pPr>
        <w:ind w:left="1900" w:right="1999" w:firstLine="952"/>
        <w:spacing w:after="0" w:line="237" w:lineRule="auto"/>
        <w:tabs>
          <w:tab w:leader="none" w:pos="326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209" w:lineRule="exact"/>
        <w:rPr>
          <w:rFonts w:ascii="Courier New" w:cs="Courier New" w:eastAsia="Courier New" w:hAnsi="Courier New"/>
          <w:sz w:val="18"/>
          <w:szCs w:val="18"/>
          <w:color w:val="auto"/>
        </w:rPr>
      </w:pPr>
    </w:p>
    <w:p>
      <w:pPr>
        <w:ind w:left="1900" w:right="2199" w:firstLine="952"/>
        <w:spacing w:after="0" w:line="237" w:lineRule="auto"/>
        <w:tabs>
          <w:tab w:leader="none" w:pos="337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the Company fail to approve the Merger at a duly held meeting of stockholders called for such purpose or any adjournment or postponement thereof.</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9.1, (i) "affiliate" has the meaning assigned to it in Section 7.4 and (ii) "group" has the meaning set forth in Section 13(d) of the Exchange Act and the rules and regulations thereunder.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in this Section 9.2, the second sentence of Section 7.1(a), Section 7.1(b), Section 7.6 and Section 10.4 shall survive the termination). Nothing in this Section 9.2 shall relieve any party from liability for any willful and intentional breach of any covenant or agreement of such party contained in this Agreement.</w:t>
      </w:r>
    </w:p>
    <w:p>
      <w:pPr>
        <w:spacing w:after="0" w:line="21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and, subject to applicable law, whether before or after approval by the stockholders of the Company, Parent or Subsidiary.</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w:t>
      </w:r>
    </w:p>
    <w:p>
      <w:pPr>
        <w:sectPr>
          <w:pgSz w:w="11900" w:h="16838" w:orient="portrait"/>
          <w:cols w:equalWidth="0" w:num="1">
            <w:col w:w="10219"/>
          </w:cols>
          <w:pgMar w:left="240" w:top="920" w:right="1440" w:bottom="144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such extension or waiver shall be valid only if set forth in an instrument in writing signed on behalf of such party.</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and Section 7.13.</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3" w:lineRule="exact"/>
        <w:rPr>
          <w:sz w:val="20"/>
          <w:szCs w:val="20"/>
          <w:color w:val="auto"/>
        </w:rPr>
      </w:pPr>
    </w:p>
    <w:p>
      <w:pPr>
        <w:ind w:left="2860" w:hanging="956"/>
        <w:spacing w:after="0"/>
        <w:tabs>
          <w:tab w:leader="none" w:pos="2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Subsidiary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Waste Management, Inc.</w:t>
      </w:r>
    </w:p>
    <w:p>
      <w:pPr>
        <w:ind w:left="286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ind w:left="2860"/>
        <w:spacing w:after="0" w:line="237" w:lineRule="auto"/>
        <w:rPr>
          <w:sz w:val="20"/>
          <w:szCs w:val="20"/>
          <w:color w:val="auto"/>
        </w:rPr>
      </w:pPr>
      <w:r>
        <w:rPr>
          <w:rFonts w:ascii="Courier New" w:cs="Courier New" w:eastAsia="Courier New" w:hAnsi="Courier New"/>
          <w:sz w:val="18"/>
          <w:szCs w:val="18"/>
          <w:color w:val="auto"/>
        </w:rPr>
        <w:t>Attn: Gregory T. Sangalis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Shearman &amp; Sterling</w:t>
      </w:r>
    </w:p>
    <w:p>
      <w:pPr>
        <w:ind w:left="2860"/>
        <w:spacing w:after="0" w:line="238" w:lineRule="auto"/>
        <w:rPr>
          <w:sz w:val="20"/>
          <w:szCs w:val="20"/>
          <w:color w:val="auto"/>
        </w:rPr>
      </w:pPr>
      <w:r>
        <w:rPr>
          <w:rFonts w:ascii="Courier New" w:cs="Courier New" w:eastAsia="Courier New" w:hAnsi="Courier New"/>
          <w:sz w:val="18"/>
          <w:szCs w:val="18"/>
          <w:color w:val="auto"/>
        </w:rPr>
        <w:t>599 Lexington Avenue</w:t>
      </w:r>
    </w:p>
    <w:p>
      <w:pPr>
        <w:ind w:left="2860"/>
        <w:spacing w:after="0"/>
        <w:tabs>
          <w:tab w:leader="none" w:pos="4300" w:val="left"/>
        </w:tabs>
        <w:rPr>
          <w:sz w:val="20"/>
          <w:szCs w:val="20"/>
          <w:color w:val="auto"/>
        </w:rPr>
      </w:pPr>
      <w:r>
        <w:rPr>
          <w:rFonts w:ascii="Courier New" w:cs="Courier New" w:eastAsia="Courier New" w:hAnsi="Courier New"/>
          <w:sz w:val="18"/>
          <w:szCs w:val="18"/>
          <w:color w:val="auto"/>
        </w:rPr>
        <w:t>New York, NY</w:t>
        <w:tab/>
        <w:t>10022</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John A. Marzulli, Jr.</w:t>
      </w:r>
    </w:p>
    <w:p>
      <w:pPr>
        <w:spacing w:after="0" w:line="202" w:lineRule="exact"/>
        <w:rPr>
          <w:sz w:val="20"/>
          <w:szCs w:val="20"/>
          <w:color w:val="auto"/>
        </w:rPr>
      </w:pPr>
    </w:p>
    <w:p>
      <w:pPr>
        <w:ind w:left="2860" w:hanging="956"/>
        <w:spacing w:after="0"/>
        <w:tabs>
          <w:tab w:leader="none" w:pos="2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6" w:lineRule="exact"/>
        <w:rPr>
          <w:rFonts w:ascii="Courier New" w:cs="Courier New" w:eastAsia="Courier New" w:hAnsi="Courier New"/>
          <w:sz w:val="18"/>
          <w:szCs w:val="18"/>
          <w:color w:val="auto"/>
        </w:rPr>
      </w:pPr>
    </w:p>
    <w:p>
      <w:pPr>
        <w:ind w:left="286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Eastern Environmental Services, Inc. 1000 Crawford Place</w:t>
      </w:r>
    </w:p>
    <w:p>
      <w:pPr>
        <w:spacing w:after="0" w:line="5" w:lineRule="exact"/>
        <w:rPr>
          <w:rFonts w:ascii="Courier New" w:cs="Courier New" w:eastAsia="Courier New" w:hAnsi="Courier New"/>
          <w:sz w:val="18"/>
          <w:szCs w:val="18"/>
          <w:color w:val="auto"/>
        </w:rPr>
      </w:pPr>
    </w:p>
    <w:p>
      <w:pPr>
        <w:ind w:left="28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Mt. Laurel, NJ 08054 Attn: Robert M. Kramer</w:t>
      </w:r>
    </w:p>
    <w:p>
      <w:pPr>
        <w:sectPr>
          <w:pgSz w:w="11900" w:h="16838" w:orient="portrait"/>
          <w:cols w:equalWidth="0" w:num="1">
            <w:col w:w="10219"/>
          </w:cols>
          <w:pgMar w:left="240" w:top="919" w:right="1440" w:bottom="1440" w:gutter="0" w:footer="0" w:header="0"/>
        </w:sectPr>
      </w:pPr>
    </w:p>
    <w:bookmarkStart w:id="65" w:name="page66"/>
    <w:bookmarkEnd w:id="65"/>
    <w:p>
      <w:pPr>
        <w:ind w:left="41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Drinker Biddle &amp; Reath LLP</w:t>
      </w:r>
    </w:p>
    <w:p>
      <w:pPr>
        <w:ind w:left="2860"/>
        <w:spacing w:after="0" w:line="238" w:lineRule="auto"/>
        <w:rPr>
          <w:sz w:val="20"/>
          <w:szCs w:val="20"/>
          <w:color w:val="auto"/>
        </w:rPr>
      </w:pPr>
      <w:r>
        <w:rPr>
          <w:rFonts w:ascii="Courier New" w:cs="Courier New" w:eastAsia="Courier New" w:hAnsi="Courier New"/>
          <w:sz w:val="18"/>
          <w:szCs w:val="18"/>
          <w:color w:val="auto"/>
        </w:rPr>
        <w:t>1345 Chestnut Street, Suite 110</w:t>
      </w:r>
    </w:p>
    <w:p>
      <w:pPr>
        <w:ind w:left="2860"/>
        <w:spacing w:after="0"/>
        <w:rPr>
          <w:sz w:val="20"/>
          <w:szCs w:val="20"/>
          <w:color w:val="auto"/>
        </w:rPr>
      </w:pPr>
      <w:r>
        <w:rPr>
          <w:rFonts w:ascii="Courier New" w:cs="Courier New" w:eastAsia="Courier New" w:hAnsi="Courier New"/>
          <w:sz w:val="18"/>
          <w:szCs w:val="18"/>
          <w:color w:val="auto"/>
        </w:rPr>
        <w:t>Philadelphia, PA 19107-3496</w:t>
      </w:r>
    </w:p>
    <w:p>
      <w:pPr>
        <w:ind w:left="2860"/>
        <w:spacing w:after="0" w:line="237" w:lineRule="auto"/>
        <w:rPr>
          <w:sz w:val="20"/>
          <w:szCs w:val="20"/>
          <w:color w:val="auto"/>
        </w:rPr>
      </w:pPr>
      <w:r>
        <w:rPr>
          <w:rFonts w:ascii="Courier New" w:cs="Courier New" w:eastAsia="Courier New" w:hAnsi="Courier New"/>
          <w:sz w:val="18"/>
          <w:szCs w:val="18"/>
          <w:color w:val="auto"/>
        </w:rPr>
        <w:t>Attn: H. John Michel, Jr.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208"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10.6 Parties in Interest. This Agreement shall be binding upon and inure solely to the benefit of each party hereto, and except as set forth in Sections 2.1, 2.2, 3.3, 7.9, 7.11 and 7.13 (which are intended to and 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ectPr>
          <w:pgSz w:w="11900" w:h="16838" w:orient="portrait"/>
          <w:cols w:equalWidth="0" w:num="1">
            <w:col w:w="10219"/>
          </w:cols>
          <w:pgMar w:left="240" w:top="919" w:right="1440" w:bottom="1440" w:gutter="0" w:footer="0" w:header="0"/>
        </w:sectPr>
      </w:pPr>
    </w:p>
    <w:bookmarkStart w:id="66" w:name="page67"/>
    <w:bookmarkEnd w:id="66"/>
    <w:p>
      <w:pPr>
        <w:ind w:left="41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5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WASTE MANAGEMENT, INC.</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16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Gregory T. Sangalis</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By:  /s/</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John E. Drury</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6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John E. Drury</w:t>
            </w:r>
          </w:p>
        </w:tc>
      </w:tr>
      <w:tr>
        <w:trPr>
          <w:trHeight w:val="203"/>
        </w:trPr>
        <w:tc>
          <w:tcPr>
            <w:tcW w:w="3380" w:type="dxa"/>
            <w:vAlign w:val="bottom"/>
          </w:tcPr>
          <w:p>
            <w:pPr>
              <w:spacing w:after="0"/>
              <w:rPr>
                <w:sz w:val="17"/>
                <w:szCs w:val="17"/>
                <w:color w:val="auto"/>
              </w:rPr>
            </w:pPr>
          </w:p>
        </w:tc>
        <w:tc>
          <w:tcPr>
            <w:tcW w:w="1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Title:</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and Chief Executive</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OCHO</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ACQUISITION CORPORATION</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Earl E. DeFrates</w:t>
            </w:r>
          </w:p>
        </w:tc>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Gregory T. Sangalis</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Name:</w:t>
            </w:r>
          </w:p>
        </w:tc>
        <w:tc>
          <w:tcPr>
            <w:tcW w:w="3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Gregory T. Sangalis</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5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Title:</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3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Secretary</w:t>
            </w:r>
          </w:p>
        </w:tc>
      </w:tr>
      <w:tr>
        <w:trPr>
          <w:trHeight w:val="608"/>
        </w:trPr>
        <w:tc>
          <w:tcPr>
            <w:tcW w:w="3480" w:type="dxa"/>
            <w:vAlign w:val="bottom"/>
          </w:tcPr>
          <w:p>
            <w:pPr>
              <w:spacing w:after="0"/>
              <w:rPr>
                <w:sz w:val="24"/>
                <w:szCs w:val="24"/>
                <w:color w:val="auto"/>
              </w:rPr>
            </w:pPr>
          </w:p>
        </w:tc>
        <w:tc>
          <w:tcPr>
            <w:tcW w:w="496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EASTERN ENVIRONMENTAL SERVICES, INC.</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Robert M. Kramer</w:t>
            </w:r>
          </w:p>
        </w:tc>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Louis D. Paolino, Jr.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Name:</w:t>
            </w:r>
          </w:p>
        </w:tc>
        <w:tc>
          <w:tcPr>
            <w:tcW w:w="3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Louis D. Paolino, Jr.</w:t>
            </w:r>
          </w:p>
        </w:tc>
      </w:tr>
      <w:tr>
        <w:trPr>
          <w:trHeight w:val="203"/>
        </w:trPr>
        <w:tc>
          <w:tcPr>
            <w:tcW w:w="3480" w:type="dxa"/>
            <w:vAlign w:val="bottom"/>
          </w:tcPr>
          <w:p>
            <w:pPr>
              <w:spacing w:after="0"/>
              <w:rPr>
                <w:sz w:val="17"/>
                <w:szCs w:val="17"/>
                <w:color w:val="auto"/>
              </w:rPr>
            </w:pPr>
          </w:p>
        </w:tc>
        <w:tc>
          <w:tcPr>
            <w:tcW w:w="15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Title:</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President and Chief</w:t>
            </w:r>
          </w:p>
        </w:tc>
      </w:tr>
      <w:tr>
        <w:trPr>
          <w:trHeight w:val="203"/>
        </w:trPr>
        <w:tc>
          <w:tcPr>
            <w:tcW w:w="3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Officer</w:t>
            </w:r>
          </w:p>
        </w:tc>
      </w:tr>
    </w:tbl>
    <w:p>
      <w:pPr>
        <w:sectPr>
          <w:pgSz w:w="11900" w:h="16838" w:orient="portrait"/>
          <w:cols w:equalWidth="0" w:num="1">
            <w:col w:w="10219"/>
          </w:cols>
          <w:pgMar w:left="240" w:top="919" w:right="1440" w:bottom="1440" w:gutter="0" w:footer="0" w:header="0"/>
        </w:sectPr>
      </w:pPr>
    </w:p>
    <w:bookmarkStart w:id="67" w:name="page68"/>
    <w:bookmarkEnd w:id="67"/>
    <w:p>
      <w:pPr>
        <w:ind w:left="358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STOCKHOLDERS SUPPORT AGREEMENT</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STOCKHOLDERS SUPPORT AGREEMENT, dated as of August 16, 1998 (this "Agreement"), among WASTE MANAGEMENT, INC., a Delaware corporation ("Parent"), OCHO ACQUISITION CORPORATION, a Delaware corporation and a wholly owned subsidiary of Parent ("Subsidiary"), and the stockholders whose names appear on the signature pages of this Agreement (each a "Stockholder" and collectively the "Stockholders").</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as of the date hereof, the Stockholders own of record or has the power to vote the number of shares of Common Stock, par value $.01 per share ("Company Common Stock"), of Services Inc., a Delaware corporation (the "Company ") as set forth opposite such Stockholder's name on Exhibit A hereto (all such Company Common Stock and any shares of Company Common Stock of which ownership of record or the power to vote is hereafter acquired by the Stockholders prior to the termination of this Agreement being referred to herein as the "Shares");</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Parent, Subsidiary and the Company propose to enter into (i) an Agreement and Plan of Merger, dated as of even date herewith (as the same may be amended from time to time, the "Merger Agreement"), which provides, upon the terms and subject to the conditions thereof, for the merger of Subsidiary with and into the Company (the "Merger") and (ii) an agreement granting Parent an option on certain shares of Company Common Stock (the "Stock Option Agreement"); and</w:t>
      </w:r>
    </w:p>
    <w:p>
      <w:pPr>
        <w:spacing w:after="0" w:line="211"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WHEREAS, as a condition to the willingness of Parent to enter into the Merger Agreement, Parent has requested that the Stockholders agree, and, in order to induce Parent to enter into the Merger Agreement, the Stockholders have agreed, jointly and severally, to enter into this Agreement;</w:t>
      </w:r>
    </w:p>
    <w:p>
      <w:pPr>
        <w:spacing w:after="0" w:line="182" w:lineRule="exact"/>
        <w:rPr>
          <w:sz w:val="20"/>
          <w:szCs w:val="20"/>
          <w:color w:val="auto"/>
        </w:rPr>
      </w:pPr>
    </w:p>
    <w:p>
      <w:pPr>
        <w:jc w:val="both"/>
        <w:ind w:right="2099" w:firstLine="1896"/>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of the mutual agreements and covenants set forth herein and in the Merger Agreement, and intending to be legally bound hereby, the parties hereto hereby agree as follows: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TRANSFER AND VOTING OF SHARES</w:t>
      </w:r>
    </w:p>
    <w:p>
      <w:pPr>
        <w:spacing w:after="0" w:line="207" w:lineRule="exact"/>
        <w:rPr>
          <w:sz w:val="20"/>
          <w:szCs w:val="20"/>
          <w:color w:val="auto"/>
        </w:rPr>
      </w:pPr>
    </w:p>
    <w:p>
      <w:pPr>
        <w:ind w:right="2519" w:firstLine="1896"/>
        <w:spacing w:after="0" w:line="236" w:lineRule="auto"/>
        <w:rPr>
          <w:sz w:val="20"/>
          <w:szCs w:val="20"/>
          <w:color w:val="auto"/>
        </w:rPr>
      </w:pPr>
      <w:r>
        <w:rPr>
          <w:rFonts w:ascii="Courier New" w:cs="Courier New" w:eastAsia="Courier New" w:hAnsi="Courier New"/>
          <w:sz w:val="18"/>
          <w:szCs w:val="18"/>
          <w:color w:val="auto"/>
        </w:rPr>
        <w:t>SECTION 1.01. Transfer of Shares. No Stockholder shall, directly or indirectly, (a) sell (other than pursuant to any brokers' transaction executed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Stockholder's orders on any exchange or in the over the counter market), pledge (other than in connection with margin accounts maintained by such Stockholder) or otherwise dispose of any or all of such Stockholder's Shares, (b) deposit any Shares into a voting trust or enter into a voting agreement or arrangement with respect to any Shares or grant any proxy with respect thereto or (c) enter into any contract, option or other arrangement or undertaking with respect to the direct or indirect acquisition or sale (other than pursuant to any brokers' transaction executed upon the Stockholder's orders on any exchange or in the over the counter market), assignment, transfer or other disposition of any Shares.</w:t>
      </w:r>
    </w:p>
    <w:p>
      <w:pPr>
        <w:spacing w:after="0" w:line="21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1.02. Voting of Shares; Further Assurances. (a) Each Stockholder, by this Agreement, with respect to the Shares set out in Exhibit A hereto and any Shares hereinafter acquired by such Stockholder, does hereby constitute and appoint Subsidiary, or any nominee of Subsidiary, with full power of substitution, as his, her or its true and lawful attorney and proxy, for and in his, her or its name, place and stead, to vote each of such Shares as his, her or its proxy, at every annual, special or adjourned meeting of the stockholders of the Company (including the right to sign his, her or its name (as stockholder) to any consent, certificate or other document relating to the Company that may be permitted or required by applicable law) (i) in favor of the adoption of the Merger Agreement and approval of the Merger and the other transactions contemplated by the Merger Agreement, (ii) against any transaction pursuant to an Acquisition Proposal (as defined below) or any other action or agreement that would result in a breach of any covenant, representation or warranty or any other obligation or agreement of the Company under the Merger Agreement or which could result in any of the conditions to the Company's</w:t>
      </w:r>
    </w:p>
    <w:p>
      <w:pPr>
        <w:sectPr>
          <w:pgSz w:w="11900" w:h="16838" w:orient="portrait"/>
          <w:cols w:equalWidth="0" w:num="1">
            <w:col w:w="10219"/>
          </w:cols>
          <w:pgMar w:left="240" w:top="136" w:right="1440" w:bottom="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obligations under the Merger Agreement not being fulfilled, and (iii) in favor of any other matter relating to consummation of the transactions contemplated by the Merger Agreement. Each Stockholder further agrees to cause the number of Shares as set forth opposite such Stockholder's name in Exhibit A hereto and all Shares over which he has voting power to be voted in accordance with the foregoing. Each Stockholder acknowledges receipt and review of a copy of the Merger Agreement.</w:t>
      </w:r>
    </w:p>
    <w:p>
      <w:pPr>
        <w:spacing w:after="0" w:line="211" w:lineRule="exact"/>
        <w:rPr>
          <w:sz w:val="20"/>
          <w:szCs w:val="20"/>
          <w:color w:val="auto"/>
        </w:rPr>
      </w:pPr>
    </w:p>
    <w:p>
      <w:pPr>
        <w:ind w:right="1879" w:firstLine="1904"/>
        <w:spacing w:after="0" w:line="279" w:lineRule="auto"/>
        <w:tabs>
          <w:tab w:leader="none" w:pos="231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Stockholder shall perform such further acts and execute such further documents and instruments as may reasonably be required to vest in Subsidiary the power to carry out the provisions of this Agreement.</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Stockholders pursuant to this Article I shall terminate upon the earlier of (i) the Effective Time (as defined in the Merger Agreement) (ii) (x) 180 days after the termination of the Merger Agreement in case of termination that entitles Parent to a fee under Section 7.6 of the Merger Agreement, or (y) on the date of termination in the case of termination for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69" w:name="page70"/>
    <w:bookmarkEnd w:id="69"/>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REPRESENTATIONS AND WARRANTIES; COVENANTS OF THE STOCKHOLDER</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The Stockholders hereby severally represent and warrant and covenant to Subsidiary as follows:</w:t>
      </w:r>
    </w:p>
    <w:p>
      <w:pPr>
        <w:spacing w:after="0" w:line="208"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2.01. Organization; Authorization. (a) Such Stockholder, if it is a corporation, is a corporation duly organized, validly existing and in good standing under the laws of the jurisdiction of its incorporation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prevent or delay the performance in any material respect by such Stockholder of its obligations under this Agreement. The execution and delivery of this Agreement and the consummation of the transactions contemplated hereby have been duly authorized by all necessary corporate action on the part of each Stockholder.</w:t>
      </w:r>
    </w:p>
    <w:p>
      <w:pPr>
        <w:spacing w:after="0" w:line="207" w:lineRule="exact"/>
        <w:rPr>
          <w:sz w:val="20"/>
          <w:szCs w:val="20"/>
          <w:color w:val="auto"/>
        </w:rPr>
      </w:pPr>
    </w:p>
    <w:p>
      <w:pPr>
        <w:ind w:right="1779" w:firstLine="1904"/>
        <w:spacing w:after="0" w:line="237"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Stockholder, if it is a limited partnership, (i) is a limited partnership duly organized, validly existing and in good standing under the laws of the jurisdiction of its organization, (ii) has all requisite partnership power and authority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organized, existing or in good standing or to have such power and authority would not prevent or delay in any material respect performance by such Stockholder of its obligations under this Agreement.</w:t>
      </w:r>
    </w:p>
    <w:p>
      <w:pPr>
        <w:spacing w:after="0" w:line="215"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Stockholder, if it is a trust, (i) is duly formed as a trust under the laws of the jurisdiction of its formation and its trust agreement is valid and in full force and effect, (ii) has all requisite power and authority under its trust instruments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formed or to have such power and authority would not prevent or delay in any material respect performance by such Stockholder of its obligations under this Agreement.</w:t>
      </w:r>
    </w:p>
    <w:p>
      <w:pPr>
        <w:spacing w:after="0" w:line="215"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Stockholder, if it is an individual, has all legal capacity to execute and deliver this Agreement and to consummate the transactions contemplated hereby.</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70" w:name="page71"/>
    <w:bookmarkEnd w:id="70"/>
    <w:p>
      <w:pPr>
        <w:ind w:right="1779" w:firstLine="1904"/>
        <w:spacing w:after="0" w:line="275" w:lineRule="auto"/>
        <w:tabs>
          <w:tab w:leader="none" w:pos="231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or on behalf of each Stockholder and, assuming its due authorization, execution and delivery by Purchaser, constitutes a legal, valid and binding obligation of each Stockholder, enforceable against each Stockholder in accordance with its terms.</w:t>
      </w:r>
    </w:p>
    <w:p>
      <w:pPr>
        <w:spacing w:after="0" w:line="182"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2.02. No Conflict; Required Filings and Consents. (a) The execution and delivery of this Agreement by such Stockholder do not, and the performance of this Agreement by such Stockholder will not, (i) conflict with or violate the Certificate of Incorporation or By-laws or equivalent organizational documents of such Stockholder (if any), (ii) conflict with or violate any law, rule, regulation, order, judgment or decree applicable to such Stockholder or by which it or any of its, his or her properties is bound or affected, or (iii) result in any breach of or constitute a default (or an event that with notice or lapse of time or both would become a default) under, or give to another party any rights of termination, amendment, acceleration or cancellation of, or result in the creation of a lien or encumbrance on any of the property or assets of such Stockholder, including, without limitation, the Shares, pursuant to, any note, bond, mortgage, indenture, contract, agreement, lease, license, permit, franchise or other instrument or obligation to which such Stockholder is a party or by which such Stockholder or any of its, his or her properties is bound or affected, except for any such breaches, defaults or other occurrences that would not prevent or delay the performance by such Stockholder of its obligations under this Agreement. There is no beneficiary or holder of a voting trust certificate or other interest of any trust of which the Stockholder is a trustee whose consent is required for the execution and delivery of this Agreement or the consummation by the Stockholder of the transactions contemplated by this Agreement.</w:t>
      </w:r>
    </w:p>
    <w:p>
      <w:pPr>
        <w:spacing w:after="0" w:line="200" w:lineRule="exact"/>
        <w:rPr>
          <w:sz w:val="20"/>
          <w:szCs w:val="20"/>
          <w:color w:val="auto"/>
        </w:rPr>
      </w:pPr>
    </w:p>
    <w:p>
      <w:pPr>
        <w:spacing w:after="0" w:line="396" w:lineRule="exact"/>
        <w:rPr>
          <w:sz w:val="20"/>
          <w:szCs w:val="20"/>
          <w:color w:val="auto"/>
        </w:rPr>
      </w:pPr>
    </w:p>
    <w:p>
      <w:pPr>
        <w:ind w:right="1779" w:firstLine="1904"/>
        <w:spacing w:after="0" w:line="237" w:lineRule="auto"/>
        <w:tabs>
          <w:tab w:leader="none" w:pos="231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such Stockholder do not, and the performance of this Agreement by such Stockholder will not, require any consent, approval, authorization or permit of, or filing with or notification to, any governmental or regulatory authority, domestic or foreign, except (i) for applicable requirements, if any, of the Securities Exchange Act of 1934, as amended (the "Exchange Act") and the Hart-Scott-Rodino Antitrust Improvement Act of 1976 and the rules and regulations promulgated thereunder (the "HSR Act") and (ii) where the failure to obtain such consents, approvals, authorizations or permits, or to make such filings or notifications, would not prevent or materially delay the performance by such Stockholder of his or its obligations under this Agreement.</w:t>
      </w: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2.03. Title to Shares. Such Stockholder is the record or beneficial owner of its Shares free and clear of any proxy or voting restriction other than pursuant to this Agreement. Such Shares are all the securities of the Company owned of record or beneficially by such Stockholder on the date of this Agreement.</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SECTION 2.04 Acquisition Proposals. Until the termination of the Merger Agreement the Stockholder shall not, initiate, solicit, negotiate, encourage or provide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71" w:name="page72"/>
    <w:bookmarkEnd w:id="71"/>
    <w:p>
      <w:pPr>
        <w:ind w:right="1779"/>
        <w:spacing w:after="0" w:line="238" w:lineRule="auto"/>
        <w:rPr>
          <w:sz w:val="20"/>
          <w:szCs w:val="20"/>
          <w:color w:val="auto"/>
        </w:rPr>
      </w:pPr>
      <w:r>
        <w:rPr>
          <w:rFonts w:ascii="Courier New" w:cs="Courier New" w:eastAsia="Courier New" w:hAnsi="Courier New"/>
          <w:sz w:val="18"/>
          <w:szCs w:val="18"/>
          <w:color w:val="auto"/>
        </w:rPr>
        <w:t>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 or participate in any negotiations regarding, or furnish to any other person or entity any information with respect to, or otherwise cooperate in any way with, or assist or participate in, facilitate or encourage, any effort or attempt by any other person to do or seek any of the foregoing; provided, however, that nothing in this Section 2.04 shall prevent the Stockholder, in his capacity as a director or executive officer of the Company from engaging in any activity permitted pursuant to Section 6.5 of the Merger Agreement. From and after the execution of this Agreement, the Stockholder shall promptly (but in any event within 48 hours) notify Parent after receipt of any unsolicited written offer or proposal with respect to a potential or proposed Acquisition Transaction ("Acquisition Proposal"), indication of interest or request for nonpublic information relating to the Company or its subsidiaries in connection with an Acquisition Proposal that the Stockholder receives in his capacity as a Stockholder of the Company. Such notice to Subsidiary shall be made orally and in writing and shall indicate in reasonable detail the identity of the offeror and the terms and conditions of such proposal, inquiry or contact.</w:t>
      </w: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AND WARRANTIES OF PARENT</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Parent hereby represents and warrants to the Stockholders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3.01. Due Organization; Binding Agreement. Each of Parent and Subsidiary is duly organized and validly existing under the laws of the State of Delaware. Each of Parent and Subsidiary has all necessary corporate power and authority to execute and deliver this Agreement and to consummate the transactions contemplated hereby. The execution and delivery of this Agreement and the consummation of the transactions contemplated hereby by Parent and Subsidiary have been duly authorized by all necessary corporate action on the part of each of Parent and Subsidiary. This Agreement has been duly executed and delivered by each of Parent and Subsidiary and, assuming its due authorization, execution and delivery by the Stockholders, constitutes a legal, valid and binding obligation of each of Parent and Subsidiary, enforceable against each of Parent and Subsidiary in accordance with its terms.</w:t>
      </w:r>
    </w:p>
    <w:p>
      <w:pPr>
        <w:spacing w:after="0" w:line="39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3.02. No Conflict; Required Filings and Consents. (a) The execution and delivery of this Agreement by Parent and Subsidiary does not, and the performance of this Agreement by Parent and Subsidiary will not, (i) conflict with or violate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72" w:name="page73"/>
    <w:bookmarkEnd w:id="72"/>
    <w:p>
      <w:pPr>
        <w:ind w:right="1779"/>
        <w:spacing w:after="0" w:line="238" w:lineRule="auto"/>
        <w:rPr>
          <w:sz w:val="20"/>
          <w:szCs w:val="20"/>
          <w:color w:val="auto"/>
        </w:rPr>
      </w:pPr>
      <w:r>
        <w:rPr>
          <w:rFonts w:ascii="Courier New" w:cs="Courier New" w:eastAsia="Courier New" w:hAnsi="Courier New"/>
          <w:sz w:val="18"/>
          <w:szCs w:val="18"/>
          <w:color w:val="auto"/>
        </w:rPr>
        <w:t>the organizational documents of either Parent or Subsidiary, (ii) conflict with or violate any law, rule, regulation, order, judgment or decree applicable to Parent or Subsidiary or by which Parent or Subsidiary or any property of Parent or Subsidiary is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property or assets of Parent or Subsidiary pursuant to, any note, bond, mortgage, indenture, contract, agreement, lease, license, permit, franchise or other instrument or obligation to which Parent or Subsidiary is a party or by which it or any property of Parent or Subsidiary is bound or affected, except for any such breaches, defaults or other occurrences that would not prevent or materially delay the performance by Parent or Subsidiary of their obligations under this Agreement.</w:t>
      </w:r>
    </w:p>
    <w:p>
      <w:pPr>
        <w:spacing w:after="0" w:line="208" w:lineRule="exact"/>
        <w:rPr>
          <w:sz w:val="20"/>
          <w:szCs w:val="20"/>
          <w:color w:val="auto"/>
        </w:rPr>
      </w:pPr>
    </w:p>
    <w:p>
      <w:pPr>
        <w:ind w:right="177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Parent and Subsidiary do not, and the performance of this Agreement by Parent and Subsidiary will not, require any consent, approval, authorization or permit of, or filing with or notification to, any governmental or regulatory authority, domestic or foreign, except (i) for applicable requirements, if any, of the Exchange Act and the HSR Act and (ii) where the failure to obtain such consents, approvals, authorizations or permits, or to make such filings or notifications, would not prevent or delay the performance by Parent or Subsidiary of their obligations under this Agreement.</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4.01. Notices. All notices and other communications given or made pursuant hereto shall be in writing and shall be given (and shall be deemed to have been duly given upon receipt) by delivery in person, by cable, telecopy, telegram or telex or by registered or certified mail (postage prepaid, return receipt requested) to the respective parties at the following addresses (or at such other address as shall be specified by notice given in accordance with this Section 4.01):</w:t>
      </w:r>
    </w:p>
    <w:p>
      <w:pPr>
        <w:spacing w:after="0" w:line="205" w:lineRule="exact"/>
        <w:rPr>
          <w:sz w:val="20"/>
          <w:szCs w:val="20"/>
          <w:color w:val="auto"/>
        </w:rPr>
      </w:pPr>
    </w:p>
    <w:p>
      <w:pPr>
        <w:ind w:left="2860" w:hanging="956"/>
        <w:spacing w:after="0"/>
        <w:tabs>
          <w:tab w:leader="none" w:pos="28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Subsidiary:</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Inc.</w:t>
      </w:r>
    </w:p>
    <w:p>
      <w:pPr>
        <w:spacing w:after="0" w:line="4" w:lineRule="exact"/>
        <w:rPr>
          <w:rFonts w:ascii="Courier New" w:cs="Courier New" w:eastAsia="Courier New" w:hAnsi="Courier New"/>
          <w:sz w:val="18"/>
          <w:szCs w:val="18"/>
          <w:color w:val="auto"/>
        </w:rPr>
      </w:pPr>
    </w:p>
    <w:p>
      <w:pPr>
        <w:ind w:left="2860" w:right="4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 Fannin Street, Suite 4000 Houston, Texas 77002 Attention: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73" w:name="page74"/>
    <w:bookmarkEnd w:id="73"/>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Shearman &amp; Sterling</w:t>
      </w:r>
    </w:p>
    <w:p>
      <w:pPr>
        <w:ind w:left="2860"/>
        <w:spacing w:after="0" w:line="238" w:lineRule="auto"/>
        <w:rPr>
          <w:sz w:val="20"/>
          <w:szCs w:val="20"/>
          <w:color w:val="auto"/>
        </w:rPr>
      </w:pPr>
      <w:r>
        <w:rPr>
          <w:rFonts w:ascii="Courier New" w:cs="Courier New" w:eastAsia="Courier New" w:hAnsi="Courier New"/>
          <w:sz w:val="18"/>
          <w:szCs w:val="18"/>
          <w:color w:val="auto"/>
        </w:rPr>
        <w:t>599 Lexington Avenue</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2860"/>
        <w:spacing w:after="0"/>
        <w:tabs>
          <w:tab w:leader="none" w:pos="442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(212) 848-7179</w:t>
      </w:r>
    </w:p>
    <w:p>
      <w:pPr>
        <w:ind w:left="2860"/>
        <w:spacing w:after="0" w:line="238" w:lineRule="auto"/>
        <w:tabs>
          <w:tab w:leader="none" w:pos="4100" w:val="left"/>
        </w:tabs>
        <w:rPr>
          <w:sz w:val="20"/>
          <w:szCs w:val="20"/>
          <w:color w:val="auto"/>
        </w:rPr>
      </w:pPr>
      <w:r>
        <w:rPr>
          <w:rFonts w:ascii="Courier New" w:cs="Courier New" w:eastAsia="Courier New" w:hAnsi="Courier New"/>
          <w:sz w:val="18"/>
          <w:szCs w:val="18"/>
          <w:color w:val="auto"/>
        </w:rPr>
        <w:t>Attention:</w:t>
        <w:tab/>
        <w:t>John A. Marzulli, Jr., Esq.</w:t>
      </w:r>
    </w:p>
    <w:p>
      <w:pPr>
        <w:spacing w:after="0" w:line="202" w:lineRule="exact"/>
        <w:rPr>
          <w:sz w:val="20"/>
          <w:szCs w:val="20"/>
          <w:color w:val="auto"/>
        </w:rPr>
      </w:pPr>
    </w:p>
    <w:p>
      <w:pPr>
        <w:ind w:left="2860" w:hanging="956"/>
        <w:spacing w:after="0"/>
        <w:tabs>
          <w:tab w:leader="none" w:pos="2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Stockholders to:</w:t>
      </w:r>
    </w:p>
    <w:p>
      <w:pPr>
        <w:spacing w:after="0" w:line="206" w:lineRule="exact"/>
        <w:rPr>
          <w:rFonts w:ascii="Courier New" w:cs="Courier New" w:eastAsia="Courier New" w:hAnsi="Courier New"/>
          <w:sz w:val="18"/>
          <w:szCs w:val="18"/>
          <w:color w:val="auto"/>
        </w:rPr>
      </w:pPr>
    </w:p>
    <w:p>
      <w:pPr>
        <w:ind w:left="286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Eastern Environmental Services, Inc. 1000 Crawford Place</w:t>
      </w:r>
    </w:p>
    <w:p>
      <w:pPr>
        <w:spacing w:after="0" w:line="5" w:lineRule="exact"/>
        <w:rPr>
          <w:rFonts w:ascii="Courier New" w:cs="Courier New" w:eastAsia="Courier New" w:hAnsi="Courier New"/>
          <w:sz w:val="18"/>
          <w:szCs w:val="18"/>
          <w:color w:val="auto"/>
        </w:rPr>
      </w:pPr>
    </w:p>
    <w:p>
      <w:pPr>
        <w:ind w:left="2860" w:right="4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Mt. Laurel, New Jersey 08054 Attention: Robert Kramer</w:t>
      </w:r>
    </w:p>
    <w:p>
      <w:pPr>
        <w:spacing w:after="0" w:line="164"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Drinker Biddle &amp; Reath LLP</w:t>
      </w:r>
    </w:p>
    <w:p>
      <w:pPr>
        <w:spacing w:after="0" w:line="4" w:lineRule="exact"/>
        <w:rPr>
          <w:rFonts w:ascii="Courier New" w:cs="Courier New" w:eastAsia="Courier New" w:hAnsi="Courier New"/>
          <w:sz w:val="18"/>
          <w:szCs w:val="18"/>
          <w:color w:val="auto"/>
        </w:rPr>
      </w:pPr>
    </w:p>
    <w:p>
      <w:pPr>
        <w:ind w:left="2860" w:right="4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1345 Chestnut Street, Suite 110 Philadelphia, PA 1910-3496 Attention: H. John Michel, Jr.</w:t>
      </w:r>
    </w:p>
    <w:p>
      <w:pPr>
        <w:spacing w:after="0" w:line="209"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SECTION 4.02. Headings. The headings contained in this Agreement are for reference purposes only and shall not affect in any way the meaning or interpretation of this Agreement.</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4.03.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39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4.04. Entire Agreement. This Agreement constitutes the entire agreement of the parties and supersedes all prior agreements and undertakings, both written and oral, between the parties, or any of them,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74" w:name="page75"/>
    <w:bookmarkEnd w:id="74"/>
    <w:p>
      <w:pPr>
        <w:ind w:right="1779" w:firstLine="1896"/>
        <w:spacing w:after="0" w:line="235" w:lineRule="auto"/>
        <w:rPr>
          <w:sz w:val="20"/>
          <w:szCs w:val="20"/>
          <w:color w:val="auto"/>
        </w:rPr>
      </w:pPr>
      <w:r>
        <w:rPr>
          <w:rFonts w:ascii="Courier New" w:cs="Courier New" w:eastAsia="Courier New" w:hAnsi="Courier New"/>
          <w:sz w:val="18"/>
          <w:szCs w:val="18"/>
          <w:color w:val="auto"/>
        </w:rPr>
        <w:t>SECTION 4.05. Assignment. This Agreement shall not be assigned by operation-of law or otherwise.</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4.06.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4.07.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4.08. Governing Law. This Agreement shall be governed by, and construed in accordance with, the laws of the State of Delaware applicable to contracts executed in and to be performed in that State. All actions and proceeding arising out of or relating to this Agreement shall be heard and determined in any Delaware state or federal court. THE STOCKHOLDERS AND SUBSIDIARY KNOWINGLY, VOLUNTARILY AND INTENTIONALLY WAIVE ANY RIGHT THEY MAY HAVE TO A TRIAL BY JURY IN RESPECT OF ANY LITIGATION BASED ON, ARISING OUT OF, UNDER OR IN CONNECTION WITH, THIS AGREEMENT, OR ANY COURSE OF CONDUCT, COURSE OF DEALING, STATEMENT (VERBAL OR WRITTEN) OR ACTION OF THE STOCKHOLDERS OR SUBSIDIARY.</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4.09.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75" w:name="page76"/>
    <w:bookmarkEnd w:id="75"/>
    <w:p>
      <w:pPr>
        <w:ind w:right="1999" w:firstLine="1896"/>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3"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jc w:val="center"/>
        <w:ind w:right="-340"/>
        <w:spacing w:after="0"/>
        <w:tabs>
          <w:tab w:leader="none" w:pos="1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John E. Drury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E. Drury</w:t>
      </w:r>
    </w:p>
    <w:p>
      <w:pPr>
        <w:ind w:left="454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OCHO ACQUISITION CORPORATION</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5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Gregory T. Sangalis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ind w:left="45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28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STOCKHOLDERS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Willard Miller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Willard Miller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Louis D. Paolino, Jr.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Louis D. Paolino, Jr.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Glen Miller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 Miller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George O. Moorehead</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George O. Moorehead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Robert M. Kramer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Robert M. Kramer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Gregory M. Krzemien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Gregory M. Krzemien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2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EXHIBIT A</w:t>
            </w:r>
          </w:p>
        </w:tc>
      </w:tr>
      <w:tr>
        <w:trPr>
          <w:trHeight w:val="405"/>
        </w:trPr>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2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LIST OF STOCKHOLDERS</w:t>
            </w:r>
          </w:p>
        </w:tc>
      </w:tr>
      <w:tr>
        <w:trPr>
          <w:trHeight w:val="405"/>
        </w:trPr>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 Shares of Company</w:t>
            </w:r>
          </w:p>
        </w:tc>
      </w:tr>
      <w:tr>
        <w:trPr>
          <w:trHeight w:val="203"/>
        </w:trPr>
        <w:tc>
          <w:tcPr>
            <w:tcW w:w="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owned Beneficially</w:t>
            </w:r>
          </w:p>
        </w:tc>
      </w:tr>
      <w:tr>
        <w:trPr>
          <w:trHeight w:val="203"/>
        </w:trPr>
        <w:tc>
          <w:tcPr>
            <w:tcW w:w="2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Name of Stockholder</w:t>
            </w:r>
          </w:p>
        </w:tc>
        <w:tc>
          <w:tcPr>
            <w:tcW w:w="4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and of Record*</w:t>
            </w:r>
          </w:p>
        </w:tc>
      </w:tr>
      <w:tr>
        <w:trPr>
          <w:trHeight w:val="203"/>
        </w:trPr>
        <w:tc>
          <w:tcPr>
            <w:tcW w:w="2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Willard Miller</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1,298,781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2.</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Louis D. Paolino, Jr.</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940,074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Glen Miller</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1,037,895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4.</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George O. Moorehead</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357,297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Robert M. Kramer</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50,000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Gregory M. Krzemien</w:t>
            </w:r>
          </w:p>
        </w:tc>
        <w:tc>
          <w:tcPr>
            <w:tcW w:w="4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101,885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1879" w:hanging="632"/>
        <w:spacing w:after="0" w:line="235" w:lineRule="auto"/>
        <w:tabs>
          <w:tab w:leader="none" w:pos="6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of these numbers are approximate. Exact numbers will be provided as soon as possible.</w:t>
      </w:r>
    </w:p>
    <w:p>
      <w:pPr>
        <w:sectPr>
          <w:pgSz w:w="11900" w:h="16838" w:orient="portrait"/>
          <w:cols w:equalWidth="0" w:num="1">
            <w:col w:w="10219"/>
          </w:cols>
          <w:pgMar w:left="240" w:top="1122" w:right="1440" w:bottom="1440"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13D (including amendments thereto) with respect to the common stock of Eastern Environmental Services, Inc., and further agree that this Joint Filing Agreement be included as an Exhibit to such joint filing.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26, 1998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3500" w:space="720"/>
            <w:col w:w="5999"/>
          </w:cols>
          <w:pgMar w:left="240" w:top="541"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7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2">
            <w:col w:w="3900" w:space="0"/>
            <w:col w:w="6319"/>
          </w:cols>
          <w:pgMar w:left="240" w:top="541" w:right="1440" w:bottom="1440" w:gutter="0" w:footer="0" w:header="0"/>
          <w:type w:val="continuous"/>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OCHO ACQUISITION CORPORATION</w:t>
      </w:r>
    </w:p>
    <w:p>
      <w:pPr>
        <w:sectPr>
          <w:pgSz w:w="11900" w:h="16838" w:orient="portrait"/>
          <w:cols w:equalWidth="0" w:num="1">
            <w:col w:w="10219"/>
          </w:cols>
          <w:pgMar w:left="240" w:top="5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740"/>
        <w:spacing w:after="0"/>
        <w:rPr>
          <w:sz w:val="20"/>
          <w:szCs w:val="20"/>
          <w:color w:val="auto"/>
        </w:rPr>
      </w:pPr>
      <w:r>
        <w:rPr>
          <w:rFonts w:ascii="Courier New" w:cs="Courier New" w:eastAsia="Courier New" w:hAnsi="Courier New"/>
          <w:sz w:val="18"/>
          <w:szCs w:val="18"/>
          <w:color w:val="auto"/>
        </w:rPr>
        <w:t>and Secretary</w:t>
      </w:r>
    </w:p>
    <w:sectPr>
      <w:pgSz w:w="11900" w:h="16838" w:orient="portrait"/>
      <w:cols w:equalWidth="0" w:num="2">
        <w:col w:w="3900" w:space="0"/>
        <w:col w:w="63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bullet"/>
      <w:start w:val="1"/>
    </w:lvl>
  </w:abstractNum>
  <w:abstractNum w:abstractNumId="1">
    <w:nsid w:val="7724C67E"/>
    <w:multiLevelType w:val="hybridMultilevel"/>
    <w:lvl w:ilvl="0">
      <w:lvlJc w:val="left"/>
      <w:lvlText w:val="-"/>
      <w:numFmt w:val="bullet"/>
      <w:start w:val="1"/>
    </w:lvl>
    <w:lvl w:ilvl="1">
      <w:lvlJc w:val="left"/>
      <w:lvlText w:val="(%2)"/>
      <w:numFmt w:val="lowerLetter"/>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lvl w:ilvl="1">
      <w:lvlJc w:val="left"/>
      <w:lvlText w:val="1"/>
      <w:numFmt w:val="bullet"/>
      <w:start w:val="1"/>
    </w:lvl>
    <w:lvl w:ilvl="2">
      <w:lvlJc w:val="left"/>
      <w:lvlText w:val="%3"/>
      <w:numFmt w:val="upperLetter"/>
      <w:start w:val="1"/>
    </w:lvl>
    <w:lvl w:ilvl="3">
      <w:lvlJc w:val="left"/>
      <w:lvlText w:val="(%4)"/>
      <w:numFmt w:val="lowerLetter"/>
      <w:start w:val="1"/>
    </w:lvl>
  </w:abstractNum>
  <w:abstractNum w:abstractNumId="6">
    <w:nsid w:val="2D517796"/>
    <w:multiLevelType w:val="hybridMultilevel"/>
    <w:lvl w:ilvl="0">
      <w:lvlJc w:val="left"/>
      <w:lvlText w:val="5"/>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lowerRoman"/>
      <w:start w:val="2"/>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1"/>
    </w:lvl>
    <w:lvl w:ilvl="1">
      <w:lvlJc w:val="left"/>
      <w:lvlText w:val="(%2)"/>
      <w:numFmt w:val="lowerLetter"/>
      <w:start w:val="2"/>
    </w:lvl>
  </w:abstractNum>
  <w:abstractNum w:abstractNumId="12">
    <w:nsid w:val="2A487CB0"/>
    <w:multiLevelType w:val="hybridMultilevel"/>
    <w:lvl w:ilvl="0">
      <w:lvlJc w:val="left"/>
      <w:lvlText w:val="(%1)"/>
      <w:numFmt w:val="lowerLetter"/>
      <w:start w:val="1"/>
    </w:lvl>
    <w:lvl w:ilvl="1">
      <w:lvlJc w:val="left"/>
      <w:lvlText w:val="(%2)"/>
      <w:numFmt w:val="lowerLetter"/>
      <w:start w:val="4"/>
    </w:lvl>
  </w:abstractNum>
  <w:abstractNum w:abstractNumId="13">
    <w:nsid w:val="1D4ED43B"/>
    <w:multiLevelType w:val="hybridMultilevel"/>
    <w:lvl w:ilvl="0">
      <w:lvlJc w:val="left"/>
      <w:lvlText w:val="(%1)"/>
      <w:numFmt w:val="lowerLetter"/>
      <w:start w:val="6"/>
    </w:lvl>
  </w:abstractNum>
  <w:abstractNum w:abstractNumId="14">
    <w:nsid w:val="725A06FB"/>
    <w:multiLevelType w:val="hybridMultilevel"/>
    <w:lvl w:ilvl="0">
      <w:lvlJc w:val="left"/>
      <w:lvlText w:val="(%1)"/>
      <w:numFmt w:val="lowerLetter"/>
      <w:start w:val="2"/>
    </w:lvl>
  </w:abstractNum>
  <w:abstractNum w:abstractNumId="15">
    <w:nsid w:val="2CD89A32"/>
    <w:multiLevelType w:val="hybridMultilevel"/>
    <w:lvl w:ilvl="0">
      <w:lvlJc w:val="left"/>
      <w:lvlText w:val="(%1)"/>
      <w:numFmt w:val="lowerLetter"/>
      <w:start w:val="4"/>
    </w:lvl>
  </w:abstractNum>
  <w:abstractNum w:abstractNumId="16">
    <w:nsid w:val="57E4CCAF"/>
    <w:multiLevelType w:val="hybridMultilevel"/>
    <w:lvl w:ilvl="0">
      <w:lvlJc w:val="left"/>
      <w:lvlText w:val="(%1)"/>
      <w:numFmt w:val="lowerLetter"/>
      <w:start w:val="2"/>
    </w:lvl>
  </w:abstractNum>
  <w:abstractNum w:abstractNumId="17">
    <w:nsid w:val="7A6D8D3C"/>
    <w:multiLevelType w:val="hybridMultilevel"/>
    <w:lvl w:ilvl="0">
      <w:lvlJc w:val="left"/>
      <w:lvlText w:val="(%1)"/>
      <w:numFmt w:val="lowerLetter"/>
      <w:start w:val="2"/>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lowerLetter"/>
      <w:start w:val="2"/>
    </w:lvl>
  </w:abstractNum>
  <w:abstractNum w:abstractNumId="20">
    <w:nsid w:val="6DE91B18"/>
    <w:multiLevelType w:val="hybridMultilevel"/>
    <w:lvl w:ilvl="0">
      <w:lvlJc w:val="left"/>
      <w:lvlText w:val="(%1)"/>
      <w:numFmt w:val="lowerLetter"/>
      <w:start w:val="2"/>
    </w:lvl>
  </w:abstractNum>
  <w:abstractNum w:abstractNumId="21">
    <w:nsid w:val="38437FDB"/>
    <w:multiLevelType w:val="hybridMultilevel"/>
    <w:lvl w:ilvl="0">
      <w:lvlJc w:val="left"/>
      <w:lvlText w:val="(%1)"/>
      <w:numFmt w:val="lowerLetter"/>
      <w:start w:val="3"/>
    </w:lvl>
  </w:abstractNum>
  <w:abstractNum w:abstractNumId="22">
    <w:nsid w:val="7644A45C"/>
    <w:multiLevelType w:val="hybridMultilevel"/>
    <w:lvl w:ilvl="0">
      <w:lvlJc w:val="left"/>
      <w:lvlText w:val="(%1)"/>
      <w:numFmt w:val="lowerLetter"/>
      <w:start w:val="9"/>
    </w:lvl>
    <w:lvl w:ilvl="1">
      <w:lvlJc w:val="left"/>
      <w:lvlText w:val="(%2)"/>
      <w:numFmt w:val="lowerLetter"/>
      <w:start w:val="2"/>
    </w:lvl>
  </w:abstractNum>
  <w:abstractNum w:abstractNumId="23">
    <w:nsid w:val="32FFF902"/>
    <w:multiLevelType w:val="hybridMultilevel"/>
    <w:lvl w:ilvl="0">
      <w:lvlJc w:val="left"/>
      <w:lvlText w:val="(%1)"/>
      <w:numFmt w:val="lowerLetter"/>
      <w:start w:val="3"/>
    </w:lvl>
  </w:abstractNum>
  <w:abstractNum w:abstractNumId="24">
    <w:nsid w:val="684A481A"/>
    <w:multiLevelType w:val="hybridMultilevel"/>
    <w:lvl w:ilvl="0">
      <w:lvlJc w:val="left"/>
      <w:lvlText w:val="%1"/>
      <w:numFmt w:val="lowerLetter"/>
      <w:start w:val="1"/>
    </w:lvl>
    <w:lvl w:ilvl="1">
      <w:lvlJc w:val="left"/>
      <w:lvlText w:val="(%2)"/>
      <w:numFmt w:val="lowerLetter"/>
      <w:start w:val="2"/>
    </w:lvl>
  </w:abstractNum>
  <w:abstractNum w:abstractNumId="25">
    <w:nsid w:val="579478FE"/>
    <w:multiLevelType w:val="hybridMultilevel"/>
    <w:lvl w:ilvl="0">
      <w:lvlJc w:val="left"/>
      <w:lvlText w:val="(%1)"/>
      <w:numFmt w:val="lowerLetter"/>
      <w:start w:val="61"/>
    </w:lvl>
    <w:lvl w:ilvl="1">
      <w:lvlJc w:val="left"/>
      <w:lvlText w:val="%2"/>
      <w:numFmt w:val="lowerLetter"/>
      <w:start w:val="1"/>
    </w:lvl>
  </w:abstractNum>
  <w:abstractNum w:abstractNumId="26">
    <w:nsid w:val="749ABB43"/>
    <w:multiLevelType w:val="hybridMultilevel"/>
    <w:lvl w:ilvl="0">
      <w:lvlJc w:val="left"/>
      <w:lvlText w:val="(%1)"/>
      <w:numFmt w:val="upperLetter"/>
      <w:start w:val="1"/>
    </w:lvl>
    <w:lvl w:ilvl="1">
      <w:lvlJc w:val="left"/>
      <w:lvlText w:val="(%2)"/>
      <w:numFmt w:val="lowerLetter"/>
      <w:start w:val="3"/>
    </w:lvl>
  </w:abstractNum>
  <w:abstractNum w:abstractNumId="27">
    <w:nsid w:val="3DC240FB"/>
    <w:multiLevelType w:val="hybridMultilevel"/>
    <w:lvl w:ilvl="0">
      <w:lvlJc w:val="left"/>
      <w:lvlText w:val="(%1)"/>
      <w:numFmt w:val="lowerLetter"/>
      <w:start w:val="4"/>
    </w:lvl>
  </w:abstractNum>
  <w:abstractNum w:abstractNumId="28">
    <w:nsid w:val="1BA026FA"/>
    <w:multiLevelType w:val="hybridMultilevel"/>
    <w:lvl w:ilvl="0">
      <w:lvlJc w:val="left"/>
      <w:lvlText w:val="(%1)"/>
      <w:numFmt w:val="lowerLetter"/>
      <w:start w:val="2"/>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1"/>
    </w:lvl>
    <w:lvl w:ilvl="1">
      <w:lvlJc w:val="left"/>
      <w:lvlText w:val="(%2)"/>
      <w:numFmt w:val="lowerLetter"/>
      <w:start w:val="4"/>
    </w:lvl>
  </w:abstractNum>
  <w:abstractNum w:abstractNumId="31">
    <w:nsid w:val="12E685FB"/>
    <w:multiLevelType w:val="hybridMultilevel"/>
    <w:lvl w:ilvl="0">
      <w:lvlJc w:val="left"/>
      <w:lvlText w:val="(%1)"/>
      <w:numFmt w:val="lowerLetter"/>
      <w:start w:val="35"/>
    </w:lvl>
    <w:lvl w:ilvl="1">
      <w:lvlJc w:val="left"/>
      <w:lvlText w:val="%2"/>
      <w:numFmt w:val="lowerLetter"/>
      <w:start w:val="1"/>
    </w:lvl>
  </w:abstractNum>
  <w:abstractNum w:abstractNumId="32">
    <w:nsid w:val="70C6A529"/>
    <w:multiLevelType w:val="hybridMultilevel"/>
    <w:lvl w:ilvl="0">
      <w:lvlJc w:val="left"/>
      <w:lvlText w:val="(%1)"/>
      <w:numFmt w:val="lowerLetter"/>
      <w:start w:val="5"/>
    </w:lvl>
  </w:abstractNum>
  <w:abstractNum w:abstractNumId="33">
    <w:nsid w:val="520EEDD1"/>
    <w:multiLevelType w:val="hybridMultilevel"/>
    <w:lvl w:ilvl="0">
      <w:lvlJc w:val="left"/>
      <w:lvlText w:val="%1"/>
      <w:numFmt w:val="lowerRoman"/>
      <w:start w:val="1"/>
    </w:lvl>
    <w:lvl w:ilvl="1">
      <w:lvlJc w:val="left"/>
      <w:lvlText w:val="(%2)"/>
      <w:numFmt w:val="lowerLetter"/>
      <w:start w:val="6"/>
    </w:lvl>
  </w:abstractNum>
  <w:abstractNum w:abstractNumId="34">
    <w:nsid w:val="374A3FE6"/>
    <w:multiLevelType w:val="hybridMultilevel"/>
    <w:lvl w:ilvl="0">
      <w:lvlJc w:val="left"/>
      <w:lvlText w:val="(%1)"/>
      <w:numFmt w:val="lowerRoman"/>
      <w:start w:val="4"/>
    </w:lvl>
    <w:lvl w:ilvl="1">
      <w:lvlJc w:val="left"/>
      <w:lvlText w:val="(%2)"/>
      <w:numFmt w:val="lowerLetter"/>
      <w:start w:val="9"/>
    </w:lvl>
  </w:abstractNum>
  <w:abstractNum w:abstractNumId="35">
    <w:nsid w:val="4F4EF005"/>
    <w:multiLevelType w:val="hybridMultilevel"/>
    <w:lvl w:ilvl="0">
      <w:lvlJc w:val="left"/>
      <w:lvlText w:val="%1"/>
      <w:numFmt w:val="lowerLetter"/>
      <w:start w:val="1"/>
    </w:lvl>
    <w:lvl w:ilvl="1">
      <w:lvlJc w:val="left"/>
      <w:lvlText w:val="(%2)"/>
      <w:numFmt w:val="lowerLetter"/>
      <w:start w:val="1"/>
    </w:lvl>
  </w:abstractNum>
  <w:abstractNum w:abstractNumId="36">
    <w:nsid w:val="23F9C13C"/>
    <w:multiLevelType w:val="hybridMultilevel"/>
    <w:lvl w:ilvl="0">
      <w:lvlJc w:val="left"/>
      <w:lvlText w:val="(%1)"/>
      <w:numFmt w:val="lowerLetter"/>
      <w:start w:val="35"/>
    </w:lvl>
    <w:lvl w:ilvl="1">
      <w:lvlJc w:val="left"/>
      <w:lvlText w:val="(%2)"/>
      <w:numFmt w:val="lowerLetter"/>
      <w:start w:val="3"/>
    </w:lvl>
  </w:abstractNum>
  <w:abstractNum w:abstractNumId="37">
    <w:nsid w:val="649BB77C"/>
    <w:multiLevelType w:val="hybridMultilevel"/>
    <w:lvl w:ilvl="0">
      <w:lvlJc w:val="left"/>
      <w:lvlText w:val="(%1)"/>
      <w:numFmt w:val="lowerLetter"/>
      <w:start w:val="35"/>
    </w:lvl>
    <w:lvl w:ilvl="1">
      <w:lvlJc w:val="left"/>
      <w:lvlText w:val="(%2)"/>
      <w:numFmt w:val="lowerLetter"/>
      <w:start w:val="4"/>
    </w:lvl>
  </w:abstractNum>
  <w:abstractNum w:abstractNumId="38">
    <w:nsid w:val="275AC794"/>
    <w:multiLevelType w:val="hybridMultilevel"/>
    <w:lvl w:ilvl="0">
      <w:lvlJc w:val="left"/>
      <w:lvlText w:val="(%1)"/>
      <w:numFmt w:val="lowerLetter"/>
      <w:start w:val="2"/>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lowerLetter"/>
      <w:start w:val="2"/>
    </w:lvl>
  </w:abstractNum>
  <w:abstractNum w:abstractNumId="41">
    <w:nsid w:val="180115BE"/>
    <w:multiLevelType w:val="hybridMultilevel"/>
    <w:lvl w:ilvl="0">
      <w:lvlJc w:val="left"/>
      <w:lvlText w:val="%1"/>
      <w:numFmt w:val="lowerRoman"/>
      <w:start w:val="1"/>
    </w:lvl>
    <w:lvl w:ilvl="1">
      <w:lvlJc w:val="left"/>
      <w:lvlText w:val="(%2)"/>
      <w:numFmt w:val="lowerRoman"/>
      <w:start w:val="1"/>
    </w:lvl>
  </w:abstractNum>
  <w:abstractNum w:abstractNumId="42">
    <w:nsid w:val="235BA861"/>
    <w:multiLevelType w:val="hybridMultilevel"/>
    <w:lvl w:ilvl="0">
      <w:lvlJc w:val="left"/>
      <w:lvlText w:val="(%1)"/>
      <w:numFmt w:val="lowerRoman"/>
      <w:start w:val="4"/>
    </w:lvl>
    <w:lvl w:ilvl="1">
      <w:lvlJc w:val="left"/>
      <w:lvlText w:val="(%2)"/>
      <w:numFmt w:val="lowerRoman"/>
      <w:start w:val="2"/>
    </w:lvl>
  </w:abstractNum>
  <w:abstractNum w:abstractNumId="43">
    <w:nsid w:val="47398C89"/>
    <w:multiLevelType w:val="hybridMultilevel"/>
    <w:lvl w:ilvl="0">
      <w:lvlJc w:val="left"/>
      <w:lvlText w:val="(%1)"/>
      <w:numFmt w:val="lowerRoman"/>
      <w:start w:val="6"/>
    </w:lvl>
    <w:lvl w:ilvl="1">
      <w:lvlJc w:val="left"/>
      <w:lvlText w:val="%2"/>
      <w:numFmt w:val="lowerRoman"/>
      <w:start w:val="1"/>
    </w:lvl>
  </w:abstractNum>
  <w:abstractNum w:abstractNumId="44">
    <w:nsid w:val="354FE9F9"/>
    <w:multiLevelType w:val="hybridMultilevel"/>
    <w:lvl w:ilvl="0">
      <w:lvlJc w:val="left"/>
      <w:lvlText w:val="(%1)"/>
      <w:numFmt w:val="lowerRoman"/>
      <w:start w:val="1"/>
    </w:lvl>
  </w:abstractNum>
  <w:abstractNum w:abstractNumId="45">
    <w:nsid w:val="15B5AF5C"/>
    <w:multiLevelType w:val="hybridMultilevel"/>
    <w:lvl w:ilvl="0">
      <w:lvlJc w:val="left"/>
      <w:lvlText w:val="(%1)"/>
      <w:numFmt w:val="lowerLetter"/>
      <w:start w:val="2"/>
    </w:lvl>
  </w:abstractNum>
  <w:abstractNum w:abstractNumId="46">
    <w:nsid w:val="741226BB"/>
    <w:multiLevelType w:val="hybridMultilevel"/>
    <w:lvl w:ilvl="0">
      <w:lvlJc w:val="left"/>
      <w:lvlText w:val="(%1)"/>
      <w:numFmt w:val="lowerLetter"/>
      <w:start w:val="3"/>
    </w:lvl>
  </w:abstractNum>
  <w:abstractNum w:abstractNumId="47">
    <w:nsid w:val="D34B6A8"/>
    <w:multiLevelType w:val="hybridMultilevel"/>
    <w:lvl w:ilvl="0">
      <w:lvlJc w:val="left"/>
      <w:lvlText w:val="(%1)"/>
      <w:numFmt w:val="lowerLetter"/>
      <w:start w:val="2"/>
    </w:lvl>
  </w:abstractNum>
  <w:abstractNum w:abstractNumId="48">
    <w:nsid w:val="10233C99"/>
    <w:multiLevelType w:val="hybridMultilevel"/>
    <w:lvl w:ilvl="0">
      <w:lvlJc w:val="left"/>
      <w:lvlText w:val="(%1)"/>
      <w:numFmt w:val="lowerLetter"/>
      <w:start w:val="4"/>
    </w:lvl>
  </w:abstractNum>
  <w:abstractNum w:abstractNumId="49">
    <w:nsid w:val="3F6AB60F"/>
    <w:multiLevelType w:val="hybridMultilevel"/>
    <w:lvl w:ilvl="0">
      <w:lvlJc w:val="left"/>
      <w:lvlText w:val="(%1)"/>
      <w:numFmt w:val="lowerLetter"/>
      <w:start w:val="2"/>
    </w:lvl>
  </w:abstractNum>
  <w:abstractNum w:abstractNumId="50">
    <w:nsid w:val="61574095"/>
    <w:multiLevelType w:val="hybridMultilevel"/>
    <w:lvl w:ilvl="0">
      <w:lvlJc w:val="left"/>
      <w:lvlText w:val="(%1)"/>
      <w:numFmt w:val="lowerLetter"/>
      <w:start w:val="3"/>
    </w:lvl>
  </w:abstractNum>
  <w:abstractNum w:abstractNumId="51">
    <w:nsid w:val="7E0C57B1"/>
    <w:multiLevelType w:val="hybridMultilevel"/>
    <w:lvl w:ilvl="0">
      <w:lvlJc w:val="left"/>
      <w:lvlText w:val="(%1)"/>
      <w:numFmt w:val="lowerLetter"/>
      <w:start w:val="5"/>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Letter"/>
      <w:start w:val="1"/>
    </w:lvl>
    <w:lvl w:ilvl="1">
      <w:lvlJc w:val="left"/>
      <w:lvlText w:val="(%2)"/>
      <w:numFmt w:val="lowerLetter"/>
      <w:start w:val="9"/>
    </w:lvl>
  </w:abstractNum>
  <w:abstractNum w:abstractNumId="57">
    <w:nsid w:val="25A70BF7"/>
    <w:multiLevelType w:val="hybridMultilevel"/>
    <w:lvl w:ilvl="0">
      <w:lvlJc w:val="left"/>
      <w:lvlText w:val="%1"/>
      <w:numFmt w:val="upperLetter"/>
      <w:start w:val="1"/>
    </w:lvl>
    <w:lvl w:ilvl="1">
      <w:lvlJc w:val="left"/>
      <w:lvlText w:val="(%2)"/>
      <w:numFmt w:val="lowerRoman"/>
      <w:start w:val="2"/>
    </w:lvl>
  </w:abstractNum>
  <w:abstractNum w:abstractNumId="58">
    <w:nsid w:val="1DBABF00"/>
    <w:multiLevelType w:val="hybridMultilevel"/>
    <w:lvl w:ilvl="0">
      <w:lvlJc w:val="left"/>
      <w:lvlText w:val="(%1)"/>
      <w:numFmt w:val="upperLetter"/>
      <w:start w:val="2"/>
    </w:lvl>
    <w:lvl w:ilvl="1">
      <w:lvlJc w:val="left"/>
      <w:lvlText w:val="(%2)"/>
      <w:numFmt w:val="lowerRoman"/>
      <w:start w:val="6"/>
    </w:lvl>
  </w:abstractNum>
  <w:abstractNum w:abstractNumId="59">
    <w:nsid w:val="4AD084E9"/>
    <w:multiLevelType w:val="hybridMultilevel"/>
    <w:lvl w:ilvl="0">
      <w:lvlJc w:val="left"/>
      <w:lvlText w:val="(%1)"/>
      <w:numFmt w:val="upperLetter"/>
      <w:start w:val="2"/>
    </w:lvl>
    <w:lvl w:ilvl="1">
      <w:lvlJc w:val="left"/>
      <w:lvlText w:val="%2"/>
      <w:numFmt w:val="lowerRoman"/>
      <w:start w:val="1"/>
    </w:lvl>
  </w:abstractNum>
  <w:abstractNum w:abstractNumId="60">
    <w:nsid w:val="1F48EAA1"/>
    <w:multiLevelType w:val="hybridMultilevel"/>
    <w:lvl w:ilvl="0">
      <w:lvlJc w:val="left"/>
      <w:lvlText w:val="(%1)"/>
      <w:numFmt w:val="lowerLetter"/>
      <w:start w:val="2"/>
    </w:lvl>
    <w:lvl w:ilvl="1">
      <w:lvlJc w:val="left"/>
      <w:lvlText w:val="(%2)"/>
      <w:numFmt w:val="lowerRoman"/>
      <w:start w:val="1"/>
    </w:lvl>
  </w:abstractNum>
  <w:abstractNum w:abstractNumId="61">
    <w:nsid w:val="1381823A"/>
    <w:multiLevelType w:val="hybridMultilevel"/>
    <w:lvl w:ilvl="0">
      <w:lvlJc w:val="left"/>
      <w:lvlText w:val="%1"/>
      <w:numFmt w:val="lowerLetter"/>
      <w:start w:val="1"/>
    </w:lvl>
    <w:lvl w:ilvl="1">
      <w:lvlJc w:val="left"/>
      <w:lvlText w:val="(%2)"/>
      <w:numFmt w:val="lowerRoman"/>
      <w:start w:val="3"/>
    </w:lvl>
  </w:abstractNum>
  <w:abstractNum w:abstractNumId="62">
    <w:nsid w:val="5DB70AE5"/>
    <w:multiLevelType w:val="hybridMultilevel"/>
    <w:lvl w:ilvl="0">
      <w:lvlJc w:val="left"/>
      <w:lvlText w:val="(%1)"/>
      <w:numFmt w:val="lowerLetter"/>
      <w:start w:val="3"/>
    </w:lvl>
    <w:lvl w:ilvl="1">
      <w:lvlJc w:val="left"/>
      <w:lvlText w:val="%2"/>
      <w:numFmt w:val="lowerRoman"/>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2"/>
    </w:lvl>
  </w:abstractNum>
  <w:abstractNum w:abstractNumId="65">
    <w:nsid w:val="15014ACB"/>
    <w:multiLevelType w:val="hybridMultilevel"/>
    <w:lvl w:ilvl="0">
      <w:lvlJc w:val="left"/>
      <w:lvlText w:val="(%1)"/>
      <w:numFmt w:val="lowerLetter"/>
      <w:start w:val="2"/>
    </w:lvl>
  </w:abstractNum>
  <w:abstractNum w:abstractNumId="66">
    <w:nsid w:val="5F5E7FD0"/>
    <w:multiLevelType w:val="hybridMultilevel"/>
    <w:lvl w:ilvl="0">
      <w:lvlJc w:val="left"/>
      <w:lvlText w:val="(%1)"/>
      <w:numFmt w:val="lowerLetter"/>
      <w:start w:val="2"/>
    </w:lvl>
  </w:abstractNum>
  <w:abstractNum w:abstractNumId="67">
    <w:nsid w:val="98A3148"/>
    <w:multiLevelType w:val="hybridMultilevel"/>
    <w:lvl w:ilvl="0">
      <w:lvlJc w:val="left"/>
      <w:lvlText w:val="(%1)"/>
      <w:numFmt w:val="lowerLetter"/>
      <w:start w:val="5"/>
    </w:lvl>
  </w:abstractNum>
  <w:abstractNum w:abstractNumId="68">
    <w:nsid w:val="799D0247"/>
    <w:multiLevelType w:val="hybridMultilevel"/>
    <w:lvl w:ilvl="0">
      <w:lvlJc w:val="left"/>
      <w:lvlText w:val="(%1)"/>
      <w:numFmt w:val="lowerLetter"/>
      <w:start w:val="2"/>
    </w:lvl>
  </w:abstractNum>
  <w:abstractNum w:abstractNumId="69">
    <w:nsid w:val="6B94764"/>
    <w:multiLevelType w:val="hybridMultilevel"/>
    <w:lvl w:ilvl="0">
      <w:lvlJc w:val="left"/>
      <w:lvlText w:val="(%1)"/>
      <w:numFmt w:val="lowerLetter"/>
      <w:start w:val="2"/>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lowerLetter"/>
      <w:start w:val="2"/>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2019-12-16T11:30:56Z</dcterms:created>
  <dcterms:modified xsi:type="dcterms:W3CDTF">2019-12-16T11:30:56Z</dcterms:modified>
</cp:coreProperties>
</file>