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AS FILED WITH THE SECURITIES AND EXCHANGE COMMISSION ON SEPTEMBER 17, 1999</w:t>
      </w:r>
    </w:p>
    <w:p>
      <w:pPr>
        <w:spacing w:after="0" w:line="177" w:lineRule="exact"/>
        <w:rPr>
          <w:sz w:val="24"/>
          <w:szCs w:val="24"/>
          <w:color w:val="auto"/>
        </w:rPr>
      </w:pPr>
    </w:p>
    <w:p>
      <w:pPr>
        <w:jc w:val="center"/>
        <w:ind w:right="172"/>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0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3" w:lineRule="exact"/>
        <w:rPr>
          <w:rFonts w:ascii="Courier New" w:cs="Courier New" w:eastAsia="Courier New" w:hAnsi="Courier New"/>
          <w:sz w:val="15"/>
          <w:szCs w:val="15"/>
          <w:color w:val="auto"/>
        </w:rPr>
      </w:pPr>
    </w:p>
    <w:p>
      <w:pPr>
        <w:ind w:left="2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3" w:lineRule="exact"/>
        <w:rPr>
          <w:rFonts w:ascii="Courier New" w:cs="Courier New" w:eastAsia="Courier New" w:hAnsi="Courier New"/>
          <w:sz w:val="15"/>
          <w:szCs w:val="15"/>
          <w:color w:val="auto"/>
        </w:rPr>
      </w:pPr>
    </w:p>
    <w:p>
      <w:pPr>
        <w:ind w:left="2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FORM S-4</w:t>
      </w:r>
    </w:p>
    <w:p>
      <w:pPr>
        <w:spacing w:after="0" w:line="3" w:lineRule="exact"/>
        <w:rPr>
          <w:sz w:val="24"/>
          <w:szCs w:val="24"/>
          <w:color w:val="auto"/>
        </w:rPr>
      </w:pPr>
    </w:p>
    <w:p>
      <w:pPr>
        <w:jc w:val="center"/>
        <w:ind w:right="3412"/>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4"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9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DELAWARE</w:t>
            </w:r>
          </w:p>
        </w:tc>
        <w:tc>
          <w:tcPr>
            <w:tcW w:w="3120" w:type="dxa"/>
            <w:vAlign w:val="bottom"/>
          </w:tcPr>
          <w:p>
            <w:pPr>
              <w:jc w:val="right"/>
              <w:ind w:right="1405"/>
              <w:spacing w:after="0"/>
              <w:rPr>
                <w:sz w:val="20"/>
                <w:szCs w:val="20"/>
                <w:color w:val="auto"/>
              </w:rPr>
            </w:pPr>
            <w:r>
              <w:rPr>
                <w:rFonts w:ascii="Courier New" w:cs="Courier New" w:eastAsia="Courier New" w:hAnsi="Courier New"/>
                <w:sz w:val="15"/>
                <w:szCs w:val="15"/>
                <w:color w:val="auto"/>
              </w:rPr>
              <w:t>4953</w:t>
            </w:r>
          </w:p>
        </w:tc>
        <w:tc>
          <w:tcPr>
            <w:tcW w:w="2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73-1309529</w:t>
            </w:r>
          </w:p>
        </w:tc>
      </w:tr>
      <w:tr>
        <w:trPr>
          <w:trHeight w:val="173"/>
        </w:trPr>
        <w:tc>
          <w:tcPr>
            <w:tcW w:w="29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(State or other jurisdiction of</w:t>
            </w:r>
          </w:p>
        </w:tc>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(Primary Standard Industrial</w:t>
            </w:r>
          </w:p>
        </w:tc>
        <w:tc>
          <w:tcPr>
            <w:tcW w:w="212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2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incorporation or organization)</w:t>
            </w:r>
          </w:p>
        </w:tc>
        <w:tc>
          <w:tcPr>
            <w:tcW w:w="3120" w:type="dxa"/>
            <w:vAlign w:val="bottom"/>
          </w:tcPr>
          <w:p>
            <w:pPr>
              <w:ind w:left="180"/>
              <w:spacing w:after="0"/>
              <w:rPr>
                <w:sz w:val="20"/>
                <w:szCs w:val="20"/>
                <w:color w:val="auto"/>
              </w:rPr>
            </w:pPr>
            <w:r>
              <w:rPr>
                <w:rFonts w:ascii="Courier New" w:cs="Courier New" w:eastAsia="Courier New" w:hAnsi="Courier New"/>
                <w:sz w:val="15"/>
                <w:szCs w:val="15"/>
                <w:color w:val="auto"/>
              </w:rPr>
              <w:t>Classification Code Number)</w:t>
            </w:r>
          </w:p>
        </w:tc>
        <w:tc>
          <w:tcPr>
            <w:tcW w:w="2120" w:type="dxa"/>
            <w:vAlign w:val="bottom"/>
          </w:tcPr>
          <w:p>
            <w:pPr>
              <w:ind w:left="40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350"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jc w:val="center"/>
        <w:ind w:right="3332"/>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jc w:val="center"/>
        <w:ind w:right="341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4"/>
          <w:szCs w:val="24"/>
          <w:color w:val="auto"/>
        </w:rPr>
      </w:pPr>
    </w:p>
    <w:p>
      <w:pPr>
        <w:jc w:val="center"/>
        <w:ind w:right="341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BRYAN J. BLANKFIELD</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ASSISTANT GENERAL COUNSEL</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of agent for service)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340" w:firstLine="451"/>
        <w:spacing w:after="0" w:line="243"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420" w:firstLine="451"/>
        <w:spacing w:after="0" w:line="244"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8" w:right="3520" w:firstLine="45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8" w:right="3600" w:firstLine="45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24"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5048"/>
        <w:spacing w:after="0"/>
        <w:tabs>
          <w:tab w:leader="none" w:pos="7107" w:val="left"/>
          <w:tab w:leader="none" w:pos="9167"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3" w:lineRule="exact"/>
        <w:rPr>
          <w:sz w:val="24"/>
          <w:szCs w:val="24"/>
          <w:color w:val="auto"/>
        </w:rPr>
      </w:pPr>
    </w:p>
    <w:p>
      <w:pPr>
        <w:ind w:left="268"/>
        <w:spacing w:after="0"/>
        <w:tabs>
          <w:tab w:leader="none" w:pos="3127" w:val="left"/>
          <w:tab w:leader="none" w:pos="5127" w:val="left"/>
          <w:tab w:leader="none" w:pos="7007" w:val="left"/>
          <w:tab w:leader="none" w:pos="9087"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BEING</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5"/>
          <w:szCs w:val="15"/>
          <w:color w:val="auto"/>
        </w:rPr>
        <w:t>REGISTRATION</w:t>
      </w:r>
    </w:p>
    <w:p>
      <w:pPr>
        <w:spacing w:after="0" w:line="3" w:lineRule="exact"/>
        <w:rPr>
          <w:sz w:val="24"/>
          <w:szCs w:val="24"/>
          <w:color w:val="auto"/>
        </w:rPr>
      </w:pPr>
    </w:p>
    <w:p>
      <w:pPr>
        <w:ind w:left="88"/>
        <w:spacing w:after="0"/>
        <w:tabs>
          <w:tab w:leader="none" w:pos="3227" w:val="left"/>
          <w:tab w:leader="none" w:pos="5207" w:val="left"/>
          <w:tab w:leader="none" w:pos="7467" w:val="left"/>
          <w:tab w:leader="none" w:pos="9447"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PER NOTE(1)</w:t>
      </w:r>
      <w:r>
        <w:rPr>
          <w:sz w:val="20"/>
          <w:szCs w:val="20"/>
          <w:color w:val="auto"/>
        </w:rPr>
        <w:tab/>
      </w:r>
      <w:r>
        <w:rPr>
          <w:rFonts w:ascii="Courier New" w:cs="Courier New" w:eastAsia="Courier New" w:hAnsi="Courier New"/>
          <w:sz w:val="15"/>
          <w:szCs w:val="15"/>
          <w:color w:val="auto"/>
        </w:rPr>
        <w:t>PRICE(1)</w:t>
      </w:r>
      <w:r>
        <w:rPr>
          <w:sz w:val="20"/>
          <w:szCs w:val="20"/>
          <w:color w:val="auto"/>
        </w:rPr>
        <w:tab/>
      </w:r>
      <w:r>
        <w:rPr>
          <w:rFonts w:ascii="Courier New" w:cs="Courier New" w:eastAsia="Courier New" w:hAnsi="Courier New"/>
          <w:sz w:val="14"/>
          <w:szCs w:val="14"/>
          <w:color w:val="auto"/>
        </w:rPr>
        <w:t>FEE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6.000%</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$200,000,000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55,600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6.500%</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2004.........................</w:t>
            </w:r>
          </w:p>
        </w:tc>
        <w:tc>
          <w:tcPr>
            <w:tcW w:w="300" w:type="dxa"/>
            <w:vAlign w:val="bottom"/>
          </w:tcPr>
          <w:p>
            <w:pPr>
              <w:spacing w:after="0"/>
              <w:rPr>
                <w:sz w:val="15"/>
                <w:szCs w:val="15"/>
                <w:color w:val="auto"/>
              </w:rPr>
            </w:pP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200,000,000</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55,600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6.875%</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2009.........................</w:t>
            </w:r>
          </w:p>
        </w:tc>
        <w:tc>
          <w:tcPr>
            <w:tcW w:w="300" w:type="dxa"/>
            <w:vAlign w:val="bottom"/>
          </w:tcPr>
          <w:p>
            <w:pPr>
              <w:spacing w:after="0"/>
              <w:rPr>
                <w:sz w:val="15"/>
                <w:szCs w:val="15"/>
                <w:color w:val="auto"/>
              </w:rPr>
            </w:pP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500,000,000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500,000,000</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139,000</w:t>
            </w:r>
          </w:p>
        </w:tc>
      </w:tr>
      <w:tr>
        <w:trPr>
          <w:trHeight w:val="173"/>
        </w:trPr>
        <w:tc>
          <w:tcPr>
            <w:tcW w:w="620" w:type="dxa"/>
            <w:vAlign w:val="bottom"/>
          </w:tcPr>
          <w:p>
            <w:pPr>
              <w:spacing w:after="0"/>
              <w:rPr>
                <w:sz w:val="20"/>
                <w:szCs w:val="20"/>
                <w:color w:val="auto"/>
              </w:rPr>
            </w:pPr>
            <w:r>
              <w:rPr>
                <w:rFonts w:ascii="Courier New" w:cs="Courier New" w:eastAsia="Courier New" w:hAnsi="Courier New"/>
                <w:sz w:val="15"/>
                <w:szCs w:val="15"/>
                <w:color w:val="auto"/>
              </w:rPr>
              <w:t>7.375%</w:t>
            </w:r>
          </w:p>
        </w:tc>
        <w:tc>
          <w:tcPr>
            <w:tcW w:w="2220" w:type="dxa"/>
            <w:vAlign w:val="bottom"/>
          </w:tcPr>
          <w:p>
            <w:pPr>
              <w:spacing w:after="0"/>
              <w:rPr>
                <w:sz w:val="20"/>
                <w:szCs w:val="20"/>
                <w:color w:val="auto"/>
              </w:rPr>
            </w:pPr>
            <w:r>
              <w:rPr>
                <w:rFonts w:ascii="Courier New" w:cs="Courier New" w:eastAsia="Courier New" w:hAnsi="Courier New"/>
                <w:sz w:val="15"/>
                <w:szCs w:val="15"/>
                <w:color w:val="auto"/>
              </w:rPr>
              <w:t>Senior Notes Due</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2029.........................</w:t>
            </w:r>
          </w:p>
        </w:tc>
        <w:tc>
          <w:tcPr>
            <w:tcW w:w="300" w:type="dxa"/>
            <w:vAlign w:val="bottom"/>
          </w:tcPr>
          <w:p>
            <w:pPr>
              <w:spacing w:after="0"/>
              <w:rPr>
                <w:sz w:val="15"/>
                <w:szCs w:val="15"/>
                <w:color w:val="auto"/>
              </w:rPr>
            </w:pP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250,000,000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250,000,000</w:t>
            </w: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69,500</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Guarantee of Senior</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Notes(2).....................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99"/>
              </w:rPr>
              <w:t>1,150,000,000</w:t>
            </w: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100%</w:t>
            </w:r>
          </w:p>
        </w:tc>
        <w:tc>
          <w:tcPr>
            <w:tcW w:w="2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bl>
    <w:p>
      <w:pPr>
        <w:spacing w:after="0" w:line="3"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0" w:lineRule="exact"/>
        <w:rPr>
          <w:sz w:val="24"/>
          <w:szCs w:val="24"/>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inside facing page for additional registrant guarantors.</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457(n), no separate fee for the Guarantee is payable.</w:t>
      </w:r>
    </w:p>
    <w:p>
      <w:pPr>
        <w:spacing w:after="0" w:line="178" w:lineRule="exact"/>
        <w:rPr>
          <w:sz w:val="24"/>
          <w:szCs w:val="24"/>
          <w:color w:val="auto"/>
        </w:rPr>
      </w:pPr>
    </w:p>
    <w:p>
      <w:pPr>
        <w:ind w:left="8" w:right="3340" w:firstLine="451"/>
        <w:spacing w:after="0" w:line="265" w:lineRule="auto"/>
        <w:rPr>
          <w:sz w:val="20"/>
          <w:szCs w:val="20"/>
          <w:color w:val="auto"/>
        </w:rPr>
      </w:pPr>
      <w:r>
        <w:rPr>
          <w:rFonts w:ascii="Courier New" w:cs="Courier New" w:eastAsia="Courier New" w:hAnsi="Courier New"/>
          <w:sz w:val="14"/>
          <w:szCs w:val="14"/>
          <w:color w:val="auto"/>
        </w:rPr>
        <w:t>THE REGISTRANTS HEREBY AMEND THIS REGISTRATION STATEMENT ON SUCH DATE OR DATES AS MAY BE NECESSARY TO DELAY ITS EFFECTIVE DATE UNTIL THE REGISTRANTS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w:t>
      </w:r>
    </w:p>
    <w:p>
      <w:pPr>
        <w:sectPr>
          <w:pgSz w:w="11900" w:h="16916" w:orient="portrait"/>
          <w:cols w:equalWidth="0" w:num="1">
            <w:col w:w="10548"/>
          </w:cols>
          <w:pgMar w:left="232" w:top="233" w:right="1119" w:bottom="0" w:gutter="0" w:footer="0" w:header="0"/>
        </w:sectPr>
      </w:pPr>
    </w:p>
    <w:bookmarkStart w:id="1" w:name="page2"/>
    <w:bookmarkEnd w:id="1"/>
    <w:p>
      <w:pPr>
        <w:ind w:left="8"/>
        <w:spacing w:after="0"/>
        <w:rPr>
          <w:sz w:val="20"/>
          <w:szCs w:val="20"/>
          <w:color w:val="auto"/>
        </w:rPr>
      </w:pPr>
      <w:r>
        <w:rPr>
          <w:rFonts w:ascii="Courier New" w:cs="Courier New" w:eastAsia="Courier New" w:hAnsi="Courier New"/>
          <w:sz w:val="15"/>
          <w:szCs w:val="15"/>
          <w:color w:val="auto"/>
        </w:rPr>
        <w:t>8(a), MAY DETERMINE.</w:t>
      </w:r>
    </w:p>
    <w:p>
      <w:pPr>
        <w:spacing w:after="0" w:line="4"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TABLE OF ADDITIONAL REGISTRANT GUARANTORS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ADDRESS INCLUDING</w:t>
            </w:r>
          </w:p>
        </w:tc>
      </w:tr>
      <w:tr>
        <w:trPr>
          <w:trHeight w:val="173"/>
        </w:trPr>
        <w:tc>
          <w:tcPr>
            <w:tcW w:w="4040" w:type="dxa"/>
            <w:vAlign w:val="bottom"/>
          </w:tcPr>
          <w:p>
            <w:pPr>
              <w:spacing w:after="0"/>
              <w:rPr>
                <w:sz w:val="15"/>
                <w:szCs w:val="15"/>
                <w:color w:val="auto"/>
              </w:rPr>
            </w:pPr>
          </w:p>
        </w:tc>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STATE OR OTHER</w:t>
            </w:r>
          </w:p>
        </w:tc>
        <w:tc>
          <w:tcPr>
            <w:tcW w:w="15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IRS</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ZIP CODE AND</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EXACT NAME</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JURISDICTION OF</w:t>
            </w:r>
          </w:p>
        </w:tc>
        <w:tc>
          <w:tcPr>
            <w:tcW w:w="15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EMPLOYER</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TELEPHONE NUMBER</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 SPECIFIED</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INCORPORATION OF</w:t>
            </w:r>
          </w:p>
        </w:tc>
        <w:tc>
          <w:tcPr>
            <w:tcW w:w="15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IDENTIFICATION</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OF PRINCIPAL</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 ITS CHARTER</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ORGANIZATION</w:t>
            </w:r>
          </w:p>
        </w:tc>
        <w:tc>
          <w:tcPr>
            <w:tcW w:w="15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NUMBER</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EXECUTIVE OFFICE</w:t>
            </w:r>
          </w:p>
        </w:tc>
      </w:tr>
      <w:tr>
        <w:trPr>
          <w:trHeight w:val="173"/>
        </w:trPr>
        <w:tc>
          <w:tcPr>
            <w:tcW w:w="4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4040" w:type="dxa"/>
            <w:vAlign w:val="bottom"/>
          </w:tcPr>
          <w:p>
            <w:pPr>
              <w:spacing w:after="0"/>
              <w:rPr>
                <w:sz w:val="20"/>
                <w:szCs w:val="20"/>
                <w:color w:val="auto"/>
              </w:rPr>
            </w:pPr>
            <w:r>
              <w:rPr>
                <w:rFonts w:ascii="Courier New" w:cs="Courier New" w:eastAsia="Courier New" w:hAnsi="Courier New"/>
                <w:sz w:val="15"/>
                <w:szCs w:val="15"/>
                <w:color w:val="auto"/>
              </w:rPr>
              <w:t>Waste Management Holdings, Inc. ............</w:t>
            </w:r>
          </w:p>
        </w:tc>
        <w:tc>
          <w:tcPr>
            <w:tcW w:w="1760" w:type="dxa"/>
            <w:vAlign w:val="bottom"/>
          </w:tcPr>
          <w:p>
            <w:pPr>
              <w:ind w:left="100"/>
              <w:spacing w:after="0"/>
              <w:rPr>
                <w:sz w:val="20"/>
                <w:szCs w:val="20"/>
                <w:color w:val="auto"/>
              </w:rPr>
            </w:pPr>
            <w:r>
              <w:rPr>
                <w:rFonts w:ascii="Courier New" w:cs="Courier New" w:eastAsia="Courier New" w:hAnsi="Courier New"/>
                <w:sz w:val="15"/>
                <w:szCs w:val="15"/>
                <w:color w:val="auto"/>
              </w:rPr>
              <w:t>Delaware</w:t>
            </w:r>
          </w:p>
        </w:tc>
        <w:tc>
          <w:tcPr>
            <w:tcW w:w="15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36-2660763</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1001 Fannin Street</w:t>
            </w:r>
          </w:p>
        </w:tc>
      </w:tr>
      <w:tr>
        <w:trPr>
          <w:trHeight w:val="173"/>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Suite 4000</w:t>
            </w:r>
          </w:p>
        </w:tc>
      </w:tr>
      <w:tr>
        <w:trPr>
          <w:trHeight w:val="173"/>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9"/>
              </w:rPr>
              <w:t>Houston, Texas 77002</w:t>
            </w:r>
          </w:p>
        </w:tc>
      </w:tr>
      <w:tr>
        <w:trPr>
          <w:trHeight w:val="173"/>
        </w:trPr>
        <w:tc>
          <w:tcPr>
            <w:tcW w:w="40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(713) 512-6200</w:t>
            </w:r>
          </w:p>
        </w:tc>
      </w:tr>
    </w:tbl>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SUBJECT TO COMPLETION, DATED SEPTEMBER 17, 1999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9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SENIOR NOTES DUE 2001</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9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SENIOR NOTES DUE 2004</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$500,000,000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2009</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$250,000,000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r>
    </w:tbl>
    <w:p>
      <w:pPr>
        <w:spacing w:after="0" w:line="177"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FOR</w:t>
            </w:r>
          </w:p>
        </w:tc>
      </w:tr>
      <w:tr>
        <w:trPr>
          <w:trHeight w:val="347"/>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2001</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2004</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$500,000,000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2009</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$250,000,000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2029</w:t>
            </w:r>
          </w:p>
        </w:tc>
      </w:tr>
    </w:tbl>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w:t>
      </w:r>
    </w:p>
    <w:p>
      <w:pPr>
        <w:spacing w:after="0" w:line="178" w:lineRule="exact"/>
        <w:rPr>
          <w:sz w:val="20"/>
          <w:szCs w:val="20"/>
          <w:color w:val="auto"/>
        </w:rPr>
      </w:pPr>
    </w:p>
    <w:p>
      <w:pPr>
        <w:ind w:left="620" w:right="3099" w:hanging="177"/>
        <w:spacing w:after="0" w:line="24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exchange all outstanding notes that are validly tendered and not validly withdrawn for an equal principal amount of exchange notes that are freely tradeable.</w:t>
      </w:r>
    </w:p>
    <w:p>
      <w:pPr>
        <w:spacing w:after="0" w:line="175"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withdraw tenders of outstanding notes at any time prior to the expiration of the exchange offer.</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expires at 5:00 p.m., New York City time, on</w:t>
      </w:r>
    </w:p>
    <w:p>
      <w:pPr>
        <w:spacing w:after="0" w:line="4" w:lineRule="exact"/>
        <w:rPr>
          <w:rFonts w:ascii="Courier New" w:cs="Courier New" w:eastAsia="Courier New" w:hAnsi="Courier New"/>
          <w:sz w:val="15"/>
          <w:szCs w:val="15"/>
          <w:color w:val="auto"/>
        </w:rPr>
      </w:pPr>
    </w:p>
    <w:p>
      <w:pPr>
        <w:ind w:left="620" w:right="3019" w:firstLine="1085"/>
        <w:spacing w:after="0" w:line="243" w:lineRule="auto"/>
        <w:tabs>
          <w:tab w:leader="none" w:pos="1882"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unless extended. We do not currently intend to extend the expiration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NOTES:</w:t>
      </w:r>
    </w:p>
    <w:p>
      <w:pPr>
        <w:spacing w:after="0" w:line="178" w:lineRule="exact"/>
        <w:rPr>
          <w:sz w:val="20"/>
          <w:szCs w:val="20"/>
          <w:color w:val="auto"/>
        </w:rPr>
      </w:pPr>
    </w:p>
    <w:p>
      <w:pPr>
        <w:ind w:left="620" w:right="3279" w:hanging="177"/>
        <w:spacing w:after="0" w:line="243"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Will be substantially identical to the outstanding notes except that the exchange notes will be freely tradeable.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OF EXCHANGE NOTES:</w:t>
      </w:r>
    </w:p>
    <w:p>
      <w:pPr>
        <w:spacing w:after="0" w:line="178" w:lineRule="exact"/>
        <w:rPr>
          <w:sz w:val="20"/>
          <w:szCs w:val="20"/>
          <w:color w:val="auto"/>
        </w:rPr>
      </w:pPr>
    </w:p>
    <w:p>
      <w:pPr>
        <w:jc w:val="both"/>
        <w:ind w:left="620" w:right="3739" w:hanging="177"/>
        <w:spacing w:after="0" w:line="243"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may be sold in the over-the-counter market, in negotiated transactions or through a combination of such methods.</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00" w:right="3639" w:hanging="179"/>
        <w:spacing w:after="0" w:line="243" w:lineRule="auto"/>
        <w:rPr>
          <w:sz w:val="20"/>
          <w:szCs w:val="20"/>
          <w:color w:val="auto"/>
        </w:rPr>
      </w:pPr>
      <w:r>
        <w:rPr>
          <w:rFonts w:ascii="Courier New" w:cs="Courier New" w:eastAsia="Courier New" w:hAnsi="Courier New"/>
          <w:sz w:val="15"/>
          <w:szCs w:val="15"/>
          <w:color w:val="auto"/>
        </w:rPr>
        <w:t>YOU SHOULD CONSIDER CAREFULLY THE RISK FACTORS BEGINNING ON PAGE 9 OF THIS PROSPECTUS BEFORE PARTICIPATING IN THE EXCHANGE OFFER</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5"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ind w:left="278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94"/>
        </w:trPr>
        <w:tc>
          <w:tcPr>
            <w:tcW w:w="5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5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Where to Find More Information..............................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Description of the Exchange Notes...........................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Certain United States Federal Income Tax Consequences.......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520"/>
        </w:trPr>
        <w:tc>
          <w:tcPr>
            <w:tcW w:w="5540" w:type="dxa"/>
            <w:vAlign w:val="bottom"/>
          </w:tcPr>
          <w:p>
            <w:pPr>
              <w:ind w:left="28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r>
    </w:tbl>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SHOULD RELY ONLY ON THE INFORMATION INCORPORATED BY REFERENCE OR CONTAINED IN THIS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WHERE TO FIND MORE INFORMATION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subject to the information requirements of the Securities Exchange Act of 1934, and in accordance therewith we file reports, proxy and information statements and other information with the Securities and Exchange Commission. You can inspect and copy these reports, proxy and information statements and other information at:</w:t>
      </w:r>
    </w:p>
    <w:p>
      <w:pPr>
        <w:spacing w:after="0" w:line="177" w:lineRule="exact"/>
        <w:rPr>
          <w:sz w:val="20"/>
          <w:szCs w:val="20"/>
          <w:color w:val="auto"/>
        </w:rPr>
      </w:pPr>
    </w:p>
    <w:p>
      <w:pPr>
        <w:ind w:left="620" w:right="3019" w:hanging="177"/>
        <w:spacing w:after="0" w:line="243"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reference facilities maintained by the Commission at 450 Fifth Street, N.W., Washington DC 20549, and</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regional offices of the Commission located at:</w:t>
      </w:r>
    </w:p>
    <w:p>
      <w:pPr>
        <w:spacing w:after="0" w:line="176" w:lineRule="exact"/>
        <w:rPr>
          <w:rFonts w:ascii="Courier New" w:cs="Courier New" w:eastAsia="Courier New" w:hAnsi="Courier New"/>
          <w:sz w:val="15"/>
          <w:szCs w:val="15"/>
          <w:color w:val="auto"/>
        </w:rPr>
      </w:pPr>
    </w:p>
    <w:p>
      <w:pPr>
        <w:ind w:left="900" w:hanging="186"/>
        <w:spacing w:after="0"/>
        <w:tabs>
          <w:tab w:leader="none" w:pos="9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West Madison Street, Suite 1400, Chicago, Illinois 60661, and</w:t>
      </w:r>
    </w:p>
    <w:p>
      <w:pPr>
        <w:spacing w:after="0" w:line="176" w:lineRule="exact"/>
        <w:rPr>
          <w:rFonts w:ascii="Courier New" w:cs="Courier New" w:eastAsia="Courier New" w:hAnsi="Courier New"/>
          <w:sz w:val="15"/>
          <w:szCs w:val="15"/>
          <w:color w:val="auto"/>
        </w:rPr>
      </w:pPr>
    </w:p>
    <w:p>
      <w:pPr>
        <w:ind w:left="900" w:hanging="186"/>
        <w:spacing w:after="0"/>
        <w:tabs>
          <w:tab w:leader="none" w:pos="9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World Trade Center, Suite 1300, New York, New York 10048.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In addition, you can inspect material filed by us at the offices of the New York Stock Exchange, 20 Broad Street, New York, New York 10005, on which shares of our common stock are listed.</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COMMISSION FILINGS (FILE NO.</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1-12154) --</w:t>
            </w:r>
          </w:p>
        </w:tc>
        <w:tc>
          <w:tcPr>
            <w:tcW w:w="248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3"/>
              </w:rPr>
              <w:t>PERIOD/DATE ----------------------------</w:t>
            </w:r>
          </w:p>
        </w:tc>
        <w:tc>
          <w:tcPr>
            <w:tcW w:w="1220" w:type="dxa"/>
            <w:vAlign w:val="bottom"/>
          </w:tcPr>
          <w:p>
            <w:pPr>
              <w:spacing w:after="0"/>
              <w:rPr>
                <w:sz w:val="14"/>
                <w:szCs w:val="14"/>
                <w:color w:val="auto"/>
              </w:rPr>
            </w:pPr>
          </w:p>
        </w:tc>
      </w:tr>
      <w:tr>
        <w:trPr>
          <w:trHeight w:val="347"/>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 - Annual Report on Form 10-K</w:t>
            </w:r>
          </w:p>
        </w:tc>
        <w:tc>
          <w:tcPr>
            <w:tcW w:w="24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560" w:type="dxa"/>
            <w:vAlign w:val="bottom"/>
          </w:tcPr>
          <w:p>
            <w:pPr>
              <w:spacing w:after="0"/>
              <w:rPr>
                <w:sz w:val="20"/>
                <w:szCs w:val="20"/>
                <w:color w:val="auto"/>
              </w:rPr>
            </w:pPr>
            <w:r>
              <w:rPr>
                <w:rFonts w:ascii="Courier New" w:cs="Courier New" w:eastAsia="Courier New" w:hAnsi="Courier New"/>
                <w:sz w:val="15"/>
                <w:szCs w:val="15"/>
                <w:color w:val="auto"/>
              </w:rPr>
              <w:t>- - Quarterly Report on Form</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Quarter ended</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1999 (certain</w:t>
            </w:r>
          </w:p>
        </w:tc>
      </w:tr>
      <w:tr>
        <w:trPr>
          <w:trHeight w:val="173"/>
        </w:trPr>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items in financial statements were</w:t>
            </w:r>
          </w:p>
        </w:tc>
      </w:tr>
      <w:tr>
        <w:trPr>
          <w:trHeight w:val="173"/>
        </w:trPr>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0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revised in June 30, 1999 Form 10-Q)</w:t>
            </w:r>
          </w:p>
        </w:tc>
      </w:tr>
      <w:tr>
        <w:trPr>
          <w:trHeight w:val="173"/>
        </w:trPr>
        <w:tc>
          <w:tcPr>
            <w:tcW w:w="2560" w:type="dxa"/>
            <w:vAlign w:val="bottom"/>
          </w:tcPr>
          <w:p>
            <w:pPr>
              <w:spacing w:after="0"/>
              <w:rPr>
                <w:sz w:val="20"/>
                <w:szCs w:val="20"/>
                <w:color w:val="auto"/>
              </w:rPr>
            </w:pPr>
            <w:r>
              <w:rPr>
                <w:rFonts w:ascii="Courier New" w:cs="Courier New" w:eastAsia="Courier New" w:hAnsi="Courier New"/>
                <w:sz w:val="15"/>
                <w:szCs w:val="15"/>
                <w:color w:val="auto"/>
              </w:rPr>
              <w:t>- - Quarterly Report on Form</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10-Q</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Quarter ended</w:t>
            </w:r>
          </w:p>
        </w:tc>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r>
      <w:tr>
        <w:trPr>
          <w:trHeight w:val="173"/>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 - Current Report on Form 8-K</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September 16,</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spacing w:after="0"/>
              <w:rPr>
                <w:sz w:val="15"/>
                <w:szCs w:val="15"/>
                <w:color w:val="auto"/>
              </w:rPr>
            </w:pPr>
          </w:p>
        </w:tc>
      </w:tr>
      <w:tr>
        <w:trPr>
          <w:trHeight w:val="173"/>
        </w:trPr>
        <w:tc>
          <w:tcPr>
            <w:tcW w:w="3780" w:type="dxa"/>
            <w:vAlign w:val="bottom"/>
            <w:gridSpan w:val="2"/>
          </w:tcPr>
          <w:p>
            <w:pPr>
              <w:spacing w:after="0"/>
              <w:rPr>
                <w:sz w:val="20"/>
                <w:szCs w:val="20"/>
                <w:color w:val="auto"/>
              </w:rPr>
            </w:pPr>
            <w:r>
              <w:rPr>
                <w:rFonts w:ascii="Courier New" w:cs="Courier New" w:eastAsia="Courier New" w:hAnsi="Courier New"/>
                <w:sz w:val="15"/>
                <w:szCs w:val="15"/>
                <w:color w:val="auto"/>
              </w:rPr>
              <w:t>- - Proxy Statement for the 1999 Annual</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April 5, 1999</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3"/>
        </w:trPr>
        <w:tc>
          <w:tcPr>
            <w:tcW w:w="2560" w:type="dxa"/>
            <w:vAlign w:val="bottom"/>
          </w:tcPr>
          <w:p>
            <w:pPr>
              <w:ind w:left="360"/>
              <w:spacing w:after="0"/>
              <w:rPr>
                <w:sz w:val="20"/>
                <w:szCs w:val="20"/>
                <w:color w:val="auto"/>
              </w:rPr>
            </w:pPr>
            <w:r>
              <w:rPr>
                <w:rFonts w:ascii="Courier New" w:cs="Courier New" w:eastAsia="Courier New" w:hAnsi="Courier New"/>
                <w:sz w:val="15"/>
                <w:szCs w:val="15"/>
                <w:color w:val="auto"/>
              </w:rPr>
              <w:t>Meeting of Stockholders</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3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YOU MAY REQUEST A COPY OF THIS INFORMATION, THE EXCHANGE OFFER REGISTRATION STATEMENT, AND THE COMMISSION FILINGS AT NO COST, BY WRITING OR TELEPHONING US AT THE FOLLOWING ADDRESS: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980" w:hanging="537"/>
        <w:spacing w:after="0"/>
        <w:tabs>
          <w:tab w:leader="none" w:pos="9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w:t>
      </w:r>
    </w:p>
    <w:p>
      <w:pPr>
        <w:spacing w:after="0" w:line="3"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ATTN: SECRETARY</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ENSURE TIMELY DELIVERY, YOU SHOULD REQUEST THESE FILINGS NO LATER THAN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PROSPECTUS SUMMARY</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 In this prospectus, the terms "our," "we," "us," "Waste Management," and similar terms refer to Waste Management, Inc. and include all of our consolidated subsidiaries. In this prospectus, the term "you" refers to a holder of the outstanding notes or the exchange notes.</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are a global leader in providing integrated waste management services. In North America, we provide solid waste management services throughout the United States, as well as in Canada, Mexico and Puerto Rico, including collection, transfer, recycling and resource recovery services, and disposal services, including the landfill disposal of hazardous wastes. In addition, we are a leading developer, operator and owner of waste-to-energy facilities in the United States. We also engage in other hazardous waste management services throughout North America, as well as low-level and other radioactive waste services. Internationally, we operate throughout Europe, the Pacific Rim, South America and other select international markets. Our diversified customer base includes commercial, industrial, municipal and residential customers, other waste management companies, governmental entities and independent power markets.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September 14, 1999, we announced the declaration of an annual cash dividend of $0.01 per share payable October 19, 1999 to stockholders of record on September 30, 1999.</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July 6, 1999, we announced that we had lowered our expected earnings per share for the three-month period ended June 30, 1999. On July 29, 1999, we announced a further reduction in our expected earnings for that period. On August 3, 1999, we announced that our reported operating income for the three-month period ended March 31, 1999 may have included certain non-recurring pretax income items. Between July 8, 1999 and August 4, 1999, several lawsuits that purport to be based on one or more of these announcements have been filed against us and certain of our officers and directors in the United States District Court for the Southern District of Texas. Taken together, the plaintiffs of these lawsuits purport to assert claims on behalf of a class of purchasers of our common stock between June 10, 1998 and August 2, 1999. Among other things, the plaintiffs allege that Waste Management and certain of its officers and directors (i) made knowingly false earnings projections for the three months ended June 30, 1999 and (ii) failed to adequately disclose facts relating to its earnings projections that the plaintiffs allege would have been material to purchasers of Waste Management's common stock. The plaintiffs also claim that certain of Waste Management's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two of Waste Management's shareholders have filed lawsuits against certain of our officers and directors in connection with the events surrounding our second quarter 1999 earnings projections and July 6, 1999 earnings announcement. These lawsuits were filed in the Court of Chancery of the State of Delaware on July 16, 1999 and in the United States District Court for the Southern District of Texas on July 27, 1999. The plaintiffs in these actions purport to allege derivative claims on behalf of Waste Management against these officers and directors for alleged breaches of fiduciary duty resulting from their alleged stock sales during the three-month period ended June 30, 1999 and/or their oversight of Waste Management's affairs. The lawsuits name Waste Management, Inc. as a nominal defendant and seek compensatory and punitive damages with interest, equitable and/or injunctive relief, costs and such other relief as the respective courts deem proper.</w:t>
      </w:r>
    </w:p>
    <w:p>
      <w:pPr>
        <w:spacing w:after="0" w:line="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We have also received a letter from participants in our Employee Stock Purchase Plan who allegedly purchased our common stock on June 30, 1999. The letter demands that the Administrative Committee of the Plan bring an action against Waste Management and certain selling officers and directors for losses allegedly sustained by the participants in connection with their stock purchases. These Plan participants have indicated in the letter that, absent action by the Plan, they intend to sue Waste Management and the directors and officers on behalf of the Plan and its participants.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the Commission has notified us of an informal inquiry into the period ended June 30, 1999, as well as certain sales of our common stock that preceded our July 6, 1999 earnings announcement.</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New York Stock Exchange has notified us that its market Trading Analysis Department is reviewing transactions in our common stock prior to the July 6, 1999 earnings forecast announcement.</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conducting a thorough investigation of each of the allegations that have been made in connection with our second quarter 1999 earnings communications. As part of this investigation, our Board of Directors has authorized a review of the allegations that have been made against certain of our officers and directors. Roderick M. Hills, a former chairman of the Commission and chairman of our audit committee, is directing the review.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received a Civil Investigative Demand, or CID, from the Antitrust Division of the United States Department of Justice inquiring into our non-hazardous solid waste operations in the State of Massachusetts. The CID purports to have been issued for the purpose of determining whether we have engaged in monopolization, illegal contracts in restraint of trade, or anticompetitive acquisitions of disposal and/or hauling assets. The CID requires us to provide the Department of Justice with certain documents to assist it in its inquiry.</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On July 16, 1999, a lawsuit was filed against Waste Management in the Circuit Court of Sumter County in the State of Alabama. The plaintiff in the lawsuit purports to allege on behalf of a class of similarly situated persons that Waste Management has deprived the class of lump sum payments of pension plan benefits allegedly promised to be paid in connection with termination of the Waste Management Holdings defined benefit pension plan. On behalf of the purported class, the plaintiff seeks compensatory and punitive damages, costs, restitution with interest, and such other relief as the Court deems proper.</w:t>
      </w:r>
    </w:p>
    <w:p>
      <w:pPr>
        <w:spacing w:after="0" w:line="16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may have on Waste Management Holdings or Waste Management, nor is it possible to predict whether any other suits or claims may arise out of these matters in the future. However, it is reasonably possible that the outcome of any present or future litigation may have a material adverse impact on our financial condition or results of operations in one or more future periods. Waste Management and Waste Management Holdings intend to defend themselves vigorously in all the above matters.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 Executive Committee of our Board of Directors has been formed, consisting of Ralph V. Whitworth, Roderick M. Hills and Jerome P. York. The Board of Directors has appointed Mr. Whitworth, a managing member of Relational Investors LLC, as Chairman of the Executive Committee.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Rodney R. Proto has relinquished his position as our President and Chief Operating Officer and as a member of the Board of Directors. John E. Drury has stepped aside as Chairman and Chief Executive Officer, but remains a member of the Board of Directors. Earl E. DeFrates has resigned as Chief Financial Officer and Gregory T. Sangalis has resigned as our General Counsel.</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Our Board of Directors has appointed Ralph V. Whitworth its Chairman. Additionally, we have named Donald Chappel as our Chief Financial Officer and Executive Vice President. Mr. Chappel was previously the Vice President and acting Chief Financial Officer of Waste Management Holdings from October 1997 until its merger with USA Waste Services, Inc. in July 1998 and also served as our Senior Vice President-Operations and Administration from July 1998 through April 1999.</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have initiated a search for a new Chief Executive Officer and General Counsel. Pending the conclusion of this search, the Board of Directors has appointed Robert S. Miller as the Chief Executive</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Officer and President. Mr. Miller served as Chairman of the Board of Waste Management from July 1998 until May 1999 and was a director of Waste Management Holdings from October 1997 to July 1998. Mr. Miller serves as Vice-Chairman of Morrison Knudsen Corporation, an engineering and construction firm. He also served as Chief Executive Officer of Federal-Mogul Corporation from September until November 1996 and as Chairman of Morrison Knudsen Corporation from April 1995 until September 1996. In addition, since 1993 he has served as Vice President and Treasurer of Moore Mill and Lumber, a privately held forest product firm, and from 1992 to 1993, he served as Senior Partner of James E. Wolfensohn, Inc., an investment banking firm. From 1979 to 1992, Mr. Miller was with Chrysler Corporation, an automobile and truck manufacturing firm, rising to become Vice-Chairman of the Board after serving as Chrysler's Chief Financial Officer. Mr. Miller is a director of Federal-Mogul Corporation, Morrison Knudsen Corporation, Pope &amp; Talbot, Inc., and Symantec Corporation.</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has initiated a strategic initiative aimed at increasing shareholder value. We have engaged Chase Securities Inc. and Donaldson, Lufkin and Jenrette Securities Corporation as financial advisors to assist us in this matter. The plan calls for disposition of some or all of our international assets, a substantial majority of our non-core assets, and certain non-strategic North American solid waste assets that account for 10% of our operating revenues in that sector. We intend immediately to initiate the disposition of these assets, and plan to substantially complete these asset sales in the next 12 months, although there can be no assurance that these dispositions will be completed in the contemplated time frame. We expect to use the proceeds of these asset dispositions as they are realized to repay debt, repurchase shares and pursue tuck-in acquisitions.</w:t>
      </w:r>
    </w:p>
    <w:p>
      <w:pPr>
        <w:spacing w:after="0" w:line="18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SUMMARY OF TERMS OF THE EXCHANGE OFFER</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On May 21, 1999, we completed the private offering of the outstanding notes, consisting of:</w:t>
      </w:r>
    </w:p>
    <w:p>
      <w:pPr>
        <w:spacing w:after="0" w:line="175" w:lineRule="exact"/>
        <w:rPr>
          <w:sz w:val="20"/>
          <w:szCs w:val="20"/>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principal amount of 6.000% Senior Notes due 2001;</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principal amount of 6.500% Senior Notes due 2004;</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million principal amount of 6.875% Senior Notes due 2009;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 million principal amount of 7.375% Senior Notes due 2029.</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175" w:lineRule="exact"/>
        <w:rPr>
          <w:sz w:val="20"/>
          <w:szCs w:val="20"/>
          <w:color w:val="auto"/>
        </w:rPr>
      </w:pPr>
    </w:p>
    <w:p>
      <w:pPr>
        <w:ind w:left="620" w:right="3099" w:hanging="177"/>
        <w:spacing w:after="0" w:line="243"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an exchange offer registration statement with the Commission within 120 days after May 21, 1999;</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exchange offer registration statement declared effective by the Commission within 210 days after May 21, 1999; and</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consummate the exchange offer within 30 business days after the date on which the exchange offer registration statement is declared effective by the Commission.</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You are entitled to exchange in the exchange offer your outstanding notes for exchange notes which are identical in all material respects to the outstanding notes except that:</w:t>
      </w:r>
    </w:p>
    <w:p>
      <w:pPr>
        <w:spacing w:after="0" w:line="175" w:lineRule="exact"/>
        <w:rPr>
          <w:sz w:val="20"/>
          <w:szCs w:val="20"/>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have been registered under the Securities Act;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contingent interest rate provisions are no longer applicable.</w:t>
      </w:r>
    </w:p>
    <w:p>
      <w:pPr>
        <w:spacing w:after="0" w:line="17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5"/>
          <w:szCs w:val="15"/>
          <w:color w:val="auto"/>
        </w:rPr>
        <w:t>The Exchange Offer.........</w:t>
        <w:tab/>
        <w:t>We are offering to exchange the aggregate principal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amount of exchange notes for the aggregate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principal amount of outstanding notes. The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outstanding notes may be exchanged only in amounts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which are equal to whole multiples of $1,000.</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2520" w:type="dxa"/>
            <w:vAlign w:val="bottom"/>
          </w:tcPr>
          <w:p>
            <w:pPr>
              <w:jc w:val="right"/>
              <w:ind w:right="2085"/>
              <w:spacing w:after="0"/>
              <w:rPr>
                <w:sz w:val="20"/>
                <w:szCs w:val="20"/>
                <w:color w:val="auto"/>
              </w:rPr>
            </w:pPr>
            <w:r>
              <w:rPr>
                <w:rFonts w:ascii="Courier New" w:cs="Courier New" w:eastAsia="Courier New" w:hAnsi="Courier New"/>
                <w:sz w:val="15"/>
                <w:szCs w:val="15"/>
                <w:color w:val="auto"/>
              </w:rPr>
              <w:t>9</w:t>
            </w:r>
          </w:p>
        </w:tc>
        <w:tc>
          <w:tcPr>
            <w:tcW w:w="28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Resales of Exchange</w:t>
            </w: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Based on Commission no action letters, we believe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that after the exchange offer you may offer and</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sell the exchange notes without registration under</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the Securities Act so long as: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acquire the exchange notes in the ordinary</w:t>
            </w:r>
          </w:p>
        </w:tc>
      </w:tr>
      <w:tr>
        <w:trPr>
          <w:trHeight w:val="173"/>
        </w:trPr>
        <w:tc>
          <w:tcPr>
            <w:tcW w:w="2520" w:type="dxa"/>
            <w:vAlign w:val="bottom"/>
          </w:tcPr>
          <w:p>
            <w:pPr>
              <w:spacing w:after="0"/>
              <w:rPr>
                <w:sz w:val="15"/>
                <w:szCs w:val="15"/>
                <w:color w:val="auto"/>
              </w:rPr>
            </w:pPr>
          </w:p>
        </w:tc>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course of business.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 When the exchange offer begins you do not have an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arrangement with another person to participate in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 distribution of the exchange notes.</w:t>
            </w: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are not engaged in a distribution of, nor do</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you intend to distribute, the exchange notes.</w:t>
            </w: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When you tender the outstanding notes, we will ask</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you to represent to us that:</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are not an affiliate of Waste Management.</w:t>
            </w: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You will acquire the exchange notes in the</w:t>
            </w:r>
          </w:p>
        </w:tc>
      </w:tr>
      <w:tr>
        <w:trPr>
          <w:trHeight w:val="173"/>
        </w:trPr>
        <w:tc>
          <w:tcPr>
            <w:tcW w:w="2520" w:type="dxa"/>
            <w:vAlign w:val="bottom"/>
          </w:tcPr>
          <w:p>
            <w:pPr>
              <w:spacing w:after="0"/>
              <w:rPr>
                <w:sz w:val="15"/>
                <w:szCs w:val="15"/>
                <w:color w:val="auto"/>
              </w:rPr>
            </w:pPr>
          </w:p>
        </w:tc>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ordinary course of business.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When the exchange offer begins you are not</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engaged in, nor do you have plans with another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person to be engaged in, a distribution of the</w:t>
            </w:r>
          </w:p>
        </w:tc>
      </w:tr>
      <w:tr>
        <w:trPr>
          <w:trHeight w:val="173"/>
        </w:trPr>
        <w:tc>
          <w:tcPr>
            <w:tcW w:w="2520" w:type="dxa"/>
            <w:vAlign w:val="bottom"/>
          </w:tcPr>
          <w:p>
            <w:pPr>
              <w:spacing w:after="0"/>
              <w:rPr>
                <w:sz w:val="15"/>
                <w:szCs w:val="15"/>
                <w:color w:val="auto"/>
              </w:rPr>
            </w:pPr>
          </w:p>
        </w:tc>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exchange notes.</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If you are unable to make these representations,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you will be required to comply with the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registration and prospectus delivery requirements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under the Securities Act in connection with any</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resale transaction.</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4"/>
                <w:szCs w:val="24"/>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If you are a broker-dealer and receive exchange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for your own account, you must acknowledge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that you will deliver a prospectus if you resell</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exchange notes. By acknowledging your intent</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delivering a prospectus you will not be deemed</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 admit that you are an "underwriter" under the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Securities Act. You may use this prospectus as it</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is amended from time to time when you resell</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exchange notes which were acquired from</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market-making or trading activities. For a year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after the expiration date we will make this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prospectus available to any broker-dealer in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connection with such a resale. See "Plan of</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Distribution."</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Consequences of Failure to</w:t>
            </w: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Exchange Notes...........</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If you do not exchange your outstanding notes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during the exchange offer you will no longer be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entitled to registration rights. You will not be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able to offer or sell the outstanding notes unless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they are later registered, sold pursuant to an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exemption from registration or sold in a</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transaction not subject to the Securities Act or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state securities laws. Other than in connection</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with the exchange offer, we do not currently</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anticipate that we will register the outstanding</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under the Securities Act. See "The Exchange</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Offer -- Consequences of Failure to Exchange."</w:t>
            </w:r>
          </w:p>
        </w:tc>
      </w:tr>
      <w:tr>
        <w:trPr>
          <w:trHeight w:val="347"/>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Expiration Date............</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exchange offer will expire at 5:00 p.m., New</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York City time, on</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 1999 or such later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date and time to which we extend it, referred to as</w:t>
            </w:r>
          </w:p>
        </w:tc>
      </w:tr>
      <w:tr>
        <w:trPr>
          <w:trHeight w:val="173"/>
        </w:trPr>
        <w:tc>
          <w:tcPr>
            <w:tcW w:w="2520" w:type="dxa"/>
            <w:vAlign w:val="bottom"/>
          </w:tcPr>
          <w:p>
            <w:pPr>
              <w:spacing w:after="0"/>
              <w:rPr>
                <w:sz w:val="15"/>
                <w:szCs w:val="15"/>
                <w:color w:val="auto"/>
              </w:rPr>
            </w:pP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the "expiration date."</w:t>
            </w:r>
          </w:p>
        </w:tc>
        <w:tc>
          <w:tcPr>
            <w:tcW w:w="1840" w:type="dxa"/>
            <w:vAlign w:val="bottom"/>
          </w:tcPr>
          <w:p>
            <w:pPr>
              <w:spacing w:after="0"/>
              <w:rPr>
                <w:sz w:val="15"/>
                <w:szCs w:val="15"/>
                <w:color w:val="auto"/>
              </w:rPr>
            </w:pP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Conditions to the Exchange</w:t>
            </w: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Offer....................</w:t>
            </w: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 minimum principal amount of outstanding notes</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must be tendered to complete the exchange offer.</w:t>
            </w:r>
          </w:p>
        </w:tc>
      </w:tr>
      <w:tr>
        <w:trPr>
          <w:trHeight w:val="173"/>
        </w:trPr>
        <w:tc>
          <w:tcPr>
            <w:tcW w:w="2520" w:type="dxa"/>
            <w:vAlign w:val="bottom"/>
          </w:tcPr>
          <w:p>
            <w:pPr>
              <w:spacing w:after="0"/>
              <w:rPr>
                <w:sz w:val="15"/>
                <w:szCs w:val="15"/>
                <w:color w:val="auto"/>
              </w:rPr>
            </w:pPr>
          </w:p>
        </w:tc>
        <w:tc>
          <w:tcPr>
            <w:tcW w:w="4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However, the exchange offer is subject</w:t>
            </w:r>
          </w:p>
        </w:tc>
      </w:tr>
    </w:tbl>
    <w:p>
      <w:pPr>
        <w:spacing w:after="0" w:line="178" w:lineRule="exact"/>
        <w:rPr>
          <w:sz w:val="20"/>
          <w:szCs w:val="20"/>
          <w:color w:val="auto"/>
        </w:rPr>
      </w:pPr>
    </w:p>
    <w:p>
      <w:pPr>
        <w:sectPr>
          <w:pgSz w:w="11900" w:h="16838" w:orient="portrait"/>
          <w:cols w:equalWidth="0" w:num="1">
            <w:col w:w="10219"/>
          </w:cols>
          <w:pgMar w:left="240" w:top="291" w:right="1440" w:bottom="1440" w:gutter="0" w:footer="0" w:header="0"/>
        </w:sectPr>
      </w:pPr>
    </w:p>
    <w:p>
      <w:pPr>
        <w:ind w:left="36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520" w:type="dxa"/>
            <w:vAlign w:val="bottom"/>
          </w:tcPr>
          <w:p>
            <w:pPr>
              <w:jc w:val="right"/>
              <w:ind w:right="2005"/>
              <w:spacing w:after="0"/>
              <w:rPr>
                <w:sz w:val="20"/>
                <w:szCs w:val="20"/>
                <w:color w:val="auto"/>
              </w:rPr>
            </w:pPr>
            <w:r>
              <w:rPr>
                <w:rFonts w:ascii="Courier New" w:cs="Courier New" w:eastAsia="Courier New" w:hAnsi="Courier New"/>
                <w:sz w:val="15"/>
                <w:szCs w:val="15"/>
                <w:color w:val="auto"/>
              </w:rPr>
              <w:t>10</w:t>
            </w:r>
          </w:p>
        </w:tc>
        <w:tc>
          <w:tcPr>
            <w:tcW w:w="4680" w:type="dxa"/>
            <w:vAlign w:val="bottom"/>
          </w:tcPr>
          <w:p>
            <w:pPr>
              <w:spacing w:after="0"/>
              <w:rPr>
                <w:sz w:val="14"/>
                <w:szCs w:val="14"/>
                <w:color w:val="auto"/>
              </w:rPr>
            </w:pPr>
          </w:p>
        </w:tc>
      </w:tr>
      <w:tr>
        <w:trPr>
          <w:trHeight w:val="347"/>
        </w:trPr>
        <w:tc>
          <w:tcPr>
            <w:tcW w:w="2520" w:type="dxa"/>
            <w:vAlign w:val="bottom"/>
          </w:tcPr>
          <w:p>
            <w:pPr>
              <w:spacing w:after="0"/>
              <w:rPr>
                <w:sz w:val="24"/>
                <w:szCs w:val="24"/>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to certain customary conditions which we may waive.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See "The Exchange Offer -- Conditions."</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Procedures for Tendering</w:t>
            </w:r>
          </w:p>
        </w:tc>
        <w:tc>
          <w:tcPr>
            <w:tcW w:w="468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 Notes........</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If you wish to participate in the exchange offer,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you must complete, sign and date the accompanying</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letter of transmittal or a facsimile copy and mail</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it or deliver it to the exchange agent along with</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any necessary documentation. Instructions and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address of the exchange agent are on the letter of</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transmittal and in this prospectus. See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Exchange Offer -- Procedures for Tendering" and</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 Exchange Agent." You may also effect a tender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of outstanding notes pursuant to the procedures for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book-entry transfer as described in this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prospectus. See "The Exchange Offer -- Procedures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for Tendering."</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Guaranteed Delivery</w:t>
            </w:r>
          </w:p>
        </w:tc>
        <w:tc>
          <w:tcPr>
            <w:tcW w:w="468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Procedures...............</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If you cannot tender the outstanding notes,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complete the letter of transmittal or provide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necessary documentation prior to the termination of</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the exchange offer, you may tender your outstanding</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notes according to the guaranteed delivery</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procedures set forth in "The Exchange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Offer -- Guaranteed Delivery Procedures."</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Special Procedures for</w:t>
            </w:r>
          </w:p>
        </w:tc>
        <w:tc>
          <w:tcPr>
            <w:tcW w:w="468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Beneficial Owners........</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If you are a beneficial owner of outstanding notes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which are registered in the name of a broker,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dealer, commercial bank, trust company or other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nominee, and you wish to tender outstanding notes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in the exchange offer, you should contact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registered holder promptly and instruct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registered holder to tender on your behalf. If you</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wish to tender on your own behalf, you must, prior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to completing and executing the letter of</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transmittal and delivering your outstanding notes,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either make appropriate arrangements to register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ownership of the outstanding notes in your name or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obtain a properly completed bond power from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registered holder. The transfer of registered</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ownership may take considerable time and may not be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able to be completed prior to the expiration date.</w:t>
            </w:r>
          </w:p>
        </w:tc>
      </w:tr>
      <w:tr>
        <w:trPr>
          <w:trHeight w:val="347"/>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Withdrawal Rights..........</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You may withdraw outstanding notes that have been</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tendered at any time prior to the expiration date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w w:val="99"/>
              </w:rPr>
              <w:t>by sending a written or facsimile withdrawal notice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to the Exchange Agent.</w:t>
            </w:r>
          </w:p>
        </w:tc>
      </w:tr>
      <w:tr>
        <w:trPr>
          <w:trHeight w:val="347"/>
        </w:trPr>
        <w:tc>
          <w:tcPr>
            <w:tcW w:w="2520" w:type="dxa"/>
            <w:vAlign w:val="bottom"/>
          </w:tcPr>
          <w:p>
            <w:pPr>
              <w:spacing w:after="0"/>
              <w:rPr>
                <w:sz w:val="20"/>
                <w:szCs w:val="20"/>
                <w:color w:val="auto"/>
              </w:rPr>
            </w:pPr>
            <w:r>
              <w:rPr>
                <w:rFonts w:ascii="Courier New" w:cs="Courier New" w:eastAsia="Courier New" w:hAnsi="Courier New"/>
                <w:sz w:val="15"/>
                <w:szCs w:val="15"/>
                <w:color w:val="auto"/>
              </w:rPr>
              <w:t>Acceptance of Outstanding</w:t>
            </w:r>
          </w:p>
        </w:tc>
        <w:tc>
          <w:tcPr>
            <w:tcW w:w="4680" w:type="dxa"/>
            <w:vAlign w:val="bottom"/>
          </w:tcPr>
          <w:p>
            <w:pPr>
              <w:spacing w:after="0"/>
              <w:rPr>
                <w:sz w:val="24"/>
                <w:szCs w:val="24"/>
                <w:color w:val="auto"/>
              </w:rPr>
            </w:pPr>
          </w:p>
        </w:tc>
      </w:tr>
      <w:tr>
        <w:trPr>
          <w:trHeight w:val="173"/>
        </w:trPr>
        <w:tc>
          <w:tcPr>
            <w:tcW w:w="2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Notes and Delivery of</w:t>
            </w:r>
          </w:p>
        </w:tc>
        <w:tc>
          <w:tcPr>
            <w:tcW w:w="4680" w:type="dxa"/>
            <w:vAlign w:val="bottom"/>
          </w:tcPr>
          <w:p>
            <w:pPr>
              <w:spacing w:after="0"/>
              <w:rPr>
                <w:sz w:val="15"/>
                <w:szCs w:val="15"/>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Exchange Notes...........</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All outstanding notes properly tendered to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Exchange Agent by the expiration date will be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accepted for exchange. The exchange notes will be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delivered promptly after the expiration date. See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"The Exchange Offer -- Acceptance of Notes for</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Exchange; Delivery of Exchange Notes."</w:t>
            </w:r>
          </w:p>
        </w:tc>
      </w:tr>
      <w:tr>
        <w:trPr>
          <w:trHeight w:val="347"/>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Certain U.S. Federal Income</w:t>
            </w:r>
          </w:p>
        </w:tc>
        <w:tc>
          <w:tcPr>
            <w:tcW w:w="4680" w:type="dxa"/>
            <w:vAlign w:val="bottom"/>
          </w:tcPr>
          <w:p>
            <w:pPr>
              <w:spacing w:after="0"/>
              <w:rPr>
                <w:sz w:val="24"/>
                <w:szCs w:val="24"/>
                <w:color w:val="auto"/>
              </w:rPr>
            </w:pPr>
          </w:p>
        </w:tc>
      </w:tr>
      <w:tr>
        <w:trPr>
          <w:trHeight w:val="173"/>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 Consequences.........</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The exchange of outstanding notes for exchange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notes will not be a taxable event for U.S. federal</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income tax purposes. See "Certain United States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Federal Income Tax Consequences."</w:t>
            </w:r>
          </w:p>
        </w:tc>
      </w:tr>
      <w:tr>
        <w:trPr>
          <w:trHeight w:val="347"/>
        </w:trPr>
        <w:tc>
          <w:tcPr>
            <w:tcW w:w="25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Exchange Agent.............</w:t>
            </w: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Chase Bank of Texas, National Association is the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exchange agent for the exchange offer. The address</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and telephone number of the exchange agent are set</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forth in the section captioned "The Exchange</w:t>
            </w:r>
          </w:p>
        </w:tc>
      </w:tr>
      <w:tr>
        <w:trPr>
          <w:trHeight w:val="173"/>
        </w:trPr>
        <w:tc>
          <w:tcPr>
            <w:tcW w:w="25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Courier New" w:cs="Courier New" w:eastAsia="Courier New" w:hAnsi="Courier New"/>
                <w:sz w:val="15"/>
                <w:szCs w:val="15"/>
                <w:color w:val="auto"/>
              </w:rPr>
              <w:t>Offer -- Exchange Agent" of this prospectus.</w:t>
            </w:r>
          </w:p>
        </w:tc>
      </w:tr>
      <w:tr>
        <w:trPr>
          <w:trHeight w:val="347"/>
        </w:trPr>
        <w:tc>
          <w:tcPr>
            <w:tcW w:w="2520" w:type="dxa"/>
            <w:vAlign w:val="bottom"/>
          </w:tcPr>
          <w:p>
            <w:pPr>
              <w:spacing w:after="0"/>
              <w:rPr>
                <w:sz w:val="24"/>
                <w:szCs w:val="24"/>
                <w:color w:val="auto"/>
              </w:rPr>
            </w:pPr>
          </w:p>
        </w:tc>
        <w:tc>
          <w:tcPr>
            <w:tcW w:w="4680" w:type="dxa"/>
            <w:vAlign w:val="bottom"/>
          </w:tcPr>
          <w:p>
            <w:pPr>
              <w:ind w:left="1080"/>
              <w:spacing w:after="0"/>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SUMMARY OF TERMS OF THE EXCHANGE NOTES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 million principal amount of 6.000% Senior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due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 million principal amount of 6.500% Senior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due 2004;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 million principal amount of 6.875% Senior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due 2009;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 million principal amount of 7.375% Senior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due 2029.</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Maturities.................</w:t>
      </w:r>
    </w:p>
    <w:p>
      <w:pPr>
        <w:spacing w:after="0" w:line="20" w:lineRule="exact"/>
        <w:rPr>
          <w:sz w:val="20"/>
          <w:szCs w:val="20"/>
          <w:color w:val="auto"/>
        </w:rPr>
      </w:pPr>
      <w:r>
        <w:rPr>
          <w:sz w:val="20"/>
          <w:szCs w:val="20"/>
          <w:color w:val="auto"/>
        </w:rPr>
        <w:br w:type="column"/>
      </w:r>
    </w:p>
    <w:p>
      <w:pPr>
        <w:ind w:right="3459"/>
        <w:spacing w:after="0" w:line="244" w:lineRule="auto"/>
        <w:rPr>
          <w:sz w:val="20"/>
          <w:szCs w:val="20"/>
          <w:color w:val="auto"/>
        </w:rPr>
      </w:pPr>
      <w:r>
        <w:rPr>
          <w:rFonts w:ascii="Courier New" w:cs="Courier New" w:eastAsia="Courier New" w:hAnsi="Courier New"/>
          <w:sz w:val="15"/>
          <w:szCs w:val="15"/>
          <w:color w:val="auto"/>
        </w:rPr>
        <w:t>For the 2001 exchange notes, May 15, 2001; for the 2004 exchange notes, May 15, 2004; for the 2009 exchange notes, May 15, 2009; and for the 2029 exchange notes, May 15, 2029.</w:t>
      </w:r>
    </w:p>
    <w:p>
      <w:pPr>
        <w:spacing w:after="0" w:line="176"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20" w:lineRule="exact"/>
        <w:rPr>
          <w:sz w:val="20"/>
          <w:szCs w:val="20"/>
          <w:color w:val="auto"/>
        </w:rPr>
      </w:pPr>
      <w:r>
        <w:rPr>
          <w:sz w:val="20"/>
          <w:szCs w:val="20"/>
          <w:color w:val="auto"/>
        </w:rPr>
        <w:br w:type="column"/>
      </w:r>
    </w:p>
    <w:p>
      <w:pPr>
        <w:ind w:right="3199"/>
        <w:spacing w:after="0" w:line="244" w:lineRule="auto"/>
        <w:rPr>
          <w:sz w:val="20"/>
          <w:szCs w:val="20"/>
          <w:color w:val="auto"/>
        </w:rPr>
      </w:pPr>
      <w:r>
        <w:rPr>
          <w:rFonts w:ascii="Courier New" w:cs="Courier New" w:eastAsia="Courier New" w:hAnsi="Courier New"/>
          <w:sz w:val="15"/>
          <w:szCs w:val="15"/>
          <w:color w:val="auto"/>
        </w:rPr>
        <w:t>Interest on all exchange notes will be paid semi-annually in cash in arrears on May 15 and November 15 of each year, commencing November 15, 1999.</w:t>
      </w:r>
    </w:p>
    <w:p>
      <w:pPr>
        <w:spacing w:after="0" w:line="176"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5"/>
          <w:szCs w:val="15"/>
          <w:color w:val="auto"/>
        </w:rPr>
        <w:t>Except for the exchange notes due in 2001, the exchange notes will be redeemable at our option. The exchange notes may be redeemed in whole or in part, at any time or from time to time, on not less than 30 days' notice, at the make-whole price as defined under "Description of the Exchange Notes -- Optional Redemption."</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Ranking....................</w:t>
      </w:r>
    </w:p>
    <w:p>
      <w:pPr>
        <w:spacing w:after="0" w:line="20" w:lineRule="exact"/>
        <w:rPr>
          <w:sz w:val="20"/>
          <w:szCs w:val="20"/>
          <w:color w:val="auto"/>
        </w:rPr>
      </w:pPr>
      <w:r>
        <w:rPr>
          <w:sz w:val="20"/>
          <w:szCs w:val="20"/>
          <w:color w:val="auto"/>
        </w:rPr>
        <w:br w:type="column"/>
      </w:r>
    </w:p>
    <w:p>
      <w:pPr>
        <w:ind w:right="3099"/>
        <w:spacing w:after="0" w:line="244" w:lineRule="auto"/>
        <w:rPr>
          <w:sz w:val="20"/>
          <w:szCs w:val="20"/>
          <w:color w:val="auto"/>
        </w:rPr>
      </w:pPr>
      <w:r>
        <w:rPr>
          <w:rFonts w:ascii="Courier New" w:cs="Courier New" w:eastAsia="Courier New" w:hAnsi="Courier New"/>
          <w:sz w:val="15"/>
          <w:szCs w:val="15"/>
          <w:color w:val="auto"/>
        </w:rPr>
        <w:t>The outstanding notes are, and the exchange notes will be, our general unsecured senior obligations and will rank equal in right of payment to all of our other existing and future senior and unsecured indebtedness, including debt under our credit facilities. See "Description of Exchange Notes -- Ranking."</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Subsidiary Guarantee.......</w:t>
      </w:r>
    </w:p>
    <w:p>
      <w:pPr>
        <w:spacing w:after="0" w:line="20" w:lineRule="exact"/>
        <w:rPr>
          <w:sz w:val="20"/>
          <w:szCs w:val="20"/>
          <w:color w:val="auto"/>
        </w:rPr>
      </w:pPr>
      <w:r>
        <w:rPr>
          <w:sz w:val="20"/>
          <w:szCs w:val="20"/>
          <w:color w:val="auto"/>
        </w:rPr>
        <w:br w:type="column"/>
      </w:r>
    </w:p>
    <w:p>
      <w:pPr>
        <w:ind w:right="3099"/>
        <w:spacing w:after="0" w:line="244" w:lineRule="auto"/>
        <w:rPr>
          <w:sz w:val="20"/>
          <w:szCs w:val="20"/>
          <w:color w:val="auto"/>
        </w:rPr>
      </w:pPr>
      <w:r>
        <w:rPr>
          <w:rFonts w:ascii="Courier New" w:cs="Courier New" w:eastAsia="Courier New" w:hAnsi="Courier New"/>
          <w:sz w:val="15"/>
          <w:szCs w:val="15"/>
          <w:color w:val="auto"/>
        </w:rPr>
        <w:t>The outstanding notes are, and the exchange notes will be, guaranteed by our subsidiary Waste Management Holdings, Inc. on a full and unconditional basis. The subsidiary guarantee will be equal in right of payment to all senior and unsecured indebtedness of Waste Management Holdings, Inc.</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Covenants..................</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5"/>
          <w:szCs w:val="15"/>
          <w:color w:val="auto"/>
        </w:rPr>
        <w:t>We issued the outstanding notes, and will issue the exchange notes, under an indenture with Chase Bank of Texas, National Association, the trustee. The indenture, among other things, restricts our ability and the ability of our subsidiaries to:</w:t>
      </w:r>
    </w:p>
    <w:p>
      <w:pPr>
        <w:spacing w:after="0" w:line="176"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5"/>
          <w:szCs w:val="15"/>
          <w:color w:val="auto"/>
        </w:rPr>
        <w:t>- create liens securing indebtedness; and</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 engage in sale and leaseback transactions.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For more details, see "Description of Exchange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Notes -- Certain Covenants."</w:t>
      </w:r>
    </w:p>
    <w:p>
      <w:pPr>
        <w:sectPr>
          <w:pgSz w:w="11900" w:h="16838" w:orient="portrait"/>
          <w:cols w:equalWidth="0" w:num="1">
            <w:col w:w="10219"/>
          </w:cols>
          <w:pgMar w:left="240" w:top="291" w:right="1440" w:bottom="1440" w:gutter="0" w:footer="0" w:header="0"/>
          <w:type w:val="continuous"/>
        </w:sectPr>
      </w:pP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freely transferable but will also be new securities for which there will not initially be a market. Accordingly, we cannot assure you whether a market for the exchange notes will develop or as to the liquidity of any such market. We do not intend to apply for a listing of the exchange 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HISTORICAL AND SELECTED FINANCIAL INFORMATION</w:t>
      </w:r>
    </w:p>
    <w:p>
      <w:pPr>
        <w:spacing w:after="0" w:line="178" w:lineRule="exact"/>
        <w:rPr>
          <w:sz w:val="20"/>
          <w:szCs w:val="20"/>
          <w:color w:val="auto"/>
        </w:rPr>
      </w:pPr>
    </w:p>
    <w:p>
      <w:pPr>
        <w:ind w:right="4320" w:firstLine="451"/>
        <w:spacing w:after="0" w:line="244" w:lineRule="auto"/>
        <w:rPr>
          <w:sz w:val="20"/>
          <w:szCs w:val="20"/>
          <w:color w:val="auto"/>
        </w:rPr>
      </w:pPr>
      <w:r>
        <w:rPr>
          <w:rFonts w:ascii="Courier New" w:cs="Courier New" w:eastAsia="Courier New" w:hAnsi="Courier New"/>
          <w:sz w:val="15"/>
          <w:szCs w:val="15"/>
          <w:color w:val="auto"/>
        </w:rPr>
        <w:t>The following selected consolidated financial information as of December 31, 1997 and 1998, and for each of the years in the three year period ended December 31, 1998, has been derived from Waste Management's audited consolidated financial statements incorporated by reference herein. This information should be read in conjunction with such consolidated financial statements and related notes thereto. The selected consolidated financial information as of December 31, 1994, 1995 and 1996, and for each of the years in the two year period ended December 31, 1995, has been derived from audited consolidated financial statements, that have been previously included in Waste Management's reports under the Exchange Act, restated for certain pooling of interests transactions. The following selected historical financial information as of and for the six months ended June 30, 1998 and 1999 has been derived from Waste Management's unaudited historical financial statements and reflects all adjustments management considers necessary for a fair presentation of the financial position and results of operations for these periods. The results of operations for the six months ended June 30, 1999 are not necessarily indicative of the results that may be expected for the full year.</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center"/>
              <w:ind w:right="225"/>
              <w:spacing w:after="0"/>
              <w:rPr>
                <w:sz w:val="20"/>
                <w:szCs w:val="20"/>
                <w:color w:val="auto"/>
              </w:rPr>
            </w:pPr>
            <w:r>
              <w:rPr>
                <w:rFonts w:ascii="Courier New" w:cs="Courier New" w:eastAsia="Courier New" w:hAnsi="Courier New"/>
                <w:sz w:val="15"/>
                <w:szCs w:val="15"/>
                <w:color w:val="auto"/>
              </w:rPr>
              <w:t>SIX MONTHS ENDED</w:t>
            </w:r>
          </w:p>
        </w:tc>
      </w:tr>
      <w:tr>
        <w:trPr>
          <w:trHeight w:val="173"/>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6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YEARS ENDED DECEMBER 31,</w:t>
            </w: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left="505"/>
              <w:spacing w:after="0"/>
              <w:rPr>
                <w:sz w:val="20"/>
                <w:szCs w:val="20"/>
                <w:color w:val="auto"/>
              </w:rPr>
            </w:pPr>
            <w:r>
              <w:rPr>
                <w:rFonts w:ascii="Courier New" w:cs="Courier New" w:eastAsia="Courier New" w:hAnsi="Courier New"/>
                <w:sz w:val="15"/>
                <w:szCs w:val="15"/>
                <w:color w:val="auto"/>
              </w:rPr>
              <w:t>JUNE 30,</w:t>
            </w:r>
          </w:p>
        </w:tc>
        <w:tc>
          <w:tcPr>
            <w:tcW w:w="880" w:type="dxa"/>
            <w:vAlign w:val="bottom"/>
          </w:tcPr>
          <w:p>
            <w:pPr>
              <w:spacing w:after="0"/>
              <w:rPr>
                <w:sz w:val="15"/>
                <w:szCs w:val="15"/>
                <w:color w:val="auto"/>
              </w:rPr>
            </w:pPr>
          </w:p>
        </w:tc>
      </w:tr>
      <w:tr>
        <w:trPr>
          <w:trHeight w:val="173"/>
        </w:trPr>
        <w:tc>
          <w:tcPr>
            <w:tcW w:w="27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0"/>
              </w:rPr>
              <w:t>-------------------------------------------------------------------</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240" w:type="dxa"/>
            <w:vAlign w:val="bottom"/>
          </w:tcPr>
          <w:p>
            <w:pPr>
              <w:spacing w:after="0"/>
              <w:rPr>
                <w:sz w:val="15"/>
                <w:szCs w:val="15"/>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10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EXCEPT PER SHARE AMOUNTS)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9,677,048</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$10,432,775</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$10,998,602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$11,972,498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$12,703,469</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$ 6,220,164</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$ 6,405,210</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amortization shown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below)....................</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5,705,355</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6,261,745</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6,564,234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7,482,273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7,383,751</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3,713,344</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3,544,876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1,236,765</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1,279,719</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1,316,480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1,438,501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1,309,936</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729,267</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544,642</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1,129,890</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1,186,492</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1,264,196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1,391,810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1,498,712</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743,665</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740,665</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3,782</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126,626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112,748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1,807,245</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14,963</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79,695</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impairments and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unusual items.............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122,233</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394,092</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529,768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1,771,145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864,063</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19,750</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 held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for sale, net of minority</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(24,143)</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2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(2,570)</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8,173,882</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9,123,477</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9,800,989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12,206,407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12,863,858</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5,198,669</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4,929,628</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1,503,166</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1,309,298</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1,197,613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(233,909)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(160,389)</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1,021,495</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1,475,582</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(437,946)</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(534,964)</w:t>
            </w:r>
          </w:p>
        </w:tc>
        <w:tc>
          <w:tcPr>
            <w:tcW w:w="2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(525,340)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(555,576)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(681,457)</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(329,085)</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(361,068)</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47,878</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41,565</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34,603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26,829</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14,504</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8,481</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(126,042)</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2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(41,289)</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(45,442)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(24,254)</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(38,166)</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(13,009)</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Other income, net...........</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113,526</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257,773</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108,645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127,216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139,392</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110,432</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30,578</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(402,584)</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(316,993)</w:t>
            </w:r>
          </w:p>
        </w:tc>
        <w:tc>
          <w:tcPr>
            <w:tcW w:w="2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(423,381)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(428,588)</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(539,490)</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(242,315)</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(335,018)</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 before income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1,100,582</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992,305</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774,232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(662,497)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(699,879)</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779,180</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1,140,564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498,233</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493,375</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486,700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363,341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66,923</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350,994</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475,614</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602,349</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498,930</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287,532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(1,025,838)</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(766,802)</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428,186</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664,950</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27,324</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4,863</w:t>
            </w:r>
          </w:p>
        </w:tc>
        <w:tc>
          <w:tcPr>
            <w:tcW w:w="2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(263,301)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95,688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(3,900)</w:t>
            </w:r>
          </w:p>
        </w:tc>
        <w:tc>
          <w:tcPr>
            <w:tcW w:w="220" w:type="dxa"/>
            <w:vAlign w:val="bottom"/>
          </w:tcPr>
          <w:p>
            <w:pPr>
              <w:spacing w:after="0"/>
              <w:rPr>
                <w:sz w:val="15"/>
                <w:szCs w:val="15"/>
                <w:color w:val="auto"/>
              </w:rPr>
            </w:pPr>
          </w:p>
        </w:tc>
        <w:tc>
          <w:tcPr>
            <w:tcW w:w="1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(3,900)</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(1,281)</w:t>
            </w:r>
          </w:p>
        </w:tc>
        <w:tc>
          <w:tcPr>
            <w:tcW w:w="240" w:type="dxa"/>
            <w:vAlign w:val="bottom"/>
          </w:tcPr>
          <w:p>
            <w:pPr>
              <w:spacing w:after="0"/>
              <w:rPr>
                <w:sz w:val="15"/>
                <w:szCs w:val="15"/>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628,392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503,793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24,231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(938,895)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(770,702)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424,286</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664,950</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20"/>
          </w:cols>
          <w:pgMar w:left="240" w:top="291" w:right="139" w:bottom="1440" w:gutter="0" w:footer="0" w:header="0"/>
        </w:sectPr>
      </w:pPr>
    </w:p>
    <w:p>
      <w:pPr>
        <w:spacing w:after="0" w:line="15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520"/>
          </w:cols>
          <w:pgMar w:left="240" w:top="291" w:right="1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94"/>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SIX MONTHS ENDED</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3"/>
          </w:tcPr>
          <w:p>
            <w:pPr>
              <w:jc w:val="right"/>
              <w:ind w:right="80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27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0"/>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EXCEPT PER SHARE AMOUNTS)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Cash dividends per common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(681,813)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$(1,027,093)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(258,210)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$(1,967,278)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(412,269)</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$(1,247,551)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(321,801)</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3,661,594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4,329,909</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4,681,381</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4,848,176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6,250,324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5,864,321</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6,751,228</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18,124,674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19,950,426</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20,727,524</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20,156,424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22,715,198</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22,525,101</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22,991,673</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7,677,360</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8,404,034</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9,064,566</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9,479,961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11,697,943</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10,703,435</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11,301,976</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4,506,454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5,184,104</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5,201,610</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3,854,929</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4,372,496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5,349,893</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5,475,932</w:t>
            </w:r>
          </w:p>
        </w:tc>
      </w:tr>
      <w:tr>
        <w:trPr>
          <w:trHeight w:val="520"/>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ARE SUBORDINATED TO THE DEBT OF OUR SUBSIDIARIES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subsidiaries, other than Waste Management Holdings. As of June 30, 1999, the amount of this subsidiary indebtedness was approximately $1.9 billion out of our total consolidated long-term debt of approximately $11.3 billion.</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the senior indebtedness of the other so guaranteed.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179"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U.S. BANKRUPTCY OR FRAUDULENT CONVEYANCE LAW MAY INTERFERE WITH THE PAYMENT OF THE NOTES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Various applicable fraudulent transfer laws allow courts, under specific circumstances, to avoid guarantees by a subsidiary and require holders of the guaranteed obligations to return any payments received from the subsidiary guarantors. A court may use these laws to avoid the Waste Management Holdings guarantee of the exchange notes in the event of bankruptcy or insolvency of Waste Management Holdings.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 court could set aside Waste Management Holdings' guarantee of the exchange notes to the extent that either of the following were true at the time it issued the guarantee:</w:t>
      </w:r>
    </w:p>
    <w:p>
      <w:pPr>
        <w:spacing w:after="0" w:line="175" w:lineRule="exact"/>
        <w:rPr>
          <w:sz w:val="20"/>
          <w:szCs w:val="20"/>
          <w:color w:val="auto"/>
        </w:rPr>
      </w:pPr>
    </w:p>
    <w:p>
      <w:pPr>
        <w:ind w:left="620" w:right="3199" w:hanging="177"/>
        <w:spacing w:after="0" w:line="244"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Holdings incurred the guarantee with the intent to hinder, delay or defraud any of its present or future creditors or contemplated insolvency with a design to favor one or more creditors to the total or partial exclusion of others; or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left="620" w:right="3019" w:hanging="177"/>
        <w:spacing w:after="0" w:line="244"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Holdings did not receive fair consideration or reasonably equivalent value for issuing the guarantee and, at the time it issued the guarantee, it:</w:t>
      </w:r>
    </w:p>
    <w:p>
      <w:pPr>
        <w:spacing w:after="0" w:line="175" w:lineRule="exact"/>
        <w:rPr>
          <w:rFonts w:ascii="Courier New" w:cs="Courier New" w:eastAsia="Courier New" w:hAnsi="Courier New"/>
          <w:sz w:val="15"/>
          <w:szCs w:val="15"/>
          <w:color w:val="auto"/>
        </w:rPr>
      </w:pPr>
    </w:p>
    <w:p>
      <w:pPr>
        <w:ind w:left="720" w:right="3019" w:hanging="187"/>
        <w:spacing w:after="0" w:line="243" w:lineRule="auto"/>
        <w:tabs>
          <w:tab w:leader="none" w:pos="7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was rendered insolvent by reason of the issuance of the guarantee;</w:t>
      </w:r>
    </w:p>
    <w:p>
      <w:pPr>
        <w:spacing w:after="0" w:line="176" w:lineRule="exact"/>
        <w:rPr>
          <w:rFonts w:ascii="Courier New" w:cs="Courier New" w:eastAsia="Courier New" w:hAnsi="Courier New"/>
          <w:sz w:val="15"/>
          <w:szCs w:val="15"/>
          <w:color w:val="auto"/>
        </w:rPr>
      </w:pPr>
    </w:p>
    <w:p>
      <w:pPr>
        <w:ind w:left="720" w:right="3279" w:hanging="187"/>
        <w:spacing w:after="0" w:line="244" w:lineRule="auto"/>
        <w:tabs>
          <w:tab w:leader="none" w:pos="7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or was about to engage in a business or transaction for which Waste Management Holdings' remaining assets constituted unreasonably small capital; or</w:t>
      </w:r>
    </w:p>
    <w:p>
      <w:pPr>
        <w:spacing w:after="0" w:line="175" w:lineRule="exact"/>
        <w:rPr>
          <w:rFonts w:ascii="Courier New" w:cs="Courier New" w:eastAsia="Courier New" w:hAnsi="Courier New"/>
          <w:sz w:val="15"/>
          <w:szCs w:val="15"/>
          <w:color w:val="auto"/>
        </w:rPr>
      </w:pPr>
    </w:p>
    <w:p>
      <w:pPr>
        <w:ind w:left="720" w:right="3379" w:hanging="187"/>
        <w:spacing w:after="0" w:line="243" w:lineRule="auto"/>
        <w:tabs>
          <w:tab w:leader="none" w:pos="72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to incur, or believed that it would incur, debts beyond its ability to pay such debts as they mature.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Among other things, a legal challenge to Waste Management Holdings' guarantee of the exchange notes on fraudulent transfer grounds may focus on the benefits, if any, realized by it as a result of our issuance of the exchange notes. To the extent Waste Management Holdings' guarantee of the exchange notes were to be avoided on fraudulent conveyance grounds or held unenforceable for any other reason, you would cease to have any claim in respect of Waste Management Holdings' guarantee and would be solely our creditors. In such event, your claim against Waste Management Holdings would be subject to the prior payments of all Waste Management Holdings' obligations. Waste Management Holdings may not have sufficient assets, after providing for all prior claims, to satisfy the claims of all holders of the exchange notes relating to any voided guarantee.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obligations of Waste Management Holdings under its guarantee of the exchange notes are limited to an amount which would not cause such guarantee to be a fraudulent transfer or conveyance. Waste Management Holdings has issued similar guarantees of certain of our other indebtedness. The determination of the amount that would be due under its guarantee of the exchange notes or any of such other guarantees is uncertain.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NOT BE ABLE TO SELL YOUR EXCHANGE NOTES</w:t>
      </w:r>
    </w:p>
    <w:p>
      <w:pPr>
        <w:spacing w:after="0" w:line="178"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There is no active trading market for the exchange notes and this market may never develop. If any of the exchange notes are traded after their initial issuance, they may trade at a discount from their initial offering price. Factors that could cause the exchange notes to trade at a discount are:</w:t>
      </w:r>
    </w:p>
    <w:p>
      <w:pPr>
        <w:spacing w:after="0" w:line="160" w:lineRule="exact"/>
        <w:rPr>
          <w:sz w:val="20"/>
          <w:szCs w:val="20"/>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prevailing interest rates;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decline in our credit worthiness;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weakness in the market for similar securities;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declining general economic 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Future trading prices of the exchange notes will depend on many factors, including, among other things, prevailing interest rates, our operating results and the market for similar securities. We do not intend to apply for a listing of the exchange notes on any securities exchange or automated dealer quotation system. The initial purchasers of the outstanding exchange notes have advised us that they currently intend to make a market in the exchange notes. However, they are not obligated to do so and any market making may be discontinued at any time without notice.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Historically, the market for non-investment grade debt has been subject to disruptions that have caused volatility in prices. It is possible that the market for the exchange notes will be subject to disruptions. Any disruptions may have a negative effect on you, as a holder of the exchange notes, regardless of our prospects and financial performance.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ENCOUNTER DIFFICULTIES IN IMPLEMENTING OUR PROPOSED STRATEGIC INITIATIVE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UNDERGOING CHANGES IN MANAGEMENT</w:t>
      </w:r>
    </w:p>
    <w:p>
      <w:pPr>
        <w:spacing w:after="0" w:line="178"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We have initiated a search for a new Chief Executive Officer, Chief Operating Officer and General Counsel. Our business may be affected by our ability to retain qualified individuals to serve in those capacities.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UNCERTAINTIES RELATING TO PENDING LITIGATION AND INVESTIGATIONS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face uncertainties relating to pending litigation and investigations as described in "The Company -- Recent Developments" above. We are unable to predict the outcome or impact of these matters and there can be no assurance that they will not have a material adverse effect on us and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POTENTIAL DIFFICULTIES IN CONTINUING TO EXPAND AND MANAGE OUR GROWTH</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178" w:lineRule="exact"/>
        <w:rPr>
          <w:sz w:val="20"/>
          <w:szCs w:val="20"/>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cost savings;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rationalization of collection routes;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and bonding cost reductions;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economies of scale.</w:t>
      </w:r>
    </w:p>
    <w:p>
      <w:pPr>
        <w:spacing w:after="0" w:line="178"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Moreover, our ability to continue to grow will depend on a number of factors, including:</w:t>
      </w:r>
    </w:p>
    <w:p>
      <w:pPr>
        <w:spacing w:after="0" w:line="175" w:lineRule="exact"/>
        <w:rPr>
          <w:sz w:val="20"/>
          <w:szCs w:val="20"/>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from other waste management companies;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attractive acquisition opportunities;</w:t>
      </w:r>
    </w:p>
    <w:p>
      <w:pPr>
        <w:spacing w:after="0" w:line="177"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mitigate antitrust concerns related to acquisitions in several markets;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working capital;</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maintain margins on existing or acquired operations;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manage costs in a changing regulatory environment.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ACQUISITION STRATEGY INVOLVES POTENTIAL RISKS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acquisition strategy involves potential risks. These risks include:</w:t>
      </w:r>
    </w:p>
    <w:p>
      <w:pPr>
        <w:spacing w:after="0" w:line="178" w:lineRule="exact"/>
        <w:rPr>
          <w:sz w:val="20"/>
          <w:szCs w:val="20"/>
          <w:color w:val="auto"/>
        </w:rPr>
      </w:pPr>
    </w:p>
    <w:p>
      <w:pPr>
        <w:ind w:left="620" w:right="319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to accurately assess all of the pre-existing liabilities of acquired companies;</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difficulties in successfully integrating the operations of acquired companies with our existing operations;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lack of attractive acquisition opportunities;</w:t>
      </w:r>
    </w:p>
    <w:p>
      <w:pPr>
        <w:spacing w:after="0" w:line="177" w:lineRule="exact"/>
        <w:rPr>
          <w:rFonts w:ascii="Courier New" w:cs="Courier New" w:eastAsia="Courier New" w:hAnsi="Courier New"/>
          <w:sz w:val="15"/>
          <w:szCs w:val="15"/>
          <w:color w:val="auto"/>
        </w:rPr>
      </w:pPr>
    </w:p>
    <w:p>
      <w:pPr>
        <w:ind w:left="620" w:right="373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obtain the capital required to finance potential acquisitions on satisfactory terms;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businesses we acquire not proving profitable; and</w:t>
      </w:r>
    </w:p>
    <w:p>
      <w:pPr>
        <w:spacing w:after="0" w:line="177"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incurring additional indebtedness or issuing additional equity securities as a result of future acquisitions.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NEED ADDITIONAL CAPITAL IF OUR CASH FLOW IS LESS THAN EXPECTED</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161" w:lineRule="exact"/>
        <w:rPr>
          <w:sz w:val="20"/>
          <w:szCs w:val="20"/>
          <w:color w:val="auto"/>
        </w:rPr>
      </w:pPr>
    </w:p>
    <w:p>
      <w:pPr>
        <w:ind w:right="3379" w:firstLine="451"/>
        <w:spacing w:after="0" w:line="266" w:lineRule="auto"/>
        <w:rPr>
          <w:sz w:val="20"/>
          <w:szCs w:val="20"/>
          <w:color w:val="auto"/>
        </w:rPr>
      </w:pPr>
      <w:r>
        <w:rPr>
          <w:rFonts w:ascii="Courier New" w:cs="Courier New" w:eastAsia="Courier New" w:hAnsi="Courier New"/>
          <w:sz w:val="14"/>
          <w:szCs w:val="14"/>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FLUCTUATING VARIABLE INTEREST RATES COULD AFFECT US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INTENSE COMPETITION COULD REDUCE OUR PROFITABILITY</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encounter intense competition from governmental, quasi-governmental and private sources in all aspects of our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bids with respect to the construction or development of water and wastewater facilities, or permitting and development of a new treatment facility, waste-to-energy facility, incinerator or landfill.</w:t>
      </w:r>
    </w:p>
    <w:p>
      <w:pPr>
        <w:spacing w:after="0" w:line="175"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OUR ACCOUNTING POLICIES CONCERNING UNAMORTIZED CAPITALIZED EXPENDITURES COULD RESULT IN A MATERIAL CHARGE AGAINST OUR EARNINGS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or is no longer deemed to be profitable within certain time frames.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183"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GOVERNMENTAL REGULATIONS MAY RESTRICT OUR OPERATIONS OR INCREASE THE LEVEL OF COSTS OF OUR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178" w:lineRule="exact"/>
        <w:rPr>
          <w:sz w:val="20"/>
          <w:szCs w:val="20"/>
          <w:color w:val="auto"/>
        </w:rPr>
      </w:pPr>
    </w:p>
    <w:p>
      <w:pPr>
        <w:ind w:left="620" w:right="3739" w:hanging="177"/>
        <w:spacing w:after="0" w:line="24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siting and construction of new waste disposal, transfer or processing facilities or the expansion of existing facilities;</w:t>
      </w:r>
    </w:p>
    <w:p>
      <w:pPr>
        <w:spacing w:after="0" w:line="175" w:lineRule="exact"/>
        <w:rPr>
          <w:rFonts w:ascii="Courier New" w:cs="Courier New" w:eastAsia="Courier New" w:hAnsi="Courier New"/>
          <w:sz w:val="15"/>
          <w:szCs w:val="15"/>
          <w:color w:val="auto"/>
        </w:rPr>
      </w:pPr>
    </w:p>
    <w:p>
      <w:pPr>
        <w:ind w:left="620" w:right="3819" w:hanging="177"/>
        <w:spacing w:after="0" w:line="24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or bans on disposal of out-of-state waste or certain categories of waste; or</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mandates regarding the disposal of solid waste.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WE COULD BE LIABLE FOR ENVIRONMENTAL DAMAGES RESULTING FROM OUR DISPOSAL FACILITIES AND COLLECTION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ordinary course of our business, we may become involved in a variety of legal and administrative proceedings relating to land use and environmental laws and regulations. These may include proceedings in which:</w:t>
      </w:r>
    </w:p>
    <w:p>
      <w:pPr>
        <w:spacing w:after="0" w:line="175" w:lineRule="exact"/>
        <w:rPr>
          <w:sz w:val="20"/>
          <w:szCs w:val="20"/>
          <w:color w:val="auto"/>
        </w:rPr>
      </w:pPr>
    </w:p>
    <w:p>
      <w:pPr>
        <w:ind w:left="620" w:right="3199" w:hanging="177"/>
        <w:spacing w:after="0" w:line="24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for which we may be responsible.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adverse outcome of one or more of these proceedings could have a material adverse effect on our financial position, results of operations or cash flows.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DEVELOPMENT AND ACCEPTANCE OF ALTERNATIVES TO LANDFILL DISPOSAL AND WASTE-TO-ENERGY FACILITIES COULD REDUCE OUR ABILITY TO OPERATE AT FULL CAPACITY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FLUCTUATIONS IN THE PRICE OF RECYCLABLE MATERIALS AFFECT OUR OPERATING REVENUES</w:t>
      </w:r>
    </w:p>
    <w:p>
      <w:pPr>
        <w:spacing w:after="0" w:line="178" w:lineRule="exact"/>
        <w:rPr>
          <w:sz w:val="20"/>
          <w:szCs w:val="20"/>
          <w:color w:val="auto"/>
        </w:rPr>
      </w:pPr>
    </w:p>
    <w:p>
      <w:pPr>
        <w:jc w:val="both"/>
        <w:ind w:right="3199" w:firstLine="451"/>
        <w:spacing w:after="0" w:line="270" w:lineRule="auto"/>
        <w:rPr>
          <w:sz w:val="20"/>
          <w:szCs w:val="20"/>
          <w:color w:val="auto"/>
        </w:rPr>
      </w:pPr>
      <w:r>
        <w:rPr>
          <w:rFonts w:ascii="Courier New" w:cs="Courier New" w:eastAsia="Courier New" w:hAnsi="Courier New"/>
          <w:sz w:val="14"/>
          <w:szCs w:val="14"/>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THE COMMISSION IS INVESTIGATING THE ACCOUNTING PRACTICES OF WASTE MANAGEMENT HOLDINGS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OPERATIONS ENCOUNTER SOCIAL, POLITICAL AND ECONOMIC RISKS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operations in foreign countries generally are subject to a number of risks inherent in any business operating in foreign countries, all of which are beyond our control. These risks include:</w:t>
      </w:r>
    </w:p>
    <w:p>
      <w:pPr>
        <w:spacing w:after="0" w:line="175" w:lineRule="exact"/>
        <w:rPr>
          <w:sz w:val="20"/>
          <w:szCs w:val="20"/>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social and economic instability;</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strikes;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nationalization of assets;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restrictions and exchange rate fluctuations;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nullification, modification or renegotiation of contracts;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can make no prediction as to how existing or future foreign governmental regulations in any jurisdiction may affect us in particular or the waste management industry in general.</w:t>
      </w:r>
    </w:p>
    <w:p>
      <w:pPr>
        <w:spacing w:after="0" w:line="175"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OUR BUSINESS IS SEASONAL IN NATURE AND OUR REVENUES AND RESULTS VARY FROM QUARTER TO QUARTER</w:t>
      </w:r>
    </w:p>
    <w:p>
      <w:pPr>
        <w:spacing w:after="0" w:line="176"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lower operating revenues as a result of this seasonality.</w:t>
      </w: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under "Prospectus Summary -- The Company -- Recent Developments"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18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These factors are discussed more completely in our filings with the Commission, including our annual report on Form 10-K for the year ended December 31, 1998, and our quarterly reports on Form 10-Q for the quarters ended March 31, 1999 and June 30, 1999, which are incorporated by reference into this prospectus.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There will be no net proceeds payable to us from the issuance of the exchange notes. The net proceeds of approximately $1.1 billion from the sale of the outstanding notes were used to repay all outstanding indebtedness under our syndicated credit facility and to reduce outstanding commercial paper.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The following table sets forth our consolidated ratios of earnings to fixed charges for the periods shown:</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SIX MONTHS</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YEARS ENDED DECEMBER 31,</w:t>
            </w:r>
          </w:p>
        </w:tc>
        <w:tc>
          <w:tcPr>
            <w:tcW w:w="720" w:type="dxa"/>
            <w:vAlign w:val="bottom"/>
          </w:tcPr>
          <w:p>
            <w:pPr>
              <w:spacing w:after="0"/>
              <w:rPr>
                <w:sz w:val="15"/>
                <w:szCs w:val="15"/>
                <w:color w:val="auto"/>
              </w:rPr>
            </w:pPr>
          </w:p>
        </w:tc>
        <w:tc>
          <w:tcPr>
            <w:tcW w:w="11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32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6"/>
                <w:szCs w:val="6"/>
                <w:color w:val="auto"/>
                <w:w w:val="91"/>
              </w:rPr>
              <w:t>----------------------------------</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JUNE 30,</w:t>
            </w:r>
          </w:p>
        </w:tc>
      </w:tr>
      <w:tr>
        <w:trPr>
          <w:trHeight w:val="173"/>
        </w:trPr>
        <w:tc>
          <w:tcPr>
            <w:tcW w:w="32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32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2.7x</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2.6x</w:t>
            </w:r>
          </w:p>
        </w:tc>
        <w:tc>
          <w:tcPr>
            <w:tcW w:w="6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2.1x</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N/A(1)</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N/A(2)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3.5x</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19" w:hanging="368"/>
        <w:spacing w:after="0" w:line="244"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our consolidated ratios of earnings to fixed charges for the periods shown on an as adjusted basis excluding merger costs, asset impairments and unusual items. The consolidated ratios of earnings to fixed charges on an as adjusted basis are not a measure of financial performance required by Commission regulations. This as adjusted presentation has been provided because we understand that it may be used by certain investors when analyzing our financial position and performance:</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SIX MONTHS</w:t>
            </w:r>
          </w:p>
        </w:tc>
      </w:tr>
      <w:tr>
        <w:trPr>
          <w:trHeight w:val="173"/>
        </w:trPr>
        <w:tc>
          <w:tcPr>
            <w:tcW w:w="3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YEARS ENDED DECEMBER 31,</w:t>
            </w:r>
          </w:p>
        </w:tc>
        <w:tc>
          <w:tcPr>
            <w:tcW w:w="480" w:type="dxa"/>
            <w:vAlign w:val="bottom"/>
          </w:tcPr>
          <w:p>
            <w:pPr>
              <w:spacing w:after="0"/>
              <w:rPr>
                <w:sz w:val="15"/>
                <w:szCs w:val="15"/>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37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8"/>
                <w:szCs w:val="8"/>
                <w:color w:val="auto"/>
                <w:w w:val="72"/>
              </w:rPr>
              <w:t>--------------------------------</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JUNE 30,</w:t>
            </w:r>
          </w:p>
        </w:tc>
      </w:tr>
      <w:tr>
        <w:trPr>
          <w:trHeight w:val="173"/>
        </w:trPr>
        <w:tc>
          <w:tcPr>
            <w:tcW w:w="378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1994</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1998</w:t>
            </w:r>
          </w:p>
        </w:tc>
        <w:tc>
          <w:tcPr>
            <w:tcW w:w="10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1999</w:t>
            </w:r>
          </w:p>
        </w:tc>
      </w:tr>
      <w:tr>
        <w:trPr>
          <w:trHeight w:val="173"/>
        </w:trPr>
        <w:tc>
          <w:tcPr>
            <w:tcW w:w="378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 adjusted..............................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2.9x</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3.2x</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9"/>
              </w:rPr>
              <w:t>3.2x</w:t>
            </w:r>
          </w:p>
        </w:tc>
        <w:tc>
          <w:tcPr>
            <w:tcW w:w="7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2.8x</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3.4x</w:t>
            </w:r>
          </w:p>
        </w:tc>
        <w:tc>
          <w:tcPr>
            <w:tcW w:w="104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3.7x</w:t>
            </w:r>
          </w:p>
        </w:tc>
      </w:tr>
    </w:tbl>
    <w:p>
      <w:pPr>
        <w:spacing w:after="0" w:line="351"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6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DESCRIPTION OF THE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description is a summary of the material provisions of the Senior Indenture and the Registration Rights Agreement. It does not restate those agreements in their entirety. We urge you to read the Senior Indenture and the Registration Rights Agreement because they, and not this description, define your rights as holders of the Exchange Notes.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Capitalized terms used in this description, but not otherwise defined in this description or other sections of this Prospectus, have the meanings ascribed to them in the Senior Indenture and the Registration Rights Agreement, as applicable, unless the context otherwise requires. For purposes of this "Description of the Exchange Notes," the term "Senior Securities" means collectively the outstanding notes (the "Notes"), the exchange notes (the "Exchange Notes"), and all other senior debt securities of the Company issued under the Senior Indenture. In this description, the words "we," "our," and the "Company" refer only to Waste Management, Inc., but not to any of our subsidiaries, unless the context otherwise requires.</w:t>
      </w:r>
    </w:p>
    <w:p>
      <w:pPr>
        <w:spacing w:after="0" w:line="180"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will issue the Exchange Notes as four series of Senior Securities under an Indenture (the "Senior Indenture") dated as of September 10, 1997 between the Company and Chase Bank of Texas, National Association, as trustee (the "Trustee"). The terms of the Notes and the Exchange Notes include those stated in the Senior Indenture and those made part of the Senior Indenture by reference to the Trust Indenture Act of 1939, as amended (the "Trust Indenture Act").</w:t>
      </w:r>
    </w:p>
    <w:p>
      <w:pPr>
        <w:spacing w:after="0" w:line="16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Anyone who receives this Prospectus may obtain a copy of the Senior Indenture and Registration Rights Agreement without charge by writing to Waste Management, Inc., 1001 Fannin Street, Suite 4000, Houston, Texas 77002, Attention: 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Exchange Notes:</w:t>
      </w:r>
    </w:p>
    <w:p>
      <w:pPr>
        <w:spacing w:after="0" w:line="177" w:lineRule="exact"/>
        <w:rPr>
          <w:sz w:val="20"/>
          <w:szCs w:val="20"/>
          <w:color w:val="auto"/>
        </w:rPr>
      </w:pPr>
    </w:p>
    <w:p>
      <w:pPr>
        <w:ind w:left="620" w:hanging="177"/>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our general unsecured senior obligations;</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with all of our other senior and unsecured obligations, including debt under our credit facilities; and</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unconditionally guaranteed by our subsidiary Waste Management Holdings (the "Subsidiary Guarantor").</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Subsidiary Guarantee of the Exchange Notes:</w:t>
      </w:r>
    </w:p>
    <w:p>
      <w:pPr>
        <w:spacing w:after="0" w:line="177" w:lineRule="exact"/>
        <w:rPr>
          <w:sz w:val="20"/>
          <w:szCs w:val="20"/>
          <w:color w:val="auto"/>
        </w:rPr>
      </w:pPr>
    </w:p>
    <w:p>
      <w:pPr>
        <w:ind w:left="620" w:hanging="177"/>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a general, unsecured obligation of the Subsidiary Guarantor; and</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in right of payment with all existing and future senior and unsecured indebtedness of the Subsidiary Guarantor.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will issue the Exchange Notes in the form of one or more Global Exchange Notes, in registered form, without coupons, in denominations of $1,000 or an integral multiple thereof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 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MATURITY AND INTEREST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issue the Exchange Notes as four series with an aggregate principal amount of $1,150,000,000. The 2001 Exchange Notes will have an aggregate principal amount of $200,000,000, the 2004 Exchange Notes will have an aggregate principal amount of $200,000,000, the 2009 Exchange Notes will have an aggregate principal amount of $500,000,000 and the 2029 Exchange Notes will have an aggregate principal amount of $250,000,000. We will issue the Exchange Notes only in fully registered form, without coupons, in denominations of $1,000 and integral multiples of $1,000 in excess thereof. There is no sinking fund applicable to the Exchange Notes.</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2001 Exchange Notes will mature on May 15, 2001, the 2004 Exchange Notes will mature on May 15, 2004, the 2009 Exchange Notes will mature on May 15, 2009, and the 2029 Exchange Notes will mature on May 15, 2029.</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bear interest at the respective rates per year set forth on the front cover of this Prospectus. Interest on all Exchange Notes will be payable semi-annually in arrears on May 15 and November 15 of each year until maturity, commencing on November 15, 1999. The Company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the Subsidiary Guarantor and the Initial Purchasers entered into a Registration Rights Agreement dated as of May 21, 1999 pursuant to which we and the Subsidiary Guarantor agreed to use our best efforts to conduct an exchange offer to exchange the Notes for Exchange Notes registered under the Securities Act or have a shelf registration statement (the "Shelf Registration Statement") declared effective with respect to the Notes. See "-- Registration Rights; Liquidated Damages." Upon the issuance of the Exchange Notes, if any, or the effectiveness of a Shelf Registration Statement, the Senior Indenture with respect to the Notes and the Subsidiary Guarantee will be subject to and governed by the Trust Indenture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RECEIVING PAYMENTS ON THE EXCHANGE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 holder has given wire transfer instructions to us, we will pay all principal, interest, and premium, if any, on those Exchange Notes in accordance with those instructions. All other payments on Exchange</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 (Section 306 of the Senior Indenture)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FOR THE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 of principal of and any premium and interest on the Exchange Notes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(Sections 307, 1002 of the Senior Indenture) We may at any time rescind the designation of any Paying Agent or approve a change in the office through which any Paying Agent acts, except that we will be required to maintain a Paying Agent in each Place of Payment for the Exchange Notes. Payment of any installment of interest on an Exchange Note will be made to the Person in whose name such Exchange Note is registered at the close of business on the Regular Record Date for such interest. (Section 307 of the Senior Indenture)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 (Section 1003 of the Senior Indenture)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 selection of Exchange Notes to be redeemed. See -- "Optional Redemption."</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registered holder of an Exchange Note will be treated as the owner of it for all purposes.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Subsidiary Guarantor will guarantee our obligations under the Exchange Notes. However, the obligations of the Subsidiary Guarantor under its guarantee of the Exchange Notes are limited to an amount which would not cause the Subsidiary Guarantor's guarantee of the Exchange Notes to be a fraudulent transfer or conveyance. The Subsidiary Guarantee will constitute a general, unsecured obligation of the Subsidiary Guarantor and will rank equally in right of payment with all existing and future senior and unsecured indebtedness of the Subsidiary Guarantor. See "Risk Factors -- U.S. bankruptcy or fraudulent conveyance law may interfere with the payment of the notes."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Subsidiary Guarantee will be released:</w:t>
      </w:r>
    </w:p>
    <w:p>
      <w:pPr>
        <w:spacing w:after="0" w:line="177" w:lineRule="exact"/>
        <w:rPr>
          <w:sz w:val="20"/>
          <w:szCs w:val="20"/>
          <w:color w:val="auto"/>
        </w:rPr>
      </w:pPr>
    </w:p>
    <w:p>
      <w:pPr>
        <w:ind w:left="800" w:hanging="357"/>
        <w:spacing w:after="0"/>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our consolidation or merger with or into the Subsidiary Guarantor;</w:t>
      </w:r>
    </w:p>
    <w:p>
      <w:pPr>
        <w:spacing w:after="0" w:line="177" w:lineRule="exact"/>
        <w:rPr>
          <w:rFonts w:ascii="Courier New" w:cs="Courier New" w:eastAsia="Courier New" w:hAnsi="Courier New"/>
          <w:sz w:val="15"/>
          <w:szCs w:val="15"/>
          <w:color w:val="auto"/>
        </w:rPr>
      </w:pPr>
    </w:p>
    <w:p>
      <w:pPr>
        <w:ind w:left="800" w:right="3019" w:hanging="357"/>
        <w:spacing w:after="0" w:line="243" w:lineRule="auto"/>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payment in full of all principal, premium, if any, and interest on the Exchange Notes; or</w:t>
      </w:r>
    </w:p>
    <w:p>
      <w:pPr>
        <w:spacing w:after="0" w:line="176" w:lineRule="exact"/>
        <w:rPr>
          <w:rFonts w:ascii="Courier New" w:cs="Courier New" w:eastAsia="Courier New" w:hAnsi="Courier New"/>
          <w:sz w:val="15"/>
          <w:szCs w:val="15"/>
          <w:color w:val="auto"/>
        </w:rPr>
      </w:pPr>
    </w:p>
    <w:p>
      <w:pPr>
        <w:ind w:left="800" w:right="3379" w:hanging="357"/>
        <w:spacing w:after="0" w:line="244" w:lineRule="auto"/>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release of the Subsidiary Guarantor's guarantees under our credit facilities (or any replacement or new principal credit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guaranteed by our subsidiary Waste Management Holdings. Our obligations under our credit facilities and our other senior indebtedness are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subsidiaries, other than Waste Management Holdings. As of June 30, 1999, the amount of this subsidiary indebtedness was approximately $1.9 billion out of our total consolidated long-term debt of approximately $11.3 billion.</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the senior indebtedness of the other so guaranteed.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2001 Exchange Notes will not be redeemable. The 2004, 2009 and 2029 Exchange Notes will be redeemable at our option at any time and from time to time, in whole or in part, upon not less than 30 nor more than 60 days notice to each holder of Exchange Notes, at a redemption price equal to the Make-Whole Price. "Make-Whole Price" means an amount equal to the greater of (1) 100% of the principal amount of the Exchange Notes to be redeemed and (2) as determined by an Independent Investment Banker,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plus, in each case, accrued and unpaid interest thereon to the date of redemption. Unless we default in payment of the redemption price, on and after the date of redemption, interest will cease to accrue on the Exchange Notes or portions thereof called for redemption.</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"Adjusted Treasury Rate" means, with respect to any date of redemption, the rate per annum equal to the semi-annual yield to maturity of the Comparable Treasury Issue, assuming a price for the Comparable Treasury Issue (expressed as a percentage of its principal amount) equal to the Comparable</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Treasury Price for such date of redemption, plus 0.125% for the 2004 Exchange Notes, 0.25% for the 2009 Exchange Notes and 0.30% for the 2029 Exchange Notes.</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"Comparable Treasury Price" means, with respect to any date of redemption,</w:t>
      </w:r>
    </w:p>
    <w:p>
      <w:pPr>
        <w:spacing w:after="0" w:line="4" w:lineRule="exact"/>
        <w:rPr>
          <w:sz w:val="20"/>
          <w:szCs w:val="20"/>
          <w:color w:val="auto"/>
        </w:rPr>
      </w:pPr>
    </w:p>
    <w:p>
      <w:pPr>
        <w:ind w:left="8" w:right="3019" w:hanging="8"/>
        <w:spacing w:after="0" w:line="262" w:lineRule="auto"/>
        <w:tabs>
          <w:tab w:leader="none" w:pos="36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(2)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w:t>
      </w:r>
    </w:p>
    <w:p>
      <w:pPr>
        <w:spacing w:after="0" w:line="2" w:lineRule="exact"/>
        <w:rPr>
          <w:rFonts w:ascii="Courier New" w:cs="Courier New" w:eastAsia="Courier New" w:hAnsi="Courier New"/>
          <w:sz w:val="14"/>
          <w:szCs w:val="14"/>
          <w:color w:val="auto"/>
        </w:rPr>
      </w:pPr>
    </w:p>
    <w:p>
      <w:pPr>
        <w:ind w:left="8" w:right="3559"/>
        <w:spacing w:after="0" w:line="2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if the Trustee obtains fewer than three such Reference Treasury Dealer Quotations, the average of all such Reference Treasury Dealer Quotations.</w:t>
      </w:r>
    </w:p>
    <w:p>
      <w:pPr>
        <w:spacing w:after="0" w:line="153"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us.</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"Reference Treasury Dealer" means each of Donaldson, Lufkin &amp; Jenrette Securities Corporation; Banc of America Securities LLC, Chase Securities, Inc., J.P. Morgan &amp; Co., Credit Suisse First Boston, Deutsche Bank Securities, Inc. and Salomon Smith Barney Inc., and their respective successors; but if any of the foregoing shall not be a primary U.S. Government securities dealer in New York City (a "Primary Treasury Dealer"), we shall substitute therefor another Primary Treasury Dealer.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left="8" w:right="3739" w:firstLine="451"/>
        <w:spacing w:after="0" w:line="244"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(Sections 1008, 1009 of the Senior Indenture)</w:t>
      </w:r>
    </w:p>
    <w:p>
      <w:pPr>
        <w:spacing w:after="0" w:line="175"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3" w:lineRule="exact"/>
        <w:rPr>
          <w:sz w:val="20"/>
          <w:szCs w:val="20"/>
          <w:color w:val="auto"/>
        </w:rPr>
      </w:pPr>
    </w:p>
    <w:p>
      <w:pPr>
        <w:ind w:left="8" w:right="3019" w:hanging="8"/>
        <w:spacing w:after="0" w:line="244" w:lineRule="auto"/>
        <w:tabs>
          <w:tab w:leader="none" w:pos="45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8" w:lineRule="exact"/>
        <w:rPr>
          <w:sz w:val="20"/>
          <w:szCs w:val="20"/>
          <w:color w:val="auto"/>
        </w:rPr>
      </w:pPr>
    </w:p>
    <w:p>
      <w:pPr>
        <w:ind w:left="440" w:right="3099" w:firstLine="454"/>
        <w:spacing w:after="0" w:line="244"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6" w:lineRule="exact"/>
        <w:rPr>
          <w:rFonts w:ascii="Courier New" w:cs="Courier New" w:eastAsia="Courier New" w:hAnsi="Courier New"/>
          <w:sz w:val="15"/>
          <w:szCs w:val="15"/>
          <w:color w:val="auto"/>
        </w:rPr>
      </w:pPr>
    </w:p>
    <w:p>
      <w:pPr>
        <w:ind w:left="720" w:right="3019" w:firstLine="445"/>
        <w:spacing w:after="0" w:line="266" w:lineRule="auto"/>
        <w:tabs>
          <w:tab w:leader="none" w:pos="1531"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60" w:lineRule="exact"/>
        <w:rPr>
          <w:rFonts w:ascii="Courier New" w:cs="Courier New" w:eastAsia="Courier New" w:hAnsi="Courier New"/>
          <w:sz w:val="14"/>
          <w:szCs w:val="14"/>
          <w:color w:val="auto"/>
        </w:rPr>
      </w:pPr>
    </w:p>
    <w:p>
      <w:pPr>
        <w:ind w:left="1620" w:hanging="455"/>
        <w:spacing w:after="0"/>
        <w:tabs>
          <w:tab w:leader="none" w:pos="162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181"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Consolidation, Merger, Sale. The Senior Indenture provides that we may not consolidate with or merge into any other Person or convey, transfer or lease its properties and assets substantially as an entirety to any Person, unless</w:t>
      </w:r>
    </w:p>
    <w:p>
      <w:pPr>
        <w:spacing w:after="0" w:line="175" w:lineRule="exact"/>
        <w:rPr>
          <w:sz w:val="20"/>
          <w:szCs w:val="20"/>
          <w:color w:val="auto"/>
        </w:rPr>
      </w:pPr>
    </w:p>
    <w:p>
      <w:pPr>
        <w:ind w:left="440" w:right="3099" w:firstLine="454"/>
        <w:spacing w:after="0" w:line="244" w:lineRule="auto"/>
        <w:tabs>
          <w:tab w:leader="none" w:pos="125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179"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 (Sections 801, 802 of the Senior Indenture)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 on Liens. The Senior Indenture provides that:</w:t>
      </w:r>
    </w:p>
    <w:p>
      <w:pPr>
        <w:spacing w:after="0" w:line="178" w:lineRule="exact"/>
        <w:rPr>
          <w:sz w:val="20"/>
          <w:szCs w:val="20"/>
          <w:color w:val="auto"/>
        </w:rPr>
      </w:pPr>
    </w:p>
    <w:p>
      <w:pPr>
        <w:ind w:left="440" w:right="3019" w:firstLine="454"/>
        <w:spacing w:after="0" w:line="244" w:lineRule="auto"/>
        <w:tabs>
          <w:tab w:leader="none" w:pos="1251"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and will not permit any of our Restricted Subsidiaries to, create, incur, assume or suffer to exist, directly or indirectly, any Indebtedness secured by a Security Interest upon any of our Principal Property or of any of our Restricted Subsidiaries, whether owned as of the date of the Senior Indenture or thereafter acquired subsequent to the date of the Senior Indenture, without making effective provision (and we hereby covenant that in any such case we shall make or cause to be made effective provision) whereby the Senior Securities of that series then outstanding and any of our other Indebtedness or the other Indebtedness of any of our Restricted Subsidiaries then entitled thereto shall be secured by such Security Interest equally and ratably with any and all of our other Indebtedness or other Indebtedness of any of our Restricted Subsidiaries thereby secured for so long as any of our such other Indebtedness or such other Indebtedness of any of our Restricted Subsidiaries shall be so secured; but nothing in the Senior Indenture shall prevent, restrict or apply to Indebtedness secured by:</w:t>
      </w:r>
    </w:p>
    <w:p>
      <w:pPr>
        <w:spacing w:after="0" w:line="183" w:lineRule="exact"/>
        <w:rPr>
          <w:rFonts w:ascii="Courier New" w:cs="Courier New" w:eastAsia="Courier New" w:hAnsi="Courier New"/>
          <w:sz w:val="15"/>
          <w:szCs w:val="15"/>
          <w:color w:val="auto"/>
        </w:rPr>
      </w:pPr>
    </w:p>
    <w:p>
      <w:pPr>
        <w:ind w:left="720" w:right="3279" w:firstLine="445"/>
        <w:spacing w:after="0" w:line="243" w:lineRule="auto"/>
        <w:tabs>
          <w:tab w:leader="none" w:pos="1531"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w:t>
      </w:r>
    </w:p>
    <w:p>
      <w:pPr>
        <w:spacing w:after="0" w:line="2" w:lineRule="exact"/>
        <w:rPr>
          <w:rFonts w:ascii="Courier New" w:cs="Courier New" w:eastAsia="Courier New" w:hAnsi="Courier New"/>
          <w:sz w:val="15"/>
          <w:szCs w:val="15"/>
          <w:color w:val="auto"/>
        </w:rPr>
      </w:pPr>
    </w:p>
    <w:p>
      <w:pPr>
        <w:ind w:left="720" w:right="3019" w:hanging="6"/>
        <w:spacing w:after="0" w:line="244" w:lineRule="auto"/>
        <w:tabs>
          <w:tab w:leader="none" w:pos="108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left="460" w:right="3019"/>
        <w:spacing w:after="0" w:line="244" w:lineRule="auto"/>
        <w:rPr>
          <w:sz w:val="20"/>
          <w:szCs w:val="20"/>
          <w:color w:val="auto"/>
        </w:rPr>
      </w:pPr>
      <w:r>
        <w:rPr>
          <w:rFonts w:ascii="Courier New" w:cs="Courier New" w:eastAsia="Courier New" w:hAnsi="Courier New"/>
          <w:sz w:val="15"/>
          <w:szCs w:val="15"/>
          <w:color w:val="auto"/>
        </w:rPr>
        <w:t>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176" w:lineRule="exact"/>
        <w:rPr>
          <w:sz w:val="20"/>
          <w:szCs w:val="20"/>
          <w:color w:val="auto"/>
        </w:rPr>
      </w:pPr>
    </w:p>
    <w:p>
      <w:pPr>
        <w:ind w:left="460" w:right="3019" w:firstLine="715"/>
        <w:spacing w:after="0" w:line="244" w:lineRule="auto"/>
        <w:tabs>
          <w:tab w:leader="none" w:pos="154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upon property or assets existing at the time of its acquisition, which Security Interest secures obligations assumed by the us or any of our Restricted Subsidiaries; or</w:t>
      </w:r>
    </w:p>
    <w:p>
      <w:pPr>
        <w:spacing w:after="0" w:line="175" w:lineRule="exact"/>
        <w:rPr>
          <w:rFonts w:ascii="Courier New" w:cs="Courier New" w:eastAsia="Courier New" w:hAnsi="Courier New"/>
          <w:sz w:val="15"/>
          <w:szCs w:val="15"/>
          <w:color w:val="auto"/>
        </w:rPr>
      </w:pPr>
    </w:p>
    <w:p>
      <w:pPr>
        <w:ind w:left="460" w:right="3199" w:firstLine="715"/>
        <w:spacing w:after="0" w:line="244" w:lineRule="auto"/>
        <w:tabs>
          <w:tab w:leader="none" w:pos="154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conditional sales agreement or other title retention agreement with respect to any property or assets acquired by us or any of our Restricted Subsidiaries, or</w:t>
      </w:r>
    </w:p>
    <w:p>
      <w:pPr>
        <w:spacing w:after="0" w:line="175" w:lineRule="exact"/>
        <w:rPr>
          <w:rFonts w:ascii="Courier New" w:cs="Courier New" w:eastAsia="Courier New" w:hAnsi="Courier New"/>
          <w:sz w:val="15"/>
          <w:szCs w:val="15"/>
          <w:color w:val="auto"/>
        </w:rPr>
      </w:pPr>
    </w:p>
    <w:p>
      <w:pPr>
        <w:ind w:left="460" w:right="3019" w:firstLine="715"/>
        <w:spacing w:after="0" w:line="265" w:lineRule="auto"/>
        <w:tabs>
          <w:tab w:leader="none" w:pos="154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existing on the property or assets or shares of stock of a corporation or firm at the time such corporation or firm is merged into or consolidated with us or 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161" w:lineRule="exact"/>
        <w:rPr>
          <w:rFonts w:ascii="Courier New" w:cs="Courier New" w:eastAsia="Courier New" w:hAnsi="Courier New"/>
          <w:sz w:val="14"/>
          <w:szCs w:val="14"/>
          <w:color w:val="auto"/>
        </w:rPr>
      </w:pPr>
    </w:p>
    <w:p>
      <w:pPr>
        <w:ind w:left="460" w:right="3019" w:firstLine="715"/>
        <w:spacing w:after="0" w:line="270" w:lineRule="auto"/>
        <w:tabs>
          <w:tab w:leader="none" w:pos="154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existing on the property, assets or shares of stock of any successor to us in accordance with the provisions of the covenant described in "-- Consolidation, Merger, Sale";</w:t>
      </w:r>
    </w:p>
    <w:p>
      <w:pPr>
        <w:spacing w:after="0" w:line="158" w:lineRule="exact"/>
        <w:rPr>
          <w:sz w:val="20"/>
          <w:szCs w:val="20"/>
          <w:color w:val="auto"/>
        </w:rPr>
      </w:pPr>
    </w:p>
    <w:p>
      <w:pPr>
        <w:ind w:left="460" w:right="3099"/>
        <w:spacing w:after="0" w:line="244" w:lineRule="auto"/>
        <w:rPr>
          <w:sz w:val="20"/>
          <w:szCs w:val="20"/>
          <w:color w:val="auto"/>
        </w:rPr>
      </w:pPr>
      <w:r>
        <w:rPr>
          <w:rFonts w:ascii="Courier New" w:cs="Courier New" w:eastAsia="Courier New" w:hAnsi="Courier New"/>
          <w:sz w:val="15"/>
          <w:szCs w:val="15"/>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176" w:lineRule="exact"/>
        <w:rPr>
          <w:sz w:val="20"/>
          <w:szCs w:val="20"/>
          <w:color w:val="auto"/>
        </w:rPr>
      </w:pPr>
    </w:p>
    <w:p>
      <w:pPr>
        <w:ind w:left="460" w:right="327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5" w:lineRule="exact"/>
        <w:rPr>
          <w:rFonts w:ascii="Courier New" w:cs="Courier New" w:eastAsia="Courier New" w:hAnsi="Courier New"/>
          <w:sz w:val="15"/>
          <w:szCs w:val="15"/>
          <w:color w:val="auto"/>
        </w:rPr>
      </w:pPr>
    </w:p>
    <w:p>
      <w:pPr>
        <w:ind w:left="460" w:right="301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179" w:lineRule="exact"/>
        <w:rPr>
          <w:rFonts w:ascii="Courier New" w:cs="Courier New" w:eastAsia="Courier New" w:hAnsi="Courier New"/>
          <w:sz w:val="15"/>
          <w:szCs w:val="15"/>
          <w:color w:val="auto"/>
        </w:rPr>
      </w:pPr>
    </w:p>
    <w:p>
      <w:pPr>
        <w:ind w:left="460" w:right="301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5" w:lineRule="exact"/>
        <w:rPr>
          <w:rFonts w:ascii="Courier New" w:cs="Courier New" w:eastAsia="Courier New" w:hAnsi="Courier New"/>
          <w:sz w:val="15"/>
          <w:szCs w:val="15"/>
          <w:color w:val="auto"/>
        </w:rPr>
      </w:pPr>
    </w:p>
    <w:p>
      <w:pPr>
        <w:ind w:left="460" w:right="319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us or by any of our Restricted Subsidiaries in the ordinary course of business; or</w:t>
      </w:r>
    </w:p>
    <w:p>
      <w:pPr>
        <w:spacing w:after="0" w:line="175" w:lineRule="exact"/>
        <w:rPr>
          <w:rFonts w:ascii="Courier New" w:cs="Courier New" w:eastAsia="Courier New" w:hAnsi="Courier New"/>
          <w:sz w:val="15"/>
          <w:szCs w:val="15"/>
          <w:color w:val="auto"/>
        </w:rPr>
      </w:pPr>
    </w:p>
    <w:p>
      <w:pPr>
        <w:jc w:val="both"/>
        <w:ind w:left="460" w:right="301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us or any of our Restricted Subsidiaries to conduct business, to maintain self-insurance, or to obtain the benefit of, or comply with, laws; or</w:t>
      </w:r>
    </w:p>
    <w:p>
      <w:pPr>
        <w:spacing w:after="0" w:line="175" w:lineRule="exact"/>
        <w:rPr>
          <w:rFonts w:ascii="Courier New" w:cs="Courier New" w:eastAsia="Courier New" w:hAnsi="Courier New"/>
          <w:sz w:val="15"/>
          <w:szCs w:val="15"/>
          <w:color w:val="auto"/>
        </w:rPr>
      </w:pPr>
    </w:p>
    <w:p>
      <w:pPr>
        <w:ind w:left="460" w:right="3639" w:firstLine="445"/>
        <w:spacing w:after="0" w:line="244" w:lineRule="auto"/>
        <w:tabs>
          <w:tab w:leader="none" w:pos="127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us or another of our Restricted Subsidiaries or by us to a Restricted Subsidiary; or</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91"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left="720" w:right="3199" w:firstLine="445"/>
        <w:spacing w:after="0" w:line="244" w:lineRule="auto"/>
        <w:tabs>
          <w:tab w:leader="none" w:pos="162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incurred in connection with pollution control, sewage or solid waste disposal, industrial revenue or similar financing; or</w:t>
      </w:r>
    </w:p>
    <w:p>
      <w:pPr>
        <w:spacing w:after="0" w:line="175"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179"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or refunding (or successive extensions, renewals or refundings) in whole or in part of any Indebtedness secured by any Security Interest referred to in the foregoing clauses (1) through (11), inclusive, but the Security Interest securing such Indebtedness shall be limited to the property or assets which, immediately before such extension, renewal or refunding, secured such Indebtedness and additions to such property or assets.</w:t>
      </w:r>
    </w:p>
    <w:p>
      <w:pPr>
        <w:spacing w:after="0" w:line="178" w:lineRule="exact"/>
        <w:rPr>
          <w:sz w:val="20"/>
          <w:szCs w:val="20"/>
          <w:color w:val="auto"/>
        </w:rPr>
      </w:pPr>
    </w:p>
    <w:p>
      <w:pPr>
        <w:ind w:left="720" w:right="3019" w:firstLine="451"/>
        <w:spacing w:after="0" w:line="244" w:lineRule="auto"/>
        <w:rPr>
          <w:sz w:val="20"/>
          <w:szCs w:val="20"/>
          <w:color w:val="auto"/>
        </w:rPr>
      </w:pPr>
      <w:r>
        <w:rPr>
          <w:rFonts w:ascii="Courier New" w:cs="Courier New" w:eastAsia="Courier New" w:hAnsi="Courier New"/>
          <w:sz w:val="15"/>
          <w:szCs w:val="15"/>
          <w:color w:val="auto"/>
        </w:rPr>
        <w:t>Notwithstanding the foregoing provisions, we and any of our Restricted Subsidiaries may create, incur, assume or suffer to exist any Indebtedness secured by a Security Interest without so securing the Notes if, at the time such Security Interest becomes a Security Interest upon any of our Principal Property or the Principal Property of any such Restricted Subsidiary and after giving effect thereto, the aggregate outstanding principal amount of all our Indebtedness and the Indebtedness of our Restricted Subsidiaries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 (Section 1008 of the Senior Indenture)</w:t>
      </w:r>
    </w:p>
    <w:p>
      <w:pPr>
        <w:spacing w:after="0" w:line="186" w:lineRule="exact"/>
        <w:rPr>
          <w:sz w:val="20"/>
          <w:szCs w:val="20"/>
          <w:color w:val="auto"/>
        </w:rPr>
      </w:pPr>
    </w:p>
    <w:p>
      <w:pPr>
        <w:ind w:left="440" w:right="3019" w:firstLine="454"/>
        <w:spacing w:after="0" w:line="244" w:lineRule="auto"/>
        <w:tabs>
          <w:tab w:leader="none" w:pos="125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 (Section 1008 of the Senior Indenture)</w:t>
      </w:r>
    </w:p>
    <w:p>
      <w:pPr>
        <w:spacing w:after="0" w:line="185"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Limitations on Sale and Leaseback Transactions. The Senior Indenture provides that: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left="8" w:right="3019"/>
        <w:spacing w:after="0" w:line="278" w:lineRule="auto"/>
        <w:rPr>
          <w:sz w:val="20"/>
          <w:szCs w:val="20"/>
          <w:color w:val="auto"/>
        </w:rPr>
      </w:pPr>
      <w:r>
        <w:rPr>
          <w:rFonts w:ascii="Courier New" w:cs="Courier New" w:eastAsia="Courier New" w:hAnsi="Courier New"/>
          <w:sz w:val="14"/>
          <w:szCs w:val="14"/>
          <w:color w:val="auto"/>
        </w:rPr>
        <w:t>Principal Property has been or is to be sold or transferred by us or such Restricted Subsidiary to such person (a "Sale and Leaseback Transaction") unless</w:t>
      </w:r>
    </w:p>
    <w:p>
      <w:pPr>
        <w:spacing w:after="0" w:line="153" w:lineRule="exact"/>
        <w:rPr>
          <w:sz w:val="20"/>
          <w:szCs w:val="20"/>
          <w:color w:val="auto"/>
        </w:rPr>
      </w:pPr>
    </w:p>
    <w:p>
      <w:pPr>
        <w:ind w:left="448" w:right="3019" w:firstLine="454"/>
        <w:spacing w:after="0" w:line="244" w:lineRule="auto"/>
        <w:tabs>
          <w:tab w:leader="none" w:pos="125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175"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79"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Indenture)</w:t>
      </w:r>
    </w:p>
    <w:p>
      <w:pPr>
        <w:spacing w:after="0" w:line="177"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Notwithstanding the foregoing, we may, and may permit any Restricted Subsidiary to, effect any Sale and Leaseback Transaction that is not acceptable pursuant to clauses (a)through (c), inclusive, of the foregoing covenant, if the Attributable Debt associated with such Sale and Leaseback Transaction, together with the aggregate principal amount of outstanding debt secured by Security Interests upon Principal Property not acceptable pursuant to clauses (1) through</w:t>
      </w:r>
    </w:p>
    <w:p>
      <w:pPr>
        <w:spacing w:after="0" w:line="1" w:lineRule="exact"/>
        <w:rPr>
          <w:sz w:val="20"/>
          <w:szCs w:val="20"/>
          <w:color w:val="auto"/>
        </w:rPr>
      </w:pPr>
    </w:p>
    <w:p>
      <w:pPr>
        <w:ind w:left="8" w:right="3279" w:hanging="8"/>
        <w:spacing w:after="0" w:line="244" w:lineRule="auto"/>
        <w:tabs>
          <w:tab w:leader="none" w:pos="45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covenant described in "-- Limitation on Liens," inclusive, do not exceed 15% of Consolidated Net Tangible Assets. (Section 1009 of the Senior Indenture)</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Compliance Certificates. We are required to furnish to the Trustee annually a statement as to our compliance with all conditions and covenants under the Senior Indenture. (Section 1006 of the Senior Indenture)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 REMEDIES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Events of Default. An Event of Default with respect to any given series of the Exchange Notes is defined under the Senior Indenture as being one or more of the following events (hereinafter in this "Description of the Exchange Notes," the term "Notes" or "Note" shall mean the "Exchange Note(s)" unless the context otherwise requires):</w:t>
      </w:r>
    </w:p>
    <w:p>
      <w:pPr>
        <w:spacing w:after="0" w:line="177" w:lineRule="exact"/>
        <w:rPr>
          <w:sz w:val="20"/>
          <w:szCs w:val="20"/>
          <w:color w:val="auto"/>
        </w:rPr>
      </w:pPr>
    </w:p>
    <w:p>
      <w:pPr>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Note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jc w:val="both"/>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Note of that series as and when the same becomes due and payable whether at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of our other covenants or warranties in the Senior Indenture (other than a covenant or warranty a default in whose performance or whose breach is elsewhere in Section 501 of the Senior Indenture specifically dealt with or which has expressly been included in the Senior Indenture solely for the benefit of a series of Senior Securities other than the Notes), and continuance of such default or breach for a period of 60 days after there has been given, by registered or certified mail, to us by the Trustee or to us and the Trustee by the holders of at least 25% in principal amount of the Notes of that series a written notice specifying such default or breach and requiring it to be remedied and stating that such notice is a "Notice of Default" under the Senior Indenture; or</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left="440" w:right="3019" w:firstLine="454"/>
        <w:spacing w:after="0" w:line="244" w:lineRule="auto"/>
        <w:tabs>
          <w:tab w:leader="none" w:pos="125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180"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 (Section 501 of the Senior Indenture)</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Remedies. If an Event of Default with respect to any given series of Notes at the time outstanding occurs and is continuing, then in every such case, either the Trustee or the holders of not less than 25% in principal amount of the outstanding Notes of that series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Notes of any given series has been made and before a judgment or decree for payment of the money due has been obtained by the Trustee, the holders of a majority in principal amount of the outstanding Notes of that series, by written notice to us and the Trustee, may rescind and annul such declaration and its consequences if:</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 we have paid or deposited with the Trustee a sum sufficient 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w:t>
      </w:r>
    </w:p>
    <w:p>
      <w:pPr>
        <w:spacing w:after="0" w:line="177" w:lineRule="exact"/>
        <w:rPr>
          <w:sz w:val="20"/>
          <w:szCs w:val="20"/>
          <w:color w:val="auto"/>
        </w:rPr>
      </w:pPr>
    </w:p>
    <w:p>
      <w:pPr>
        <w:ind w:left="1520" w:hanging="355"/>
        <w:spacing w:after="0"/>
        <w:tabs>
          <w:tab w:leader="none" w:pos="152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Notes of that series,</w:t>
      </w:r>
    </w:p>
    <w:p>
      <w:pPr>
        <w:spacing w:after="0" w:line="177" w:lineRule="exact"/>
        <w:rPr>
          <w:rFonts w:ascii="Courier New" w:cs="Courier New" w:eastAsia="Courier New" w:hAnsi="Courier New"/>
          <w:sz w:val="15"/>
          <w:szCs w:val="15"/>
          <w:color w:val="auto"/>
        </w:rPr>
      </w:pPr>
    </w:p>
    <w:p>
      <w:pPr>
        <w:ind w:left="720" w:right="3199" w:firstLine="445"/>
        <w:spacing w:after="0" w:line="270" w:lineRule="auto"/>
        <w:tabs>
          <w:tab w:leader="none" w:pos="1531"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Note of that series which has become due otherwise than by such declaration of acceleration and any interest thereon at the rate prescribed therefor,</w:t>
      </w:r>
    </w:p>
    <w:p>
      <w:pPr>
        <w:spacing w:after="0" w:line="158" w:lineRule="exact"/>
        <w:rPr>
          <w:rFonts w:ascii="Courier New" w:cs="Courier New" w:eastAsia="Courier New" w:hAnsi="Courier New"/>
          <w:sz w:val="14"/>
          <w:szCs w:val="14"/>
          <w:color w:val="auto"/>
        </w:rPr>
      </w:pPr>
    </w:p>
    <w:p>
      <w:pPr>
        <w:ind w:left="720" w:right="3019" w:firstLine="445"/>
        <w:spacing w:after="0" w:line="243" w:lineRule="auto"/>
        <w:tabs>
          <w:tab w:leader="none" w:pos="1531"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prescribed therefor, and</w:t>
      </w:r>
    </w:p>
    <w:p>
      <w:pPr>
        <w:spacing w:after="0" w:line="176" w:lineRule="exact"/>
        <w:rPr>
          <w:rFonts w:ascii="Courier New" w:cs="Courier New" w:eastAsia="Courier New" w:hAnsi="Courier New"/>
          <w:sz w:val="15"/>
          <w:szCs w:val="15"/>
          <w:color w:val="auto"/>
        </w:rPr>
      </w:pPr>
    </w:p>
    <w:p>
      <w:pPr>
        <w:ind w:left="720" w:right="3199" w:firstLine="445"/>
        <w:spacing w:after="0" w:line="244" w:lineRule="auto"/>
        <w:tabs>
          <w:tab w:leader="none" w:pos="1531"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and the reasonable compensation, expenses, disbursements and advances of the Trustee, its agents and counsel, and</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Notes of that series, other than the non-payment of the principal of Notes of that series which have become due solely by such declaration of acceleration, have been cured or waived as provided in the Senior Indenture.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 (Section 502 of the Senior Indenture) If the Trustee or any holder of a Note of a given series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and the holders of Notes of that series shall be restored severally and respectively to their former positions under the Senior Indenture and the Notes of that series, and thereafter all rights and remedies of the Trustee and the holders shall continue as though no such proceeding had been instituted. (Section 509 of the Senior Indenture)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(Sections 601, 603 of the Senior Indenture) No holder of any Note of a given series shall have any right to institute any proceeding, judicial or otherwise, with respect to the Senior Indenture, or for the appointment of a receiver or trustee, or for any other remedy thereunder, unless:</w:t>
      </w:r>
    </w:p>
    <w:p>
      <w:pPr>
        <w:spacing w:after="0" w:line="179" w:lineRule="exact"/>
        <w:rPr>
          <w:sz w:val="20"/>
          <w:szCs w:val="20"/>
          <w:color w:val="auto"/>
        </w:rPr>
      </w:pPr>
    </w:p>
    <w:p>
      <w:pPr>
        <w:ind w:left="448" w:right="3099" w:firstLine="454"/>
        <w:spacing w:after="0" w:line="243"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Notes of that series;</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Notes of that series shall have made written request to the Trustee to institute proceedings in respect of such Event of Default in its own name as Trustee under the Senior Indenture;</w:t>
      </w:r>
    </w:p>
    <w:p>
      <w:pPr>
        <w:spacing w:after="0" w:line="175" w:lineRule="exact"/>
        <w:rPr>
          <w:rFonts w:ascii="Courier New" w:cs="Courier New" w:eastAsia="Courier New" w:hAnsi="Courier New"/>
          <w:sz w:val="15"/>
          <w:szCs w:val="15"/>
          <w:color w:val="auto"/>
        </w:rPr>
      </w:pPr>
    </w:p>
    <w:p>
      <w:pPr>
        <w:ind w:left="448" w:right="3379" w:firstLine="454"/>
        <w:spacing w:after="0" w:line="244"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5" w:lineRule="exact"/>
        <w:rPr>
          <w:rFonts w:ascii="Courier New" w:cs="Courier New" w:eastAsia="Courier New" w:hAnsi="Courier New"/>
          <w:sz w:val="15"/>
          <w:szCs w:val="15"/>
          <w:color w:val="auto"/>
        </w:rPr>
      </w:pPr>
    </w:p>
    <w:p>
      <w:pPr>
        <w:ind w:left="448" w:right="3099" w:firstLine="454"/>
        <w:spacing w:after="0" w:line="243"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Notes of that series. (Section 507 of the Senior Indenture)</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provision in the Senior Indenture, the right of any holder of any Note to receive payment of the principal of and any premium and any interest on such Note on the Stated Maturity or Maturities (each as defined in the Senior Indenture) expressed in such Note, or to institute suit for the enforcement of any such payment on or after such respective dates, shall not be impaired or affected without the consent of such holder. (Sections 508, 902 of the Senior Indenture)</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holders of a majority in principal amount of the outstanding Notes of any given series shall have the right to direct the time, method and place of conducting any proceeding for any remedy available to the Trustee, or exercising any trust or power conferred on the Trustee, with respect to the Notes of that series, provided that (1) such direction shall not be in conflict with any rule of law or with the Senior Indenture; (2) the Trustee may take any other action deemed proper by the Trustee which is not inconsistent with such direction; and</w:t>
      </w:r>
    </w:p>
    <w:p>
      <w:pPr>
        <w:spacing w:after="0" w:line="2" w:lineRule="exact"/>
        <w:rPr>
          <w:sz w:val="20"/>
          <w:szCs w:val="20"/>
          <w:color w:val="auto"/>
        </w:rPr>
      </w:pPr>
    </w:p>
    <w:p>
      <w:pPr>
        <w:ind w:left="8" w:right="3099" w:hanging="8"/>
        <w:spacing w:after="0" w:line="244"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obligated to take any action unduly prejudicial to holders not joining in such direction or involving the Trustee in personal liability. (Section 512 of the Senior Indenture) The holders of a majority in principal amount of the outstanding Notes of any given series may on behalf of the holders of all the Notes of that series waive any past default under the Senior Indenture with respect to the Notes of that series and its consequences, except a default in the payment of the principal of or any premium or interest on any Note of that series or in respect of a covenant or provision of the Senior Indenture which, pursuant to the Senior Indenture, cannot be modified or amended without the consent of the holder of each outstanding Note of that series.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 (Sections 513, 902 of the Senior Indenture)</w:t>
      </w:r>
    </w:p>
    <w:p>
      <w:pPr>
        <w:spacing w:after="0" w:line="183"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If a default occurs under the Senior Indenture with respect to the Notes of any given series, the Trustee shall give the holders of Notes of that series notice of such default as and to the extent provided by the Trust Indenture Act; but in the case of any default or breach of certain covenants or warranties</w:t>
      </w: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 respect to the Notes of any given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Notes of that series). (Section 602 of the Senior Indenture)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us in any court it is necessary to convert the sum due in respect of the principal of, or premium, if any, or interest on, any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Notes, but payment of such judgment shall discharge all amounts owed by us on the claim or claims underlying such judgment. (Section 506 of the Senior Indenture)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DISCHARGE OF INDENTURE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 (Section 401 of the Senior Indenture)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Defeasance and Discharge. The Senior Indenture provides that, if we so elect by Board Resolution with respect to the Notes of any given series, we will be discharged from any and all obligations in respect of the Notes of that series (except for certain obligations relating to temporary Notes and exchange of Notes, registration of transfer or exchange of Notes, replacement of stolen, lost or mutilated Notes, maintenance of paying agencies to hold moneys for payment in trust and payment of additional amounts, if any, required in consequence of United States withholding taxes imposed on payments to non-United States persons or otherwise required by Section 1004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Notes of that series on the stated maturity of such payments in accordance with the terms of the Senior Indenture and the Notes of that series. (Sections 1302, 1304 of the Senior Indenture)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of the Senior Indenture)</w:t>
      </w:r>
    </w:p>
    <w:p>
      <w:pPr>
        <w:spacing w:after="0" w:line="19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Covenant Defeasance. The Senior Indenture also provides that, if we so elect by Board Resolution with respect to the Notes of any given series, we may omit to comply with certain restrictive covenants, including the covenants described under "-- Limitation on Liens" and "-- Limitations on Sale and</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Leaseback Transactions," and any such omission shall not be an Event of Default with respect to the Notes of that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Notes of that series on the stated maturity of such payments in accordance with the terms of the Senior Indenture and the Notes of that series. Our obligations under the Senior Indenture and the Notes of that series other than with respect to such covenants shall remain in full force and effect. (Section 1303 of the Senior Indenture)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 of the Senior Indenture)</w:t>
      </w:r>
    </w:p>
    <w:p>
      <w:pPr>
        <w:spacing w:after="0" w:line="18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Notes of such series at the time of their stated maturity, in the event we exercise our option to omit compliance with the covenants defeased with respect to the Notes as described above, and the Notes are declared due and payable because of the occurrence of any Event of Default, such amount may not be sufficient to pay amounts due on the Notes at the time of the acceleration resulting from such Event of Default. We shall in any event remain liable for such payments as provided in the Senior Indenture.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the Notes to be defeased for an interest in the defeasance trust. As a consequence, a holder would recognize gain or loss equal to the difference between the holder's cost or other tax basis for the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77" w:lineRule="exact"/>
        <w:rPr>
          <w:sz w:val="20"/>
          <w:szCs w:val="20"/>
          <w:color w:val="auto"/>
        </w:rPr>
      </w:pPr>
    </w:p>
    <w:p>
      <w:pPr>
        <w:ind w:left="440" w:right="301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Senior Security,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Date with respect to any Senior Security,</w:t>
      </w:r>
    </w:p>
    <w:p>
      <w:pPr>
        <w:spacing w:after="0" w:line="177"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or premium or interest on, any Senior Security,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pay additional amounts,</w:t>
      </w:r>
    </w:p>
    <w:p>
      <w:pPr>
        <w:spacing w:after="0" w:line="177"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coin or currency in which any Senior Security or any premium or interest thereon is payable,</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right of any holder,</w:t>
      </w:r>
    </w:p>
    <w:p>
      <w:pPr>
        <w:spacing w:after="0" w:line="177"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or with respect to any Senior Security,</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176"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requirements contained in the Senior Indenture for quorum or voting,</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8" w:lineRule="exact"/>
        <w:rPr>
          <w:sz w:val="20"/>
          <w:szCs w:val="20"/>
          <w:color w:val="auto"/>
        </w:rPr>
      </w:pPr>
    </w:p>
    <w:p>
      <w:pPr>
        <w:ind w:left="440" w:right="3199" w:firstLine="454"/>
        <w:spacing w:after="0" w:line="243" w:lineRule="auto"/>
        <w:tabs>
          <w:tab w:leader="none" w:pos="12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maintain an office or agency in the places and for the purposes required by the Senior Indenture, or</w:t>
      </w:r>
    </w:p>
    <w:p>
      <w:pPr>
        <w:spacing w:after="0" w:line="176"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above provisions. (Section 902 of the Senior Indenture)</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may make modifications and amendments of the Senior Indenture without the consent of any holders of Senior Securities, when authorized by a Board Resolution, and the Trustee, to:</w:t>
      </w:r>
    </w:p>
    <w:p>
      <w:pPr>
        <w:spacing w:after="0" w:line="175" w:lineRule="exact"/>
        <w:rPr>
          <w:sz w:val="20"/>
          <w:szCs w:val="20"/>
          <w:color w:val="auto"/>
        </w:rPr>
      </w:pPr>
    </w:p>
    <w:p>
      <w:pPr>
        <w:jc w:val="both"/>
        <w:ind w:left="440" w:right="327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the succession of another Person and the assumption by any such successor of our covenants therein and in the Senior Securities pursuant to Article Eight of the Senior Indenture; or</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any additional Events of Default; or</w:t>
      </w:r>
    </w:p>
    <w:p>
      <w:pPr>
        <w:spacing w:after="0" w:line="177"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175" w:lineRule="exact"/>
        <w:rPr>
          <w:rFonts w:ascii="Courier New" w:cs="Courier New" w:eastAsia="Courier New" w:hAnsi="Courier New"/>
          <w:sz w:val="15"/>
          <w:szCs w:val="15"/>
          <w:color w:val="auto"/>
        </w:rPr>
      </w:pPr>
    </w:p>
    <w:p>
      <w:pPr>
        <w:ind w:left="440" w:right="3279" w:firstLine="454"/>
        <w:spacing w:after="0" w:line="244" w:lineRule="auto"/>
        <w:tabs>
          <w:tab w:leader="none" w:pos="125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w:t>
      </w:r>
    </w:p>
    <w:p>
      <w:pPr>
        <w:spacing w:after="0" w:line="2"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rights of the holder of any such Senior Security with</w:t>
      </w:r>
    </w:p>
    <w:p>
      <w:pPr>
        <w:spacing w:after="0" w:line="4" w:lineRule="exact"/>
        <w:rPr>
          <w:rFonts w:ascii="Courier New" w:cs="Courier New" w:eastAsia="Courier New" w:hAnsi="Courier New"/>
          <w:sz w:val="15"/>
          <w:szCs w:val="15"/>
          <w:color w:val="auto"/>
        </w:rPr>
      </w:pPr>
    </w:p>
    <w:p>
      <w:pPr>
        <w:ind w:left="440"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 to such provision or (B) shall become effective only when there is no such Senior Security Outstanding; or</w:t>
      </w:r>
    </w:p>
    <w:p>
      <w:pPr>
        <w:spacing w:after="0" w:line="176"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 the Senior Securities pursuant to the requirements of Section 1006 of the Senior Indenture or otherwise; or</w:t>
      </w:r>
    </w:p>
    <w:p>
      <w:pPr>
        <w:spacing w:after="0" w:line="176" w:lineRule="exact"/>
        <w:rPr>
          <w:rFonts w:ascii="Courier New" w:cs="Courier New" w:eastAsia="Courier New" w:hAnsi="Courier New"/>
          <w:sz w:val="15"/>
          <w:szCs w:val="15"/>
          <w:color w:val="auto"/>
        </w:rPr>
      </w:pPr>
    </w:p>
    <w:p>
      <w:pPr>
        <w:ind w:left="440" w:right="3099" w:firstLine="454"/>
        <w:spacing w:after="0" w:line="243"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the form or terms of Senior Securities of any series as permitted by Sections 201 and 301 of the Senior Indenture;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Section 611(b) of the Senior Indenture; or</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 (Section 901 of the Senior Indenture)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outstanding Notes of any given series may, on behalf of all holders of Notes of that series outstanding, waive, insofar as the Notes of that series are concerned, compliance by us with certain restrictive provisions of the Senior Indenture. (Section 1007 of the Senior Indenture) The holders of a majority in aggregate principal amount of the Notes of a series may, on behalf of all holders of Notes of that series, waive any past default under the Senior Indenture with respect to the Notes of that series, except a default (a) in the payment of the principal of or any premium or interest on the Notes of that series or (b) in respect of a covenant or provision of the Senior Indenture which cannot be modified or amended without the consent of the holder of each outstanding Note of that series. (Section 513 of the Senior Indenture)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Senior Indenture contains provisions for convening meetings of the holders of Notes of any given series. (Section 1402) A meeting may be called at any time by the Trustee, and also, upon our request, or the holders of at least 10% in aggregate principal amount of the outstanding Notes of any given series, in any such case upon notice given in accordance with "Notices" below. (Section 1402 of the Senior Indenture) Except for any consent which must be given by the holder of each outstanding Note of any given series, as described above, any resolution presented at a meeting (or adjourned meeting at which a quorum is present) may be adopted by the affirmative vote of the holders of a majority in aggregate principal amount of the Notes of that series; but any resolution with respect to any request, demand, authorization, direction, notice, consent, waiver or other action which may be made, given or taken by the holders of a specified percentage, which is less than a majority, in aggregate principal amount of the Notes of any given series may be adopted at a meeting (or adjourned meeting duly reconvened at which a quorum is present) by the affirmative vote of the holders of such specified percentage in aggregate principal amount of the Notes of that series. Any resolution passed or decision taken at any meeting of holders of Notes of any given series duly held in accordance with the Senior Indenture will be binding on all the holders of the Notes of that series. The quorum at any meeting of the holders of Notes of any given series, and at any reconvened meeting, will be Persons holding or representing a majority in aggregate principal amount of the Notes of that series. (Section 1404 of the Senior Indenture)</w:t>
      </w:r>
    </w:p>
    <w:p>
      <w:pPr>
        <w:spacing w:after="0" w:line="18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Governing Law. The Senior Indenture, the Notes and the Exchange Notes will be governed by, and construed in accordance with, the laws of the State of New York. (Section 113 of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give notices to holders of the Notes by first-class mail to the addresses of such holders as they appear in the Security Register. (Section 106 of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78" w:lineRule="exact"/>
        <w:rPr>
          <w:sz w:val="20"/>
          <w:szCs w:val="20"/>
          <w:color w:val="auto"/>
        </w:rPr>
      </w:pPr>
    </w:p>
    <w:p>
      <w:pPr>
        <w:ind w:right="3739" w:firstLine="451"/>
        <w:spacing w:after="0" w:line="278" w:lineRule="auto"/>
        <w:rPr>
          <w:sz w:val="20"/>
          <w:szCs w:val="20"/>
          <w:color w:val="auto"/>
        </w:rPr>
      </w:pPr>
      <w:r>
        <w:rPr>
          <w:rFonts w:ascii="Courier New" w:cs="Courier New" w:eastAsia="Courier New" w:hAnsi="Courier New"/>
          <w:sz w:val="14"/>
          <w:szCs w:val="14"/>
          <w:color w:val="auto"/>
        </w:rPr>
        <w:t>The Trustee appointed and serving as trustee pursuant to the Senior Indenture is Chase Bank of Texas, National Association ("Chase Bank").</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(Section 613 of the Senior Indenture) The Trustee is permitted to engage in certain other transactions. Chase Bank, as the trustee under the Senior Indenture, may be a depository for funds of, may make loans to and may perform other routine banking services for us and certain of our affiliates in the normal course of business. Chase Bank also serves as trustee for our subordinated debentures. If the Trustee acquires any conflicting interest (as described in the Senior Indenture), it must eliminate such conflict or resign within 90 days of the occurrence and the continuance of a default under the Senior Indenture. (Section 608 of the Senior Indenture)</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all outstanding Notes of any given series (or if more than one series of Senior Securities is affected thereby, all series of Senior Securities so affected, voting as a single class) will have the right to direct the time, method and place of conducting any proceeding for exercising any remedy or power available to the Trustee for the Notes of that series or all such series of Senior Securities so affected. (Section 512 of the Senior Indenture)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case an Event of Default with respect to the Notes of any given series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Notes of any given series unless they shall have offered to the Trustee security and indemnity satisfactory to it.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FORM AND TRANSFER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PROCEDURES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(including the Initial Purchasers),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DTC has also advised us that, pursuant to DTC's procedures, (1) upon deposit of the Global Exchange Notes, DTC will credit the accounts of the Direct Participants designated by the Initial Purchasers with portions of the principal amount of the Global Exchange Notes allocated by the Initial Purchasers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16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the terms of the Senior Indenture, we and the Trustee will treat the persons in whose names the Exchange Notes are registered (including Exchange Notes represented by Global Exchange Notes) as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owners thereof for the purpose of receiving payments and for any and all other purposes whatsoever. Payments in respect of the principal, premium, Liquidated Damages, if any, and interest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6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 Transfers of Interests in Global Exchange Notes for Certificated Exchange Notes."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None of the Initial Purchasers or the Trustee will have any responsibility for the performance by DTC or its respective Direct and Indirect Participants of their respective obligations under the rules and procedures governing any of their operations.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information in this section concerning DTC and its book-entry system has been obtained from sources that we believe to be reliable, but we do not take any responsibility for the accuracy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 OF INTERESTS IN GLOBAL EXCHANGE NOTES FOR CERTIFICATED EXCHANGE NOTES</w:t>
      </w:r>
    </w:p>
    <w:p>
      <w:pPr>
        <w:spacing w:after="0" w:line="178"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We may exchange an entire Global Exchange Note for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6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EXCHANGE NOTES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 the Security Registrar may require. Mutilated Exchange Notes must be surrendered before new Exchange Notes will be issued.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DAY SETTLEMENT</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Payments in respect of the Exchange Notes represented by the Global Exchange Notes (including principal, premium, if any, and interest and Liquidated Damages, if any) will be made by wire transfer of immediately available same day funds to the accounts specified by the holder of interests in such Global Exchange Note. Principal, premium, if any, and interest and Liquidated Damages, if any, on all Certificated Exchange Notes in registered form will be payable at the office or agency of the Trustee, except that, at our option, payment of any interest and Liquidated Damages, if any,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EXCHANGE OFFER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sold the Notes on May 21, 1999, pursuant to the Purchase Agreement dated as of March 18, 1999 (the "Purchase Agreement") by and among Waste Management Holdings, the Initial Purchasers and us. The Notes were subsequently offered by the Initial Purchasers to qualified institutional buyers pursuant to Rule 144A and to purchasers pursuant to Regulation S under the Securities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LIQUIDATED DAMAGES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description is a summary of the material provisions of the Registration Rights Agreement. It does not restate that agreement in its entirety. We urge you to read the proposed form of Registration Rights Agreement in its entirety because it, and not this description, defines your registration rights as holder of these Notes.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the Subsidiary Guarantor and the Initial Purchasers entered into the Registration Rights Agreement as of May 21, 1999. Pursuant to the Registration Rights Agreement, we and the Subsidiary Guarantor agreed to file with the Commission the Exchange Offer Registration Statement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pursuant to the Exchange Offer who are able to make certain representations the opportunity to exchange their Transfer Restricted Securities for Exchange Notes.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Registration Rights Agreement provides that if:</w:t>
      </w:r>
    </w:p>
    <w:p>
      <w:pPr>
        <w:spacing w:after="0" w:line="178" w:lineRule="exact"/>
        <w:rPr>
          <w:sz w:val="20"/>
          <w:szCs w:val="20"/>
          <w:color w:val="auto"/>
        </w:rPr>
      </w:pPr>
    </w:p>
    <w:p>
      <w:pPr>
        <w:ind w:left="440" w:right="3919" w:firstLine="454"/>
        <w:spacing w:after="0" w:line="243" w:lineRule="auto"/>
        <w:tabs>
          <w:tab w:leader="none" w:pos="125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not permitted by applicable law or Commission policy;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of Transfer Restricted Securities notifies us prior to the 20th business day following the date by which the Exchange Offer is required to be consummated that:</w:t>
      </w:r>
    </w:p>
    <w:p>
      <w:pPr>
        <w:spacing w:after="0" w:line="175" w:lineRule="exact"/>
        <w:rPr>
          <w:rFonts w:ascii="Courier New" w:cs="Courier New" w:eastAsia="Courier New" w:hAnsi="Courier New"/>
          <w:sz w:val="15"/>
          <w:szCs w:val="15"/>
          <w:color w:val="auto"/>
        </w:rPr>
      </w:pPr>
    </w:p>
    <w:p>
      <w:pPr>
        <w:ind w:left="720" w:right="3019" w:firstLine="445"/>
        <w:spacing w:after="0" w:line="243" w:lineRule="auto"/>
        <w:tabs>
          <w:tab w:leader="none" w:pos="153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prohibited by law or Commission policy from participating in the Exchange Offer; or</w:t>
      </w:r>
    </w:p>
    <w:p>
      <w:pPr>
        <w:spacing w:after="0" w:line="176" w:lineRule="exact"/>
        <w:rPr>
          <w:rFonts w:ascii="Courier New" w:cs="Courier New" w:eastAsia="Courier New" w:hAnsi="Courier New"/>
          <w:sz w:val="15"/>
          <w:szCs w:val="15"/>
          <w:color w:val="auto"/>
        </w:rPr>
      </w:pPr>
    </w:p>
    <w:p>
      <w:pPr>
        <w:ind w:left="720" w:right="3019" w:firstLine="445"/>
        <w:spacing w:after="0" w:line="244" w:lineRule="auto"/>
        <w:tabs>
          <w:tab w:leader="none" w:pos="153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may not resell the Exchange Notes acquired by it in the Exchange Offer to the public without delivering a prospectus and the prospectus contained in the Exchange Offer Registration Statement is not appropriate or available for such resales; or</w:t>
      </w:r>
    </w:p>
    <w:p>
      <w:pPr>
        <w:spacing w:after="0" w:line="175" w:lineRule="exact"/>
        <w:rPr>
          <w:rFonts w:ascii="Courier New" w:cs="Courier New" w:eastAsia="Courier New" w:hAnsi="Courier New"/>
          <w:sz w:val="15"/>
          <w:szCs w:val="15"/>
          <w:color w:val="auto"/>
        </w:rPr>
      </w:pPr>
    </w:p>
    <w:p>
      <w:pPr>
        <w:ind w:left="720" w:right="3379" w:firstLine="445"/>
        <w:spacing w:after="0" w:line="243" w:lineRule="auto"/>
        <w:tabs>
          <w:tab w:leader="none" w:pos="1531"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is a broker-dealer and owns Notes acquired directly from us or one of our affiliates,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 Restricted Securities" means:</w:t>
      </w:r>
    </w:p>
    <w:p>
      <w:pPr>
        <w:spacing w:after="0" w:line="177" w:lineRule="exact"/>
        <w:rPr>
          <w:sz w:val="20"/>
          <w:szCs w:val="20"/>
          <w:color w:val="auto"/>
        </w:rPr>
      </w:pPr>
    </w:p>
    <w:p>
      <w:pPr>
        <w:ind w:left="1260" w:hanging="366"/>
        <w:spacing w:after="0"/>
        <w:tabs>
          <w:tab w:leader="none" w:pos="12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Note, until the earliest to occur of:</w:t>
      </w:r>
    </w:p>
    <w:p>
      <w:pPr>
        <w:spacing w:after="0" w:line="177" w:lineRule="exact"/>
        <w:rPr>
          <w:rFonts w:ascii="Courier New" w:cs="Courier New" w:eastAsia="Courier New" w:hAnsi="Courier New"/>
          <w:sz w:val="15"/>
          <w:szCs w:val="15"/>
          <w:color w:val="auto"/>
        </w:rPr>
      </w:pPr>
    </w:p>
    <w:p>
      <w:pPr>
        <w:ind w:left="720" w:right="3099" w:firstLine="445"/>
        <w:spacing w:after="0" w:line="243" w:lineRule="auto"/>
        <w:tabs>
          <w:tab w:leader="none" w:pos="153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exchanged in the Exchange Offer for an Exchange Note;</w:t>
      </w:r>
    </w:p>
    <w:p>
      <w:pPr>
        <w:spacing w:after="0" w:line="176" w:lineRule="exact"/>
        <w:rPr>
          <w:rFonts w:ascii="Courier New" w:cs="Courier New" w:eastAsia="Courier New" w:hAnsi="Courier New"/>
          <w:sz w:val="15"/>
          <w:szCs w:val="15"/>
          <w:color w:val="auto"/>
        </w:rPr>
      </w:pPr>
    </w:p>
    <w:p>
      <w:pPr>
        <w:ind w:left="720" w:right="3099" w:firstLine="445"/>
        <w:spacing w:after="0" w:line="244" w:lineRule="auto"/>
        <w:tabs>
          <w:tab w:leader="none" w:pos="153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has been disposed of in accordance with a Shelf Registration Statement (and the purchasers thereof have been issued Exchange Notes); and</w:t>
      </w:r>
    </w:p>
    <w:p>
      <w:pPr>
        <w:spacing w:after="0" w:line="175" w:lineRule="exact"/>
        <w:rPr>
          <w:rFonts w:ascii="Courier New" w:cs="Courier New" w:eastAsia="Courier New" w:hAnsi="Courier New"/>
          <w:sz w:val="15"/>
          <w:szCs w:val="15"/>
          <w:color w:val="auto"/>
        </w:rPr>
      </w:pPr>
    </w:p>
    <w:p>
      <w:pPr>
        <w:ind w:left="720" w:right="3199" w:firstLine="445"/>
        <w:spacing w:after="0" w:line="244" w:lineRule="auto"/>
        <w:tabs>
          <w:tab w:leader="none" w:pos="153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distributed to the public pursuant to Rule 144 (and purchasers thereof have been issued Exchange Notes).</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Exchange Note until the date on which such Exchange Note is disposed of by a broker-dealer pursuant to the Plan of Distribution contemplated by the Exchange Offer Registration Statement (including the delivery of the Prospectus contained therein).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Registration Rights Agreement provides that, unless the Exchange Offer is not permitted by applicable law or Commission policy:</w:t>
      </w:r>
    </w:p>
    <w:p>
      <w:pPr>
        <w:spacing w:after="0" w:line="176" w:lineRule="exact"/>
        <w:rPr>
          <w:sz w:val="20"/>
          <w:szCs w:val="20"/>
          <w:color w:val="auto"/>
        </w:rPr>
      </w:pPr>
    </w:p>
    <w:p>
      <w:pPr>
        <w:ind w:left="440" w:right="3379" w:firstLine="454"/>
        <w:spacing w:after="0" w:line="243" w:lineRule="auto"/>
        <w:tabs>
          <w:tab w:leader="none" w:pos="12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file an Exchange Offer Registration Statement with the Commission on or prior to 120 days after May 21, 1999;</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use our best efforts to have the Exchange Offer Registration Statement declared effective by the Commission on or prior to 210 days after May 21, 1999;</w:t>
      </w:r>
    </w:p>
    <w:p>
      <w:pPr>
        <w:spacing w:after="0" w:line="174"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w:t>
      </w:r>
    </w:p>
    <w:p>
      <w:pPr>
        <w:spacing w:after="0" w:line="177" w:lineRule="exact"/>
        <w:rPr>
          <w:rFonts w:ascii="Courier New" w:cs="Courier New" w:eastAsia="Courier New" w:hAnsi="Courier New"/>
          <w:sz w:val="15"/>
          <w:szCs w:val="15"/>
          <w:color w:val="auto"/>
        </w:rPr>
      </w:pPr>
    </w:p>
    <w:p>
      <w:pPr>
        <w:ind w:left="720" w:right="3099" w:firstLine="445"/>
        <w:spacing w:after="0" w:line="244" w:lineRule="auto"/>
        <w:tabs>
          <w:tab w:leader="none" w:pos="153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175" w:lineRule="exact"/>
        <w:rPr>
          <w:rFonts w:ascii="Courier New" w:cs="Courier New" w:eastAsia="Courier New" w:hAnsi="Courier New"/>
          <w:sz w:val="15"/>
          <w:szCs w:val="15"/>
          <w:color w:val="auto"/>
        </w:rPr>
      </w:pPr>
    </w:p>
    <w:p>
      <w:pPr>
        <w:jc w:val="both"/>
        <w:ind w:left="720" w:right="3379" w:firstLine="445"/>
        <w:spacing w:after="0" w:line="244" w:lineRule="auto"/>
        <w:tabs>
          <w:tab w:leader="none" w:pos="1531"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best efforts to consummate the Exchange Offer on or prior to 30 business days after the date on which the Exchange Offer Registration Statement was declared effective by the Commission (the "Consummation Deadline"); and</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obligated to file the Shelf Registration Statement, we will file the Shelf Registration Statement with the Commission on or prior to 90 days after such filing obligation arises and use its best efforts to cause the Shelf Registration to be declared effective by the Commission on or prior to 60 days after such Shelf Registration Statement is required to be filed.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Registration Rights Agreement provides that if:</w:t>
      </w:r>
    </w:p>
    <w:p>
      <w:pPr>
        <w:spacing w:after="0" w:line="178" w:lineRule="exact"/>
        <w:rPr>
          <w:sz w:val="20"/>
          <w:szCs w:val="20"/>
          <w:color w:val="auto"/>
        </w:rPr>
      </w:pPr>
    </w:p>
    <w:p>
      <w:pPr>
        <w:jc w:val="both"/>
        <w:ind w:left="440" w:right="3099" w:firstLine="454"/>
        <w:spacing w:after="0" w:line="244" w:lineRule="auto"/>
        <w:tabs>
          <w:tab w:leader="none" w:pos="125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to be filed by the Registration Rights Agreement on or before the date specified for such filing;</w:t>
      </w:r>
    </w:p>
    <w:p>
      <w:pPr>
        <w:spacing w:after="0" w:line="175" w:lineRule="exact"/>
        <w:rPr>
          <w:rFonts w:ascii="Courier New" w:cs="Courier New" w:eastAsia="Courier New" w:hAnsi="Courier New"/>
          <w:sz w:val="15"/>
          <w:szCs w:val="15"/>
          <w:color w:val="auto"/>
        </w:rPr>
      </w:pPr>
    </w:p>
    <w:p>
      <w:pPr>
        <w:ind w:left="440" w:right="3199" w:firstLine="454"/>
        <w:spacing w:after="0" w:line="243" w:lineRule="auto"/>
        <w:tabs>
          <w:tab w:leader="none" w:pos="125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such registration statements is not declared effective by the Commission on or prior to the date specified for such effectiveness;</w:t>
      </w:r>
    </w:p>
    <w:p>
      <w:pPr>
        <w:spacing w:after="0" w:line="176" w:lineRule="exact"/>
        <w:rPr>
          <w:rFonts w:ascii="Courier New" w:cs="Courier New" w:eastAsia="Courier New" w:hAnsi="Courier New"/>
          <w:sz w:val="15"/>
          <w:szCs w:val="15"/>
          <w:color w:val="auto"/>
        </w:rPr>
      </w:pPr>
    </w:p>
    <w:p>
      <w:pPr>
        <w:ind w:left="440" w:right="3639" w:firstLine="454"/>
        <w:spacing w:after="0" w:line="243" w:lineRule="auto"/>
        <w:tabs>
          <w:tab w:leader="none" w:pos="125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consummate the Exchange Offer on or prior to the Consummation Deadline;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or the Exchange Offer</w:t>
      </w:r>
    </w:p>
    <w:p>
      <w:pPr>
        <w:spacing w:after="0" w:line="4" w:lineRule="exact"/>
        <w:rPr>
          <w:rFonts w:ascii="Courier New" w:cs="Courier New" w:eastAsia="Courier New" w:hAnsi="Courier New"/>
          <w:sz w:val="15"/>
          <w:szCs w:val="15"/>
          <w:color w:val="auto"/>
        </w:rPr>
      </w:pPr>
    </w:p>
    <w:p>
      <w:pPr>
        <w:ind w:left="44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is declared effective but thereafter ceases to be effective or usable in connection with resales of Transfer Restricted Securities during the periods specified in the Registration Rights Agreement (each such event referred to in clauses (1) through (4) above, a "Registration Default"),</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we will pay liquidated damages to each holder of Notes subject to such Registration Default in an amount equal to $.05 per week per $1,000 in principal amount of Notes held by such holder for each week or portion thereof that the Registration Default continues for the first 90-day period immediately following the occurrence of the first Registration Default.</w:t>
      </w:r>
    </w:p>
    <w:p>
      <w:pPr>
        <w:spacing w:after="0" w:line="177"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amount of liquidated damages will increase by an additional $.05 per week per $1,000 in principal amount of Notes with respect to each subsequent</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90-day period until all Registration Defaults have been cured, up to a maximum amount of liquidated damages of $.25 per week per $1,000 in principal amount of Notes, provided that we will not be required to pay liquidated damages for more than one Registration Default at any given time.</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All accrued liquidated damages will be paid directly by us on each relevant Interest Payment Date for the Notes to the persons whose names are registered at the close of business on the relevant Regular Record Date.</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Following the cure of all Registration Defaults, the accrual of Liquidated Damages will cease.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holder of Notes will be required to make certain representations to us (as described in the Registration Rights Agreement)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w:t>
      </w:r>
    </w:p>
    <w:p>
      <w:pPr>
        <w:sectPr>
          <w:pgSz w:w="11900" w:h="16838" w:orient="portrait"/>
          <w:cols w:equalWidth="0" w:num="1">
            <w:col w:w="10219"/>
          </w:cols>
          <w:pgMar w:left="240" w:top="291" w:right="1440" w:bottom="1440" w:gutter="0" w:footer="0" w:header="0"/>
        </w:sectPr>
      </w:pP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Agreement in order to have such holder's Notes included in the Shelf Registration Statement and benefit from the provisions regarding liquidated damages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EXTENSIONS; AMENDMENTS; TERMINATION</w:t>
      </w:r>
    </w:p>
    <w:p>
      <w:pPr>
        <w:spacing w:after="0" w:line="178" w:lineRule="exact"/>
        <w:rPr>
          <w:sz w:val="20"/>
          <w:szCs w:val="20"/>
          <w:color w:val="auto"/>
        </w:rPr>
      </w:pPr>
    </w:p>
    <w:p>
      <w:pPr>
        <w:ind w:right="3099" w:firstLine="451"/>
        <w:spacing w:after="0" w:line="245" w:lineRule="auto"/>
        <w:rPr>
          <w:sz w:val="20"/>
          <w:szCs w:val="20"/>
          <w:color w:val="auto"/>
        </w:rPr>
      </w:pPr>
      <w:r>
        <w:rPr>
          <w:rFonts w:ascii="Courier New" w:cs="Courier New" w:eastAsia="Courier New" w:hAnsi="Courier New"/>
          <w:sz w:val="15"/>
          <w:szCs w:val="15"/>
          <w:color w:val="auto"/>
        </w:rPr>
        <w:t>The term "Expiration Date" shall mean , 1999, unless we, in our sole discretion, extend the Exchange Offer, in which case the term "Expiration Date" shall mean the latest date to which the Exchange Offer is extended.</w:t>
      </w:r>
    </w:p>
    <w:p>
      <w:pPr>
        <w:spacing w:after="0" w:line="34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it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EXCHANGE NOTES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Exchange Notes will accrue interest for the 2001 Exchange Notes at a rate of 6.000% per annum, for the 2004 Exchange Notes at a rate of 6.500% per annum, for the 2009 Exchange Notes at a rate of 6.875% per annum and for the 2029 Exchange Notes at a rate of 7.375% per annum. Interest on the Exchange Notes will accrue from the last date on which interest was paid on the Notes, or, if we have paid no interest on such Notes, from May 21, 1999, the date of issuance of the Notes for which the Exchange Offer is being made. Interest on the Exchange Notes are payable semi-annually on May 15 and November 15, commencing on November 15,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1"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Your tender of Notes will constitute an agreement between you and the Company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178" w:lineRule="exact"/>
        <w:rPr>
          <w:sz w:val="20"/>
          <w:szCs w:val="20"/>
          <w:color w:val="auto"/>
        </w:rPr>
      </w:pPr>
    </w:p>
    <w:p>
      <w:pPr>
        <w:ind w:right="3199" w:firstLine="451"/>
        <w:spacing w:after="0" w:line="266" w:lineRule="auto"/>
        <w:rPr>
          <w:sz w:val="20"/>
          <w:szCs w:val="20"/>
          <w:color w:val="auto"/>
        </w:rPr>
      </w:pPr>
      <w:r>
        <w:rPr>
          <w:rFonts w:ascii="Courier New" w:cs="Courier New" w:eastAsia="Courier New" w:hAnsi="Courier New"/>
          <w:sz w:val="14"/>
          <w:szCs w:val="14"/>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we reserve the right, in our sole discretion, subject to the provisions of the Senior Indenture, to purchase or make offers for any Notes that remain outstanding subsequent to the Expiration 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NOTES FOR EXCHANGE; DELIVERY OF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deemed to have been accepted as validly tendered for exchange when, as and if we have given oral or written notice thereof to the Exchange Agent.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nonexchanged Notes to an account maintained with such Book-Entry Transfer Facility as promptly as practicable after the expiration or termination of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 Agent" no later than the Expiration Date or the guaranteed delivery procedures described below must be complied with.</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78" w:lineRule="exact"/>
        <w:rPr>
          <w:sz w:val="20"/>
          <w:szCs w:val="20"/>
          <w:color w:val="auto"/>
        </w:rPr>
      </w:pPr>
    </w:p>
    <w:p>
      <w:pPr>
        <w:ind w:right="3199" w:firstLine="451"/>
        <w:spacing w:after="0" w:line="263" w:lineRule="auto"/>
        <w:rPr>
          <w:sz w:val="20"/>
          <w:szCs w:val="20"/>
          <w:color w:val="auto"/>
        </w:rPr>
      </w:pPr>
      <w:r>
        <w:rPr>
          <w:rFonts w:ascii="Courier New" w:cs="Courier New" w:eastAsia="Courier New" w:hAnsi="Courier New"/>
          <w:sz w:val="14"/>
          <w:szCs w:val="14"/>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OF TENDERS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Tenders of Notes may be withdrawn at any time prior to 5:00 p.m., New York City time, on the Expiration Date.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soon as practicable after withdrawal, rejection of tender or termination of the Exchange Offer. Properly withdrawn Notes may be retendered by following one of the procedures described under "-- Procedures for Tendering"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Book-Entry Transfer" at any time on or prior to the Expiration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Chase Bank of Texas, National Association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Mail (Certified, Registered, Overnight or First Class) or Hand Delivery:</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600 Travis Street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Telephone Number (713) 216-7000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will bear the expenses of soliciting tenders pursuant to the Exchange Offer. We are making the principal solicitation for tenders pursuant to the Exchange Offer by mail; however we may make additional solicitations by telegraph, telephone, telecopy or in person by our officers and regular employees.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177"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We will bear the expenses to be incurred in connection with the Exchange Offer, including fees and expenses of the Exchange Agent and the Trustee, and accounting, legal, printing and related fees and expenses.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OF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CERTAIN UNITED STATES FEDERAL INCOME TAX CONSEQUENCES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is a summary of the principal United States federal income tax consequences from the Exchange Offer and from the ownership of the Notes or Exchange Notes. It deals only with Notes or Exchange Notes held as capital assets and not with special classes of Holders, such as dealers in securities or currencies, life insurance companies, tax exempt entities, and persons that hold a Note or an Exchange Note in connection with an arrangement that completely or partially hedges the Note or Exchange Note. Further, the discussion does not address all aspects of taxation that might be relevant to particular Holders in light of their individual circumstances. The discussion is based upon the Internal Revenue Code of 1986, as amended (the "Code"), and regulations, rulings and judicial decisions thereunder as of the date hereof. Such authorities may be repealed, revoked or modified so as to result in federal income tax consequences different from those discussed below.</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purposes of the following discussion, a "U.S. Holder" means a beneficial owner of a Note or an Exchange Note that is, for United States federal income tax purposes: (1) a citizen or resident of the United States; (2) a partnership, corporation or other entity created or organized in or under the law of the United States or of any State of the United States; (3) an estate, the income of which is subject to United States federal income tax regardless of its source; (4) a trust classified as a United States person for United States federal income tax purposes. A "Non-U.S. Holder" is a beneficial owner of a Note or an Exchange Note that, for United States federal income tax purposes, is not a U.S. Holder.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HOLDERS TENDERING THEIR NOTES OR PROSPECTIVE PURCHASERS OF EXCHANGE NOTES SHOULD CONSULT THEIR OWN TAX ADVISORS CONCERNING THE UNITED STATES FEDERAL INCOME TAX AND ANY STATE OR LOCAL TAX CONSEQUENCES OF THE EXCHANGE OF THE NOTES FOR EXCHANGE NOTES, AND OF THE OWNERSHIP AND DISPOSITION OF THE NOTES OR EXCHANGE NOTES IN LIGHT OF THEIR PARTICULAR SITUATIONS, AND ANY CONSEQUENCES UNDER THE LAWS OF ANY OTHER TAXING JURISDICTION.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NOTES FOR EXCHANGE NOTES</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The exchange of Notes for Exchange Notes pursuant to the Exchange Offer will not be treated as an "exchange" for United States federal income tax purposes because the Notes will not be considered to differ materially in kind or extent from the Exchange Notes. Rather, the Exchange Notes received by a Holder will be treated as a continuation of the Notes in the hands of such Holder. The adjusted basis and holding period of the Exchange Notes for any Holder will be the same as the adjusted basis and holding period of the Notes. Similarly, there will be no United States federal income tax consequences to a Holder of Notes that does not participate in the exchange offer.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U.S. HOLDERS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Payments of Interest. Payments of stated interest on a Note or an Exchange Note generally will be taxable to a U.S. Holder as ordinary interest income at the time it is received or accrued, depending on the U.S. Holder's method of accounting for tax purposes.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Sale, Exchange, Redemption or Retirement. Upon the sale, exchange, redemption or retirement of a Note or an Exchange Note, a U.S. Holder will recognize taxable gain or loss equal to the difference between the amount realized on such sale, exchange, redemption or retirement (not including any amount attributable to accrued but unpaid interest not previously included in gross income) and such Holder's adjusted tax basis in the Note or Exchange Note. To the extent attributable to accrued but unpaid interest not previously included in gross income, the amount recognized by the U.S. Holder will be treated as a payment of interest. See "-- Payments of Interest." Gain or loss recognized on the sale, exchange, redemption or retirement generally will be capital gain or loss. The deductibility of capital losses is subject to limitations.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Market Discount and Premium. U.S. Holders that did not acquire their interest in the Exchange Notes pursuant to an acquisition of Notes on their original issue at their original offering price or pursuant to an exchange of such Notes for Exchange Notes pursuant to the exchange offer may be considered to have acquired their Exchange Notes with market discount or amortizable bond premium as such terms are defined for United States federal income tax purposes. Such Holders should consult their tax advisors as to the federal income tax consequences of the market discount and premium rules of the Code.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Backup Withholding. Payments made on, and proceeds from the sale of, Notes or Exchange Notes may be subject to a "backup" withholding tax of 31% unless the Holder complies with certain identification requirements. Any withheld amounts will generally be allowed as a credit against the Holder's federal income tax provided the required information is timely filed with the IRS.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NON-U.S. HOLDERS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The so-called "portfolio interest" exception provides that interest on the Notes or Exchange Notes will not be subject to U.S. federal income tax and withholding of U.S. federal income tax will not be required with respect to the payment by us or our paying agent of principal or interest on the Notes or Exchange Notes owned by a Non-U.S. Holder, provided that (1) the beneficial owner of the Notes or Exchange Notes does not actually or constructively own 10% or more of the total combined voting power of all classes of stock of the Company entitled to vote within the meaning of Section 871(h)(3) of the Tax Code and the Treasury Regulations issued thereunder, (2) the beneficial owner is not (i) a foreign tax exempt organization or a foreign private foundation for U.S. federal income tax purposes, (ii) a bank whose receipt of interest on the Notes or Exchange Notes is described in Section 881(c)(3)(A) of the Tax Code or (iii) a "controlled foreign corporation" (as defined Section 957 of the Tax Code) that is related directly, indirectly or constructively to us through stock ownership, (3) such interest is not considered contingent interest under Section 871(h)(4) of the Tax Code and the Treasury Regulations thereunder, and (4) the beneficial owner satisfies the requirements (described generally below) set forth in Section 871(h) and Section 881(c) of the Tax Code and the Treasury Regulations thereunder relating to registered securities.</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satisfy the requirements referred to in (4) above, the beneficial owner of such Notes or Exchange Notes, or a financial institution holding the Notes or Exchange Notes on behalf of such owner, must provide, in accordance with specified procedures, our paying agent with a statement to the effect that the beneficial owner is not a U.S. person. Currently, these requirements will be met if either (i) the beneficial owner of the Notes or Exchange Notes certifies to us or our paying agent, under penalties of perjury, that it is not a U.S. person (which certification may be made on an IRS Form W-8 or successor form) and provides its name and address or (ii) a securities clearing organization, bank or other financial institution that holds customers' securities in the ordinary course of its trade or business (a "financial institution") and that holds the Notes or Exchange Notes on behalf of a beneficial owner, certifies to us or our paying agent, under penalties of perjury, that such statement has been received by it from the beneficial owner (directly or through another intermediary financial institution), and furnishes us or our paying agent with a copy thereof. A certificate described in this paragraph is effective only with respect to payments of interest made to the certifying Non-U.S. Holder after the issuance of the certificate, in the calendar year of its issuance and two immediately succeeding calendar years.</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Treasury Regulations (the "Final Regulations") finalized in 1997, applicable to interest paid after December 31, 1999, provide alternative documentation procedures for satisfying the certification requirement described above. However, the Department of the Treasury and the IRS have announced their intention to extend the dates of applicability of the Final Regulations to payments made after December 31, 2000. Such regulations add intermediary certification options for certain qualifying agents. Under one such option, a withholding agent would be allowed to rely on IRS Form W-8 furnished by a financial institution or other intermediary on behalf of one or more beneficial owners (or other intermediaries) without having to obtain the beneficial owner certificate described in the preceding paragraph, provided that the financial institution or intermediary has entered into a withholding agreement with the IRS and thus is a "qualified intermediary." Under another option, an authorized foreign agent of</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U.S. withholding agent would be permitted to act on behalf of the U.S. withholding agent, provided certain conditions are met. With respect to the certification requirement for Notes or Exchange Notes that are held by a foreign partnership, the Final Regulations provide that unless the foreign partnership has entered into a withholding agreement with the IRS, the foreign partnership will be required, in addition to providing an intermediary Form W-8, to attach an appropriate certification by each partner. Prospective investors, including foreign partnerships and their partners, should consult their tax advisors regarding possible additional reporting requirements.</w:t>
      </w:r>
    </w:p>
    <w:p>
      <w:pPr>
        <w:spacing w:after="0" w:line="17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If a Non-U.S. Holder cannot satisfy the requirements of the "portfolio interest" exception described above, payments of interest made to such Non-U.S. Holder will generally be subject to withholding tax of 30% unless the beneficial owner of the Notes or Exchange Notes provides us or our paying agent, as the case may be, with a properly executed (i) IRS Form 1001 (or successor form) claiming an exemption from or reduced rate of withholding under the benefit of a tax treaty or (ii) IRS Form 4224 (or successor form) stating that interest paid on the Notes or Exchange Notes is not subject to withholding tax because it is effectively connected with the beneficial owner's conduct of a trade or business in the United States. Under the Final Regulations, Non-U.S. Holders will generally be required to provide IRS Form W-8BEN, W-8IMY, W-8EXP, or W-8ECI in lieu of Form 1001 and Form 4224, although alternative documentation may be applicable in certain situations. Additionally, the Non-U.S. Holders will be required to obtain U.S. taxpayer identification numbers. In each such case, the relevant IRS form must be delivered pursuant to applicable procedures and must be properly transmitted to the person otherwise required to withhold U.S. federal income tax, and none of the persons receiving the relevant form may have actual knowledge that any statement on the form is false.</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Gain on Disposition of Notes or Exchange Notes. A Non-U.S. Holder will not be subject to withholding of U.S. federal income tax on any gain realized on the sale, exchange, retirement, or other disposition of the Notes or Exchange Notes, unless (i) such Holder is an individual who is present in the United States for 183 days or more during the taxable year and certain other requirements are met, or (ii) the gain is effectively connected with the conduct of a United States trade or business of the Holder.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Estate Taxes. Under Section 2105(b) of the Tax Code, if interest on the Notes or Exchange Notes would be exempt from withholding of U.S. federal income tax under the rules described under "-- Interest" (without regard to the statement requirement), the Notes or Exchange Notes will not be included in the estate of a Non-U.S. Holder for U.S. federal estate tax purposes.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Effectively Connected Income. If a Non-U.S. Holder is engaged in a trade or business in the United States and interest on the Notes or Exchange Notes (or gain realized on the sale, exchange or other disposition of the Notes or Exchange Notes) is effectively connected with the conduct of such trade or business, the Non-U.S. Holder, although exempt from the withholding tax discussed above, will generally be subject to U.S. federal income tax on such effectively connected income in the same manner as if it were a U.S. person. Under the Final Regulations, such Non-U.S. Holder may also need to provide a United States taxpayer identification number (social security number or employer identification number) on forms referred to under "-- Interest" in order to meet the requirements set forth above. In addition, if such Non-U.S. Holder is a foreign corporation, it may be subject to a branch profits tax equal to 30% of its effectively connected earnings and profits for the taxable year, subject to adjustments. For this purpose, interest on, and any gain recognized on the sale, exchange or other disposition of, the Notes or Exchange Notes will be included in such foreign corporation's effectively connected earnings and profits if such interest or gain, as the case may be, is effectively connected with the conduct by such foreign corporation of a trade or business in the United States.</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Backup Withholding and Information Reporting. Certain "backup" withholding and information reporting requirements may apply to payments on, and to proceeds of sale before maturity of, the Notes or Exchange Notes. Interest paid to a Non-U.S. Holder on a registered security will be required to be reported annually on IRS Form 1042-S. We are not obligated to reimburse or indemnify Holders of the Notes or Exchange Notes, including Non-U.S. Holders, for any tax imposed on, or withheld from payments with respect to the Notes or Exchange Notes.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1"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information reporting on IRS Form 1099 or backup withholding will be required with respect to payments made by us or any paying agent to Non-U.S. Holders on registered securities with respect to which a statement described under "-- Interest" has been received; provided that we or our paying agent, as the case may be, does not have actual knowledge that the beneficial owner is a U.S. person.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backup withholding and information reporting will not apply if payments of principal or interest on the Notes or Exchange Notes are paid to or collected by a foreign office of a custodian, nominee or other foreign agent on behalf of the beneficial owner of such Notes or Exchange Notes, or if the foreign office of a broker (as defined in applicable Treasury Regulations) pays the proceeds of the sale of the Notes or Exchange Notes to the owner thereof. If, however, such nominee, custodian, agent or broker is, for U.S. federal income tax purposes, a U.S. person, a controlled foreign corporation or a foreign person 50% or more of whose gross income is effectively connected with the conduct of a United States trade or business for a specified three-year period, or another United States related person described in Section</w:t>
      </w:r>
    </w:p>
    <w:p>
      <w:pPr>
        <w:spacing w:after="0" w:line="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1.6049-5(c)(5) of the Treasury Regulations, then information reporting will be required unless (i) such custodian, nominee, agent or broker has in its records documentary evidence that the beneficial owner is not a U.S. person and certain other conditions are met or (ii) the beneficial owner otherwise establishes an exemption.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Payments of principal and interest on the Notes or Exchange Notes to the beneficial owner of such Notes or Exchange Notes by a United States office of a custodian, nominee or agent, or payment by the United States office of a broker of the proceeds of the sale of the Notes or Exchange Notes, will be subject to information reporting and backup withholding unless the Holder or beneficial owner provides the statement described under "-- Interest" or otherwise establishes an exemption from information reporting and backup withholding, and the payor does not have actual knowledge that the beneficial owner is a U.S. person.</w:t>
      </w:r>
    </w:p>
    <w:p>
      <w:pPr>
        <w:spacing w:after="0" w:line="179"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Applicable Tax Treaties. Non-U.S. Holders should also consult any applicable income tax treaties, which may provide for a lower rate of withholding tax, exemption from or reduction of branch profits tax, or other rules different from those under United States federal tax laws.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1"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the Exchange Notes received in exchange for the Notes where such Notes were acquired as a result of market-making activities or other trading activities. The Company has agreed that, starting on the Expiration Date and ending on the close of business on the first anniversary of the Expiration Date, it will make this Prospectus, as amended or supplemented, available to any broker-dealer for use in connection with any such resale.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transactions,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a period of one year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and will indemnify the holders of the Exchange Notes against certain liabilities, including liabilities under the Securities Act.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Locke Liddell &amp; Sapp LLP will opine on the validity of the Exchange Notes for us.</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54</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6.500% Senior Notes Due 2004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FOR</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6.500% Senior Notes Due 2004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59"/>
          </w:cols>
          <w:pgMar w:left="500" w:top="291"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"Waste Management Charter") contains a provision which eliminates directors' personal liability as set forth above.</w:t>
      </w:r>
    </w:p>
    <w:p>
      <w:pPr>
        <w:spacing w:after="0" w:line="180"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The Waste Management Charter and the Bylaws of Waste Management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83"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1"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agent has met the applicable standard of conduct under such subsections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Registrant has purchased certain liability insurance for its officers and directors as permitted by Section 145(g) of the DGCL.</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200" w:lineRule="exact"/>
        <w:rPr>
          <w:sz w:val="20"/>
          <w:szCs w:val="20"/>
          <w:color w:val="auto"/>
        </w:rPr>
      </w:pPr>
    </w:p>
    <w:p>
      <w:pPr>
        <w:spacing w:after="0" w:line="32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3.2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Restated Bylaws, as amended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3 to the Registrant's Form 10-Q for the quarter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ended June 30, 1999].</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Specimen Stock Certificate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4.1 to Registrant's Annual Report on Form 10-K</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 the year ended December 31, 1998].</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Indenture for Senior Debt Securities dated September 10,</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National Association, as trustee, now known as Chase Bank</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of Texas, National Association [Incorporated by reference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to Exhibit 4.1 to the Registrant's Current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8-K dated September 10, 1997].</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Exchange Note.</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Registration Rights Agreement dated as of May 21, 1999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and among Waste Management, Inc., Waste Management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Holdings, Inc. and Donaldson, Lufkin &amp; Jenrette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Securities Corporation, Banc of America LLC, Chase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Securities Inc., J.P. Morgan &amp; Co., Credit Suisse First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Boston, Deutsche Bank Securities Inc. and Salomon Smith</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Barney.</w:t>
            </w:r>
          </w:p>
        </w:tc>
      </w:tr>
      <w:tr>
        <w:trPr>
          <w:trHeight w:val="173"/>
        </w:trPr>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Opinion of Locke Liddell &amp; Sapp LLP.</w:t>
            </w:r>
          </w:p>
        </w:tc>
      </w:tr>
      <w:tr>
        <w:trPr>
          <w:trHeight w:val="173"/>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-- 1990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10.1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the year ended December 31, 1990].</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Conformed copy of 1993 Stock Incentive Plan, as amended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and restated [Incorporated by reference to Exhibit 10.2</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to the Registrant's Annual Report on Form 10-K for year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ended December 31, 1998].</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Conformed copy of 1996 Stock Option Plan for Non-Employee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Directors, as amended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10.3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Envirofil, Inc. 1993 Stock Incentive Plan [Incorporated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by reference to Exhibit 4.1 to the Registrant's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Registration Statement on Form S-8, File No. 33-84990].</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Western Waste Industries Amended and Restated 1983</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Incentive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on Form S-8, File No. 333-02181].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10.6</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Western Waste Industries 1983 Non-Qualified Stock Option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Plan [Incorporated by reference to Exhibit 99.2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333-02181].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10.7</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Western Waste Industries 1992 Option Plan [Incorporated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by reference to Exhibit 99.3 to the Registrant's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Registration Statement on Form S-8, File No. 333-02181].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10.8</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Sanifill, Inc. 1994 Long-Term Incentive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99.1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333-08161].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10.9</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Sanifill, Inc. 1989 Stock Option Plan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reference to Exhibit 99.2 to the Registrant's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Registration Statement on Form S-8, File No. 333-08161].</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Waste Management, Inc. 1997 Equity Incentive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A to Waste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Management Holdings' Proxy Statement for its 1997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Meeting of Shareholders].</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WMX Technologies, Inc. 1996 Replacement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4.13 to Waste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Management Holdings' Registration Statement on Form S-8,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File No. 333-01325].</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WMX Technologies, Inc. 1992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10.31 to Waste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Management Holdings' Registration Statement on Form S-1,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File No. 33-44849].</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WMX Technologies, Inc. 1992 Stock Option Plan for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10.23 to Waste Management Holdings' 1996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Report on Form 10-K].</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Waste Management, Inc. 1982 Stock Option Plan, as amended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to March 11, 1988 [Incorporated by reference to Exhibit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10.3 to Waste Management Holdings' 1988 Annual Report 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Form 10-K].</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Wheelabrator Technologies Inc. 1992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10.45 to the 1991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Annual Report on Form 10-K of Wheelabrator Technologies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10.16</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Wheelabrator Technologies Inc. 1988 Stock Plan for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Executive Employees of WTI and its Subsidiaries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28.1 to Amendment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No. 1 to the Registration Statement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 on Form S-8, File No. 33-31523].</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10.17</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Chemical Waste Management, Inc. 1992 Stock Option Plan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[Incorporated by reference to Exhibit 10.19 to the 1991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Annual Report on Form 10-K of Chemical Waste Management,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10.18</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-- 1991 Stock Option Plan for Non-Employee Directors of</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Wheelabrator Technologies, Inc.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reference to Exhibit 19.04 WTI's Quarterly Report for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quarterly period ended June 30, 1991].</w:t>
            </w:r>
          </w:p>
        </w:tc>
      </w:tr>
    </w:tbl>
    <w:p>
      <w:pPr>
        <w:spacing w:after="0" w:line="200" w:lineRule="exact"/>
        <w:rPr>
          <w:sz w:val="20"/>
          <w:szCs w:val="20"/>
          <w:color w:val="auto"/>
        </w:rPr>
      </w:pPr>
    </w:p>
    <w:p>
      <w:pPr>
        <w:sectPr>
          <w:pgSz w:w="11900" w:h="16838" w:orient="portrait"/>
          <w:cols w:equalWidth="0" w:num="1">
            <w:col w:w="9959"/>
          </w:cols>
          <w:pgMar w:left="500" w:top="291" w:right="1440" w:bottom="1440" w:gutter="0" w:footer="0" w:header="0"/>
        </w:sectPr>
      </w:pPr>
    </w:p>
    <w:p>
      <w:pPr>
        <w:spacing w:after="0" w:line="15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959"/>
          </w:cols>
          <w:pgMar w:left="500" w:top="291" w:right="1440" w:bottom="144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14"/>
                <w:szCs w:val="14"/>
                <w:color w:val="auto"/>
              </w:rPr>
            </w:pP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10.19</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Amendments dated as of September 7, 1990 to the WTI 1988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10.20</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November 1, 1990 to the WTI 1988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19.04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November 1, 1990 to the WTI 1986</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19.03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December 6, 1991 to the WTI 1986</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19.01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Amendment dated as of December 6, 1991 to the WTI 1988</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reference to Exhibit 10.10 to the Registrant's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10.11 to the Registrant's Annual Report on Form</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the year ended December 31, 1997].</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10.26</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TransAmerican Waste Industries, Inc. Amended and Restated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1990 Stock Incentive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on Form S-8, File No. 333-51975].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10.27</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TransAmerican Waste Industries, Inc. 1997 Non-Employee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Director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Exhibit 99.2 to the Registrant's Registration Statement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on Form S-8, File No. 333-51975].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10.28</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Eastern Environmental Services, Inc. 1997 Stock Option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Plan [Incorporated by reference to Exhibit 4.1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10.29</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Eastern Environmental Services, Inc. Amended and Restated</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1996 Stock Option Plan [Incorporated by reference to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Exhibit 4.2 to the Registrant's Registration Statement 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Form S-8, File No. 333-70055].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10.30</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Eastern Environmental Services, Inc. 1991 Stock Option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Plan [Incorporated by reference to Exhibit 4.3 to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Employment Agreement by and between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Registrant and its Executive Officers [Incorporated by</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reference to Exhibit 10.31 to the Registrant's Annual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Second Amended and Restated Revolving Credit Agreement,</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dated as of July 16, 1998 among the Registrant, Bank of</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America National Trust and Savings Association, Morgan</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Guaranty Trust Company of New York and other financial</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institutions [Incorporated by reference to Exhibit 10.3</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to the Registrant's Quarterly Report on Form 10-Q/A for</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the quarter ended June 30, 1998].</w:t>
            </w:r>
          </w:p>
        </w:tc>
      </w:tr>
      <w:tr>
        <w:trPr>
          <w:trHeight w:val="173"/>
        </w:trPr>
        <w:tc>
          <w:tcPr>
            <w:tcW w:w="11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10.33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Loan Agreement dated as of July 16, 1998, among the</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Registrant, Bank of America National Trust and Savings</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Association, Chase Bank of Texas, N.A., Deutsche Bank AG,</w:t>
            </w:r>
          </w:p>
        </w:tc>
      </w:tr>
      <w:tr>
        <w:trPr>
          <w:trHeight w:val="173"/>
        </w:trPr>
        <w:tc>
          <w:tcPr>
            <w:tcW w:w="112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New York Branch, Morgan Guaranty Trust Company of New</w:t>
            </w:r>
          </w:p>
        </w:tc>
      </w:tr>
    </w:tbl>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York and other financial institutions [Incorporated by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reference to Exhibit 10.4 to the Registrant's Quarterly</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Report on Form 10-Q/A for the quarter ended June 30,</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1998].</w:t>
      </w:r>
    </w:p>
    <w:p>
      <w:pPr>
        <w:sectPr>
          <w:pgSz w:w="11900" w:h="16838" w:orient="portrait"/>
          <w:cols w:equalWidth="0" w:num="1">
            <w:col w:w="9959"/>
          </w:cols>
          <w:pgMar w:left="500" w:top="291" w:right="1440" w:bottom="1440" w:gutter="0" w:footer="0" w:header="0"/>
        </w:sectPr>
      </w:pPr>
    </w:p>
    <w:p>
      <w:pPr>
        <w:spacing w:after="0" w:line="35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59"/>
          </w:cols>
          <w:pgMar w:left="500" w:top="291" w:right="1440" w:bottom="1440" w:gutter="0" w:footer="0" w:header="0"/>
          <w:type w:val="continuous"/>
        </w:sectPr>
      </w:pPr>
    </w:p>
    <w:bookmarkStart w:id="59" w:name="page60"/>
    <w:bookmarkEnd w:id="59"/>
    <w:tbl>
      <w:tblPr>
        <w:tblLayout w:type="fixed"/>
        <w:tblInd w:w="26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59</w:t>
            </w:r>
          </w:p>
        </w:tc>
        <w:tc>
          <w:tcPr>
            <w:tcW w:w="5900" w:type="dxa"/>
            <w:vAlign w:val="bottom"/>
          </w:tcPr>
          <w:p>
            <w:pPr>
              <w:spacing w:after="0"/>
              <w:rPr>
                <w:sz w:val="14"/>
                <w:szCs w:val="14"/>
                <w:color w:val="auto"/>
              </w:rPr>
            </w:pPr>
          </w:p>
        </w:tc>
      </w:tr>
      <w:tr>
        <w:trPr>
          <w:trHeight w:val="694"/>
        </w:trPr>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EXHIBIT</w:t>
            </w:r>
          </w:p>
        </w:tc>
        <w:tc>
          <w:tcPr>
            <w:tcW w:w="5900" w:type="dxa"/>
            <w:vAlign w:val="bottom"/>
          </w:tcPr>
          <w:p>
            <w:pPr>
              <w:spacing w:after="0"/>
              <w:rPr>
                <w:sz w:val="24"/>
                <w:szCs w:val="24"/>
                <w:color w:val="auto"/>
              </w:rPr>
            </w:pPr>
          </w:p>
        </w:tc>
      </w:tr>
      <w:tr>
        <w:trPr>
          <w:trHeight w:val="173"/>
        </w:trPr>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6"/>
              </w:rPr>
              <w:t>NO.</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590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47"/>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10.34</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-- 1998 Waste Management, Inc. Directors' Deferred</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10.1 to the Registrant's Quarterly Report on Form 10-Q</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10.35</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-- 1999 Waste Management, Inc. Directors' Deferred</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10.2 to the Registrant's Quarterly Report on Form 10-Q</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21.1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w w:val="99"/>
              </w:rPr>
              <w:t>-- Subsidiaries of the Registrant [Incorporated by reference</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w w:val="99"/>
              </w:rPr>
              <w:t>to Exhibit 21.1 to the Registrant's Annual Report on Form</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23.1*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23.2*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23.3*</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Consent of Locke Liddell &amp; Sapp LLP (included in Exhibit</w:t>
            </w:r>
          </w:p>
        </w:tc>
      </w:tr>
      <w:tr>
        <w:trPr>
          <w:trHeight w:val="173"/>
        </w:trPr>
        <w:tc>
          <w:tcPr>
            <w:tcW w:w="1580" w:type="dxa"/>
            <w:vAlign w:val="bottom"/>
          </w:tcPr>
          <w:p>
            <w:pPr>
              <w:spacing w:after="0"/>
              <w:rPr>
                <w:sz w:val="15"/>
                <w:szCs w:val="15"/>
                <w:color w:val="auto"/>
              </w:rPr>
            </w:pPr>
          </w:p>
        </w:tc>
        <w:tc>
          <w:tcPr>
            <w:tcW w:w="5900" w:type="dxa"/>
            <w:vAlign w:val="bottom"/>
          </w:tcPr>
          <w:p>
            <w:pPr>
              <w:ind w:left="760"/>
              <w:spacing w:after="0"/>
              <w:rPr>
                <w:sz w:val="20"/>
                <w:szCs w:val="20"/>
                <w:color w:val="auto"/>
              </w:rPr>
            </w:pPr>
            <w:r>
              <w:rPr>
                <w:rFonts w:ascii="Courier New" w:cs="Courier New" w:eastAsia="Courier New" w:hAnsi="Courier New"/>
                <w:sz w:val="15"/>
                <w:szCs w:val="15"/>
                <w:color w:val="auto"/>
              </w:rPr>
              <w:t>5.1).</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24.1*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Power of Attorney (set forth on signature page).</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99.1*</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Letter of Transmittal.</w:t>
            </w:r>
          </w:p>
        </w:tc>
      </w:tr>
      <w:tr>
        <w:trPr>
          <w:trHeight w:val="173"/>
        </w:trPr>
        <w:tc>
          <w:tcPr>
            <w:tcW w:w="1580" w:type="dxa"/>
            <w:vAlign w:val="bottom"/>
          </w:tcPr>
          <w:p>
            <w:pPr>
              <w:ind w:left="540"/>
              <w:spacing w:after="0"/>
              <w:rPr>
                <w:sz w:val="20"/>
                <w:szCs w:val="20"/>
                <w:color w:val="auto"/>
              </w:rPr>
            </w:pPr>
            <w:r>
              <w:rPr>
                <w:rFonts w:ascii="Courier New" w:cs="Courier New" w:eastAsia="Courier New" w:hAnsi="Courier New"/>
                <w:sz w:val="15"/>
                <w:szCs w:val="15"/>
                <w:color w:val="auto"/>
              </w:rPr>
              <w:t>99.2*</w:t>
            </w:r>
          </w:p>
        </w:tc>
        <w:tc>
          <w:tcPr>
            <w:tcW w:w="5900" w:type="dxa"/>
            <w:vAlign w:val="bottom"/>
          </w:tcPr>
          <w:p>
            <w:pPr>
              <w:ind w:left="500"/>
              <w:spacing w:after="0"/>
              <w:rPr>
                <w:sz w:val="20"/>
                <w:szCs w:val="20"/>
                <w:color w:val="auto"/>
              </w:rPr>
            </w:pPr>
            <w:r>
              <w:rPr>
                <w:rFonts w:ascii="Courier New" w:cs="Courier New" w:eastAsia="Courier New" w:hAnsi="Courier New"/>
                <w:sz w:val="15"/>
                <w:szCs w:val="15"/>
                <w:color w:val="auto"/>
              </w:rPr>
              <w:t>-- Form of Notice of Guaranteed Delivery.</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Filed herewith</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Exhibits listed above which have been filed with the Commission are incorporated herein by reference with the same effect as if filed with this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22. UNDERTAKINGS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registrants hereby undertake:</w:t>
      </w:r>
    </w:p>
    <w:p>
      <w:pPr>
        <w:spacing w:after="0" w:line="178" w:lineRule="exact"/>
        <w:rPr>
          <w:sz w:val="20"/>
          <w:szCs w:val="20"/>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20 above, or otherwise, the registrant has been advised that in the opinion of the Commission such indemnification is against public policy as expressed in the Act and is, therefore, unenforceable. In the event that as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183"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91" w:right="1440" w:bottom="1440" w:gutter="0" w:footer="0" w:header="0"/>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60</w:t>
      </w:r>
    </w:p>
    <w:p>
      <w:pPr>
        <w:spacing w:after="0" w:line="17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Registration Statement to be signed on its behalf by the undersigned, thereunto duly authorized.</w:t>
      </w:r>
    </w:p>
    <w:p>
      <w:pPr>
        <w:spacing w:after="0" w:line="175"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3968"/>
        <w:spacing w:after="0"/>
        <w:tabs>
          <w:tab w:leader="none" w:pos="4587"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S. MILLER</w:t>
      </w:r>
    </w:p>
    <w:p>
      <w:pPr>
        <w:spacing w:after="0" w:line="3"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968"/>
        <w:spacing w:after="0"/>
        <w:rPr>
          <w:sz w:val="20"/>
          <w:szCs w:val="20"/>
          <w:color w:val="auto"/>
        </w:rPr>
      </w:pPr>
      <w:r>
        <w:rPr>
          <w:rFonts w:ascii="Courier New" w:cs="Courier New" w:eastAsia="Courier New" w:hAnsi="Courier New"/>
          <w:sz w:val="15"/>
          <w:szCs w:val="15"/>
          <w:color w:val="auto"/>
        </w:rPr>
        <w:t>Robert S. Miller</w:t>
      </w:r>
    </w:p>
    <w:p>
      <w:pPr>
        <w:spacing w:after="0" w:line="3" w:lineRule="exact"/>
        <w:rPr>
          <w:sz w:val="20"/>
          <w:szCs w:val="20"/>
          <w:color w:val="auto"/>
        </w:rPr>
      </w:pPr>
    </w:p>
    <w:p>
      <w:pPr>
        <w:ind w:left="4608"/>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September 17, 1999</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Robert S. Miller, Ralph V. Whitworth and Bryan J. Blankfield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5" w:lineRule="exact"/>
        <w:rPr>
          <w:sz w:val="20"/>
          <w:szCs w:val="20"/>
          <w:color w:val="auto"/>
        </w:rPr>
      </w:pPr>
    </w:p>
    <w:p>
      <w:pPr>
        <w:ind w:left="8" w:right="355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below by the following persons on behalf of the Registrant and in the capacities and on September 17, 1999.</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ind w:left="1980"/>
              <w:spacing w:after="0"/>
              <w:rPr>
                <w:sz w:val="20"/>
                <w:szCs w:val="20"/>
                <w:color w:val="auto"/>
              </w:rPr>
            </w:pPr>
            <w:r>
              <w:rPr>
                <w:rFonts w:ascii="Courier New" w:cs="Courier New" w:eastAsia="Courier New" w:hAnsi="Courier New"/>
                <w:sz w:val="15"/>
                <w:szCs w:val="15"/>
                <w:color w:val="auto"/>
              </w:rPr>
              <w:t>SIGNATURE</w:t>
            </w:r>
          </w:p>
        </w:tc>
        <w:tc>
          <w:tcPr>
            <w:tcW w:w="28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TITLE</w:t>
            </w:r>
          </w:p>
        </w:tc>
      </w:tr>
      <w:tr>
        <w:trPr>
          <w:trHeight w:val="173"/>
        </w:trPr>
        <w:tc>
          <w:tcPr>
            <w:tcW w:w="5000" w:type="dxa"/>
            <w:vAlign w:val="bottom"/>
          </w:tcPr>
          <w:p>
            <w:pPr>
              <w:ind w:left="1980"/>
              <w:spacing w:after="0"/>
              <w:rPr>
                <w:sz w:val="20"/>
                <w:szCs w:val="20"/>
                <w:color w:val="auto"/>
              </w:rPr>
            </w:pPr>
            <w:r>
              <w:rPr>
                <w:rFonts w:ascii="Courier New" w:cs="Courier New" w:eastAsia="Courier New" w:hAnsi="Courier New"/>
                <w:sz w:val="15"/>
                <w:szCs w:val="15"/>
                <w:color w:val="auto"/>
              </w:rPr>
              <w:t>---------</w:t>
            </w:r>
          </w:p>
        </w:tc>
        <w:tc>
          <w:tcPr>
            <w:tcW w:w="28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r>
      <w:tr>
        <w:trPr>
          <w:trHeight w:val="520"/>
        </w:trPr>
        <w:tc>
          <w:tcPr>
            <w:tcW w:w="50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/s/ ROBERT S. MILLER</w:t>
            </w:r>
          </w:p>
        </w:tc>
        <w:tc>
          <w:tcPr>
            <w:tcW w:w="2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President and Chief Executive</w:t>
            </w:r>
          </w:p>
        </w:tc>
      </w:tr>
      <w:tr>
        <w:trPr>
          <w:trHeight w:val="173"/>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8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Officer and Director</w:t>
            </w:r>
          </w:p>
        </w:tc>
      </w:tr>
      <w:tr>
        <w:trPr>
          <w:trHeight w:val="173"/>
        </w:trPr>
        <w:tc>
          <w:tcPr>
            <w:tcW w:w="500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Robert S. Miller</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(Principal Executive Officer)</w:t>
            </w:r>
          </w:p>
        </w:tc>
      </w:tr>
      <w:tr>
        <w:trPr>
          <w:trHeight w:val="347"/>
        </w:trPr>
        <w:tc>
          <w:tcPr>
            <w:tcW w:w="500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/s/ RALPH V. WHITWORTH</w:t>
            </w:r>
          </w:p>
        </w:tc>
        <w:tc>
          <w:tcPr>
            <w:tcW w:w="28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Chairman of the Board</w:t>
            </w:r>
          </w:p>
        </w:tc>
      </w:tr>
    </w:tbl>
    <w:p>
      <w:pPr>
        <w:spacing w:after="0" w:line="3" w:lineRule="exact"/>
        <w:rPr>
          <w:sz w:val="20"/>
          <w:szCs w:val="20"/>
          <w:color w:val="auto"/>
        </w:rPr>
      </w:pPr>
    </w:p>
    <w:p>
      <w:pPr>
        <w:ind w:left="188" w:hanging="188"/>
        <w:spacing w:after="0"/>
        <w:tabs>
          <w:tab w:leader="none" w:pos="18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V. Whitworth</w:t>
      </w:r>
    </w:p>
    <w:p>
      <w:pPr>
        <w:sectPr>
          <w:pgSz w:w="11900" w:h="16838" w:orient="portrait"/>
          <w:cols w:equalWidth="0" w:num="1">
            <w:col w:w="10227"/>
          </w:cols>
          <w:pgMar w:left="232" w:top="291" w:right="1440" w:bottom="1440" w:gutter="0" w:footer="0" w:header="0"/>
        </w:sectPr>
      </w:pPr>
    </w:p>
    <w:p>
      <w:pPr>
        <w:spacing w:after="0" w:line="177"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/s/ DONALD R. CHAPPEL</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628"/>
        <w:spacing w:after="0"/>
        <w:rPr>
          <w:sz w:val="20"/>
          <w:szCs w:val="20"/>
          <w:color w:val="auto"/>
        </w:rPr>
      </w:pPr>
      <w:r>
        <w:rPr>
          <w:rFonts w:ascii="Courier New" w:cs="Courier New" w:eastAsia="Courier New" w:hAnsi="Courier New"/>
          <w:sz w:val="15"/>
          <w:szCs w:val="15"/>
          <w:color w:val="auto"/>
        </w:rPr>
        <w:t>Donald R. Chappel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Chief Financial Officer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Financial Officer)</w:t>
      </w:r>
    </w:p>
    <w:p>
      <w:pPr>
        <w:spacing w:after="0" w:line="177" w:lineRule="exact"/>
        <w:rPr>
          <w:sz w:val="20"/>
          <w:szCs w:val="20"/>
          <w:color w:val="auto"/>
        </w:rPr>
      </w:pPr>
    </w:p>
    <w:p>
      <w:pPr>
        <w:sectPr>
          <w:pgSz w:w="11900" w:h="16838" w:orient="portrait"/>
          <w:cols w:equalWidth="0" w:num="2">
            <w:col w:w="4968" w:space="80"/>
            <w:col w:w="5179"/>
          </w:cols>
          <w:pgMar w:left="232" w:top="291" w:right="1440" w:bottom="1440" w:gutter="0" w:footer="0" w:header="0"/>
          <w:type w:val="continuous"/>
        </w:sectPr>
      </w:pPr>
    </w:p>
    <w:p>
      <w:pPr>
        <w:ind w:left="1528"/>
        <w:spacing w:after="0"/>
        <w:rPr>
          <w:sz w:val="20"/>
          <w:szCs w:val="20"/>
          <w:color w:val="auto"/>
        </w:rPr>
      </w:pPr>
      <w:r>
        <w:rPr>
          <w:rFonts w:ascii="Courier New" w:cs="Courier New" w:eastAsia="Courier New" w:hAnsi="Courier New"/>
          <w:sz w:val="15"/>
          <w:szCs w:val="15"/>
          <w:color w:val="auto"/>
        </w:rPr>
        <w:t>/s/ BRUCE E. SNYDER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and Chief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Accounting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Accounting Officer)</w:t>
      </w:r>
    </w:p>
    <w:p>
      <w:pPr>
        <w:spacing w:after="0" w:line="187" w:lineRule="exact"/>
        <w:rPr>
          <w:sz w:val="20"/>
          <w:szCs w:val="20"/>
          <w:color w:val="auto"/>
        </w:rPr>
      </w:pPr>
    </w:p>
    <w:p>
      <w:pPr>
        <w:sectPr>
          <w:pgSz w:w="11900" w:h="16838" w:orient="portrait"/>
          <w:cols w:equalWidth="0" w:num="2">
            <w:col w:w="4968" w:space="80"/>
            <w:col w:w="5179"/>
          </w:cols>
          <w:pgMar w:left="232" w:top="291" w:right="1440" w:bottom="1440" w:gutter="0" w:footer="0" w:header="0"/>
          <w:type w:val="continuous"/>
        </w:sectPr>
      </w:pPr>
    </w:p>
    <w:p>
      <w:pPr>
        <w:spacing w:after="0" w:line="1" w:lineRule="exact"/>
        <w:rPr>
          <w:sz w:val="20"/>
          <w:szCs w:val="20"/>
          <w:color w:val="auto"/>
        </w:rPr>
      </w:pPr>
    </w:p>
    <w:p>
      <w:pPr>
        <w:ind w:left="1448"/>
        <w:spacing w:after="0"/>
        <w:rPr>
          <w:sz w:val="20"/>
          <w:szCs w:val="20"/>
          <w:color w:val="auto"/>
        </w:rPr>
      </w:pPr>
      <w:r>
        <w:rPr>
          <w:rFonts w:ascii="Courier New" w:cs="Courier New" w:eastAsia="Courier New" w:hAnsi="Courier New"/>
          <w:sz w:val="14"/>
          <w:szCs w:val="14"/>
          <w:color w:val="auto"/>
        </w:rPr>
        <w:t>/s/ H. JESSE ARNELLE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sectPr>
          <w:pgSz w:w="11900" w:h="16838" w:orient="portrait"/>
          <w:cols w:equalWidth="0" w:num="2">
            <w:col w:w="4328" w:space="720"/>
            <w:col w:w="5179"/>
          </w:cols>
          <w:pgMar w:left="232" w:top="291" w:right="1440" w:bottom="1440" w:gutter="0" w:footer="0" w:header="0"/>
          <w:type w:val="continuous"/>
        </w:sectPr>
      </w:pPr>
    </w:p>
    <w:p>
      <w:pPr>
        <w:ind w:left="188" w:hanging="188"/>
        <w:spacing w:after="0"/>
        <w:tabs>
          <w:tab w:leader="none" w:pos="18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Jesse Arnelle</w:t>
      </w:r>
    </w:p>
    <w:p>
      <w:pPr>
        <w:spacing w:after="0" w:line="35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291" w:right="1440" w:bottom="1440" w:gutter="0" w:footer="0" w:header="0"/>
          <w:type w:val="continuous"/>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1988"/>
        <w:spacing w:after="0"/>
        <w:rPr>
          <w:sz w:val="20"/>
          <w:szCs w:val="20"/>
          <w:color w:val="auto"/>
        </w:rPr>
      </w:pPr>
      <w:r>
        <w:rPr>
          <w:rFonts w:ascii="Courier New" w:cs="Courier New" w:eastAsia="Courier New" w:hAnsi="Courier New"/>
          <w:sz w:val="14"/>
          <w:szCs w:val="14"/>
          <w:color w:val="auto"/>
        </w:rPr>
        <w:t>SIGNATURE</w:t>
      </w:r>
    </w:p>
    <w:p>
      <w:pPr>
        <w:spacing w:after="0" w:line="15" w:lineRule="exact"/>
        <w:rPr>
          <w:sz w:val="20"/>
          <w:szCs w:val="20"/>
          <w:color w:val="auto"/>
        </w:rPr>
      </w:pPr>
    </w:p>
    <w:p>
      <w:pPr>
        <w:ind w:left="19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508" w:space="720"/>
            <w:col w:w="4999"/>
          </w:cols>
          <w:pgMar w:left="232" w:top="291" w:right="1440" w:bottom="1440" w:gutter="0" w:footer="0" w:header="0"/>
          <w:type w:val="continuous"/>
        </w:sectPr>
      </w:pPr>
    </w:p>
    <w:p>
      <w:pPr>
        <w:spacing w:after="0" w:line="151" w:lineRule="exact"/>
        <w:rPr>
          <w:sz w:val="20"/>
          <w:szCs w:val="20"/>
          <w:color w:val="auto"/>
        </w:rPr>
      </w:pPr>
    </w:p>
    <w:p>
      <w:pPr>
        <w:ind w:left="1088"/>
        <w:spacing w:after="0"/>
        <w:rPr>
          <w:sz w:val="20"/>
          <w:szCs w:val="20"/>
          <w:color w:val="auto"/>
        </w:rPr>
      </w:pPr>
      <w:r>
        <w:rPr>
          <w:rFonts w:ascii="Courier New" w:cs="Courier New" w:eastAsia="Courier New" w:hAnsi="Courier New"/>
          <w:sz w:val="14"/>
          <w:szCs w:val="14"/>
          <w:color w:val="auto"/>
        </w:rPr>
        <w:t>/s/ PASTORA SAN JUAN CAFFERTY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sectPr>
          <w:pgSz w:w="11900" w:h="16838" w:orient="portrait"/>
          <w:cols w:equalWidth="0" w:num="2">
            <w:col w:w="4328" w:space="720"/>
            <w:col w:w="5179"/>
          </w:cols>
          <w:pgMar w:left="232" w:top="291" w:right="1440" w:bottom="1440" w:gutter="0" w:footer="0" w:header="0"/>
          <w:type w:val="continuous"/>
        </w:sectPr>
      </w:pPr>
    </w:p>
    <w:p>
      <w:pPr>
        <w:ind w:left="188" w:hanging="188"/>
        <w:spacing w:after="0"/>
        <w:tabs>
          <w:tab w:leader="none" w:pos="18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Pastora San Juan Cafferty</w:t>
      </w:r>
    </w:p>
    <w:p>
      <w:pPr>
        <w:spacing w:after="0" w:line="177" w:lineRule="exact"/>
        <w:rPr>
          <w:sz w:val="20"/>
          <w:szCs w:val="20"/>
          <w:color w:val="auto"/>
        </w:rPr>
      </w:pPr>
    </w:p>
    <w:p>
      <w:pPr>
        <w:ind w:left="1628"/>
        <w:spacing w:after="0"/>
        <w:tabs>
          <w:tab w:leader="none" w:pos="5027" w:val="left"/>
        </w:tabs>
        <w:rPr>
          <w:sz w:val="20"/>
          <w:szCs w:val="20"/>
          <w:color w:val="auto"/>
        </w:rPr>
      </w:pPr>
      <w:r>
        <w:rPr>
          <w:rFonts w:ascii="Courier New" w:cs="Courier New" w:eastAsia="Courier New" w:hAnsi="Courier New"/>
          <w:sz w:val="15"/>
          <w:szCs w:val="15"/>
          <w:color w:val="auto"/>
        </w:rPr>
        <w:t>/s/ RALPH F. COX</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177" w:lineRule="exact"/>
        <w:rPr>
          <w:sz w:val="20"/>
          <w:szCs w:val="20"/>
          <w:color w:val="auto"/>
        </w:rPr>
      </w:pPr>
    </w:p>
    <w:p>
      <w:pPr>
        <w:ind w:left="1628"/>
        <w:spacing w:after="0"/>
        <w:tabs>
          <w:tab w:leader="none" w:pos="5027" w:val="left"/>
        </w:tabs>
        <w:rPr>
          <w:sz w:val="20"/>
          <w:szCs w:val="20"/>
          <w:color w:val="auto"/>
        </w:rPr>
      </w:pPr>
      <w:r>
        <w:rPr>
          <w:rFonts w:ascii="Courier New" w:cs="Courier New" w:eastAsia="Courier New" w:hAnsi="Courier New"/>
          <w:sz w:val="15"/>
          <w:szCs w:val="15"/>
          <w:color w:val="auto"/>
        </w:rPr>
        <w:t>/s/ JOHN E. DRURY</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Drury</w:t>
      </w:r>
    </w:p>
    <w:p>
      <w:pPr>
        <w:spacing w:after="0" w:line="177" w:lineRule="exact"/>
        <w:rPr>
          <w:sz w:val="20"/>
          <w:szCs w:val="20"/>
          <w:color w:val="auto"/>
        </w:rPr>
      </w:pPr>
    </w:p>
    <w:p>
      <w:pPr>
        <w:ind w:left="1448"/>
        <w:spacing w:after="0"/>
        <w:tabs>
          <w:tab w:leader="none" w:pos="5027" w:val="left"/>
        </w:tabs>
        <w:rPr>
          <w:sz w:val="20"/>
          <w:szCs w:val="20"/>
          <w:color w:val="auto"/>
        </w:rPr>
      </w:pPr>
      <w:r>
        <w:rPr>
          <w:rFonts w:ascii="Courier New" w:cs="Courier New" w:eastAsia="Courier New" w:hAnsi="Courier New"/>
          <w:sz w:val="15"/>
          <w:szCs w:val="15"/>
          <w:color w:val="auto"/>
        </w:rPr>
        <w:t>/s/ RODERICK M. HILLS</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Roderick M. Hills</w:t>
      </w:r>
    </w:p>
    <w:p>
      <w:pPr>
        <w:spacing w:after="0" w:line="177" w:lineRule="exact"/>
        <w:rPr>
          <w:sz w:val="20"/>
          <w:szCs w:val="20"/>
          <w:color w:val="auto"/>
        </w:rPr>
      </w:pPr>
    </w:p>
    <w:p>
      <w:pPr>
        <w:ind w:left="1448"/>
        <w:spacing w:after="0"/>
        <w:tabs>
          <w:tab w:leader="none" w:pos="5027" w:val="left"/>
        </w:tabs>
        <w:rPr>
          <w:sz w:val="20"/>
          <w:szCs w:val="20"/>
          <w:color w:val="auto"/>
        </w:rPr>
      </w:pPr>
      <w:r>
        <w:rPr>
          <w:rFonts w:ascii="Courier New" w:cs="Courier New" w:eastAsia="Courier New" w:hAnsi="Courier New"/>
          <w:sz w:val="15"/>
          <w:szCs w:val="15"/>
          <w:color w:val="auto"/>
        </w:rPr>
        <w:t>/s/ RICHARD D. KINDER</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D. Kinder</w:t>
      </w:r>
    </w:p>
    <w:p>
      <w:pPr>
        <w:spacing w:after="0" w:line="177" w:lineRule="exact"/>
        <w:rPr>
          <w:sz w:val="20"/>
          <w:szCs w:val="20"/>
          <w:color w:val="auto"/>
        </w:rPr>
      </w:pPr>
    </w:p>
    <w:p>
      <w:pPr>
        <w:ind w:left="1448"/>
        <w:spacing w:after="0"/>
        <w:tabs>
          <w:tab w:leader="none" w:pos="5027" w:val="left"/>
        </w:tabs>
        <w:rPr>
          <w:sz w:val="20"/>
          <w:szCs w:val="20"/>
          <w:color w:val="auto"/>
        </w:rPr>
      </w:pPr>
      <w:r>
        <w:rPr>
          <w:rFonts w:ascii="Courier New" w:cs="Courier New" w:eastAsia="Courier New" w:hAnsi="Courier New"/>
          <w:sz w:val="15"/>
          <w:szCs w:val="15"/>
          <w:color w:val="auto"/>
        </w:rPr>
        <w:t>/s/ PAUL M. MONTRONE</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Paul M. Montrone</w:t>
      </w:r>
    </w:p>
    <w:p>
      <w:pPr>
        <w:spacing w:after="0" w:line="177" w:lineRule="exact"/>
        <w:rPr>
          <w:sz w:val="20"/>
          <w:szCs w:val="20"/>
          <w:color w:val="auto"/>
        </w:rPr>
      </w:pPr>
    </w:p>
    <w:p>
      <w:pPr>
        <w:ind w:left="1628"/>
        <w:spacing w:after="0"/>
        <w:tabs>
          <w:tab w:leader="none" w:pos="5027" w:val="left"/>
        </w:tabs>
        <w:rPr>
          <w:sz w:val="20"/>
          <w:szCs w:val="20"/>
          <w:color w:val="auto"/>
        </w:rPr>
      </w:pPr>
      <w:r>
        <w:rPr>
          <w:rFonts w:ascii="Courier New" w:cs="Courier New" w:eastAsia="Courier New" w:hAnsi="Courier New"/>
          <w:sz w:val="15"/>
          <w:szCs w:val="15"/>
          <w:color w:val="auto"/>
        </w:rPr>
        <w:t>/s/ JOHN C. POPE</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C. Pope</w:t>
      </w:r>
    </w:p>
    <w:p>
      <w:pPr>
        <w:spacing w:after="0" w:line="177" w:lineRule="exact"/>
        <w:rPr>
          <w:sz w:val="20"/>
          <w:szCs w:val="20"/>
          <w:color w:val="auto"/>
        </w:rPr>
      </w:pPr>
    </w:p>
    <w:p>
      <w:pPr>
        <w:ind w:left="1348"/>
        <w:spacing w:after="0"/>
        <w:tabs>
          <w:tab w:leader="none" w:pos="5027" w:val="left"/>
        </w:tabs>
        <w:rPr>
          <w:sz w:val="20"/>
          <w:szCs w:val="20"/>
          <w:color w:val="auto"/>
        </w:rPr>
      </w:pPr>
      <w:r>
        <w:rPr>
          <w:rFonts w:ascii="Courier New" w:cs="Courier New" w:eastAsia="Courier New" w:hAnsi="Courier New"/>
          <w:sz w:val="15"/>
          <w:szCs w:val="15"/>
          <w:color w:val="auto"/>
        </w:rPr>
        <w:t>/s/ STEVEN G. ROTHMEIER</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5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G. Rothmeier</w:t>
      </w:r>
    </w:p>
    <w:p>
      <w:pPr>
        <w:spacing w:after="0" w:line="177" w:lineRule="exact"/>
        <w:rPr>
          <w:sz w:val="20"/>
          <w:szCs w:val="20"/>
          <w:color w:val="auto"/>
        </w:rPr>
      </w:pPr>
    </w:p>
    <w:p>
      <w:pPr>
        <w:ind w:left="1528"/>
        <w:spacing w:after="0"/>
        <w:tabs>
          <w:tab w:leader="none" w:pos="5027" w:val="left"/>
        </w:tabs>
        <w:rPr>
          <w:sz w:val="20"/>
          <w:szCs w:val="20"/>
          <w:color w:val="auto"/>
        </w:rPr>
      </w:pPr>
      <w:r>
        <w:rPr>
          <w:rFonts w:ascii="Courier New" w:cs="Courier New" w:eastAsia="Courier New" w:hAnsi="Courier New"/>
          <w:sz w:val="15"/>
          <w:szCs w:val="15"/>
          <w:color w:val="auto"/>
        </w:rPr>
        <w:t>/s/ JEROME B. YORK</w:t>
      </w:r>
      <w:r>
        <w:rPr>
          <w:sz w:val="20"/>
          <w:szCs w:val="20"/>
          <w:color w:val="auto"/>
        </w:rPr>
        <w:tab/>
      </w:r>
      <w:r>
        <w:rPr>
          <w:rFonts w:ascii="Courier New" w:cs="Courier New" w:eastAsia="Courier New" w:hAnsi="Courier New"/>
          <w:sz w:val="15"/>
          <w:szCs w:val="15"/>
          <w:color w:val="auto"/>
        </w:rPr>
        <w:t>Director</w:t>
      </w:r>
    </w:p>
    <w:p>
      <w:pPr>
        <w:spacing w:after="0" w:line="3" w:lineRule="exact"/>
        <w:rPr>
          <w:sz w:val="20"/>
          <w:szCs w:val="20"/>
          <w:color w:val="auto"/>
        </w:rPr>
      </w:pPr>
    </w:p>
    <w:p>
      <w:pPr>
        <w:ind w:left="188" w:hanging="188"/>
        <w:spacing w:after="0"/>
        <w:tabs>
          <w:tab w:leader="none" w:pos="18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Jerome B. York</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Registration Statement to be signed on its behalf by the undersigned, thereunto duly authorized.</w:t>
      </w:r>
    </w:p>
    <w:p>
      <w:pPr>
        <w:spacing w:after="0" w:line="175"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WASTE MANAGEMENT HOLDINGS, INC.</w:t>
      </w:r>
    </w:p>
    <w:p>
      <w:pPr>
        <w:spacing w:after="0" w:line="177" w:lineRule="exact"/>
        <w:rPr>
          <w:sz w:val="20"/>
          <w:szCs w:val="20"/>
          <w:color w:val="auto"/>
        </w:rPr>
      </w:pPr>
    </w:p>
    <w:p>
      <w:pPr>
        <w:jc w:val="center"/>
        <w:ind w:right="-947"/>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BRYAN J. BLANKFIELD</w:t>
      </w:r>
    </w:p>
    <w:p>
      <w:pPr>
        <w:spacing w:after="0" w:line="4" w:lineRule="exact"/>
        <w:rPr>
          <w:sz w:val="20"/>
          <w:szCs w:val="20"/>
          <w:color w:val="auto"/>
        </w:rPr>
      </w:pPr>
    </w:p>
    <w:p>
      <w:pPr>
        <w:ind w:left="414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688"/>
        <w:spacing w:after="0"/>
        <w:rPr>
          <w:sz w:val="20"/>
          <w:szCs w:val="20"/>
          <w:color w:val="auto"/>
        </w:rPr>
      </w:pPr>
      <w:r>
        <w:rPr>
          <w:rFonts w:ascii="Courier New" w:cs="Courier New" w:eastAsia="Courier New" w:hAnsi="Courier New"/>
          <w:sz w:val="15"/>
          <w:szCs w:val="15"/>
          <w:color w:val="auto"/>
        </w:rPr>
        <w:t>Bryan J. Blankfield</w:t>
      </w:r>
    </w:p>
    <w:p>
      <w:pPr>
        <w:spacing w:after="0" w:line="3" w:lineRule="exact"/>
        <w:rPr>
          <w:sz w:val="20"/>
          <w:szCs w:val="20"/>
          <w:color w:val="auto"/>
        </w:rPr>
      </w:pPr>
    </w:p>
    <w:p>
      <w:pPr>
        <w:ind w:left="4328"/>
        <w:spacing w:after="0"/>
        <w:rPr>
          <w:sz w:val="20"/>
          <w:szCs w:val="20"/>
          <w:color w:val="auto"/>
        </w:rPr>
      </w:pPr>
      <w:r>
        <w:rPr>
          <w:rFonts w:ascii="Courier New" w:cs="Courier New" w:eastAsia="Courier New" w:hAnsi="Courier New"/>
          <w:sz w:val="15"/>
          <w:szCs w:val="15"/>
          <w:color w:val="auto"/>
        </w:rPr>
        <w:t>Vice President and Secretary</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 September 17, 1999</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7"/>
          </w:cols>
          <w:pgMar w:left="232" w:top="291" w:right="1440" w:bottom="1440" w:gutter="0" w:footer="0" w:header="0"/>
          <w:type w:val="continuous"/>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62</w:t>
      </w:r>
    </w:p>
    <w:p>
      <w:pPr>
        <w:spacing w:after="0" w:line="17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5800" w:type="dxa"/>
            <w:vAlign w:val="bottom"/>
          </w:tcPr>
          <w:p>
            <w:pPr>
              <w:ind w:left="840"/>
              <w:spacing w:after="0"/>
              <w:rPr>
                <w:sz w:val="20"/>
                <w:szCs w:val="20"/>
                <w:color w:val="auto"/>
              </w:rPr>
            </w:pPr>
            <w:r>
              <w:rPr>
                <w:rFonts w:ascii="Courier New" w:cs="Courier New" w:eastAsia="Courier New" w:hAnsi="Courier New"/>
                <w:sz w:val="15"/>
                <w:szCs w:val="15"/>
                <w:color w:val="auto"/>
              </w:rPr>
              <w:t>INDEX TO EXHIBITS</w:t>
            </w:r>
          </w:p>
        </w:tc>
      </w:tr>
      <w:tr>
        <w:trPr>
          <w:trHeight w:val="694"/>
        </w:trPr>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4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3.1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3.2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3.2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Restated Bylaws, as amended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3 to the Registrant's Form 10-Q for the quarter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ended June 30, 1999].</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4.1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Specimen Stock Certificate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4.1 to Registrant's Annual Report on Form 10-K</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 the year ended December 31, 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4.2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Indenture for Senior Debt Securities dated September 10,</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National Association, as trustee, now known as Chase Bank</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of Texas, National Association [Incorporated by reference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to Exhibit 4.1 to the Registrant's Current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8-K dated September 10, 1997].</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Exchange Note.</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Registration Rights Agreement dated as of May 21, 1999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and among Waste Management, Inc., Waste Management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Holdings, Inc. and Donaldson, Lufkin &amp; Jenrette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Securities Corporation, Banc of America LLC, Chase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Securities Inc., J.P. Morgan &amp; Co., Credit Suisse First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Boston, Deutsche Bank Securities Inc. and Salomon Smith</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Barney.</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Opinion of Locke Liddell &amp; Sapp LLP.</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-- 1990 Stock Option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10.1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the year ended December 31, 1990].</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Conformed copy of 1993 Stock Incentive Plan, as amended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and restated [Incorporated by reference to Exhibit 10.2</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the Registrant's Annual Report on Form 10-K for year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ended December 31, 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Conformed copy of 1996 Stock Option Plan for Non-Employee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Directors, as amended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10.3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Envirofil, Inc. 1993 Stock Incentive Plan [Incorporated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by reference to Exhibit 4.1 to the Registrant's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S-8, File No. 33-84990].</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Western Waste Industries Amended and Restated 1983</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Incentive Stock Option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on Form S-8, File No. 333-02181].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10.6</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Western Waste Industries 1983 Non-Qualified Stock Option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Plan [Incorporated by reference to Exhibit 99.2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333-02181].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10.7</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Western Waste Industries 1992 Option Plan [Incorporated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by reference to Exhibit 99.3 to the Registrant's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S-8, File No. 333-02181].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10.8</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Sanifill, Inc. 1994 Long-Term Incentive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99.1 to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333-08161].</w:t>
            </w:r>
          </w:p>
        </w:tc>
      </w:tr>
      <w:tr>
        <w:trPr>
          <w:trHeight w:val="173"/>
        </w:trPr>
        <w:tc>
          <w:tcPr>
            <w:tcW w:w="14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10.9</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Sanifill, Inc. 1989 Stock Option Plan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99.2 to the Registrant's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Registration Statement on Form S-8, File No. 333-08161].</w:t>
            </w:r>
          </w:p>
        </w:tc>
      </w:tr>
      <w:tr>
        <w:trPr>
          <w:trHeight w:val="173"/>
        </w:trPr>
        <w:tc>
          <w:tcPr>
            <w:tcW w:w="1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10.10</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Waste Management, Inc. 1997 Equity Incentive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A to Waste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Management Holdings' Proxy Statement for its 1997 Annual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Meeting of Shareholders].</w:t>
            </w:r>
          </w:p>
        </w:tc>
      </w:tr>
    </w:tbl>
    <w:p>
      <w:pPr>
        <w:sectPr>
          <w:pgSz w:w="11900" w:h="16838" w:orient="portrait"/>
          <w:cols w:equalWidth="0" w:num="1">
            <w:col w:w="9959"/>
          </w:cols>
          <w:pgMar w:left="500" w:top="29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324"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8"/>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WMX Technologies, Inc. 1996 Replacement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4.13 to Waste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Management Holdings' Registration Statement on Form S-8,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File No. 333-01325].</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WMX Technologies, Inc. 1992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10.31 to Waste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Management Holdings' Registration Statement on Form S-1,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File No. 33-44849].</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WMX Technologies, Inc. 1992 Stock Option Plan for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10.23 to Waste Management Holdings' 1996 Annual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10-K].</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Waste Management, Inc. 1982 Stock Option Plan, as amended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March 11, 1988 [Incorporated by reference to Exhibit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10.3 to Waste Management Holdings' 1988 Annual Report on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Form 10-K].</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Wheelabrator Technologies Inc. 1992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10.45 to the 1991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Annual Report on Form 10-K of Wheelabrator Technologies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10.16</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Wheelabrator Technologies Inc. 1988 Stock Plan for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Executive Employees of WTI and its Subsidiaries</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28.1 to Amendment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No. 1 to the Registration Statement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 on Form S-8, File No. 33-31523].</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10.17</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Chemical Waste Management, Inc. 1992 Stock Option Plan</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[Incorporated by reference to Exhibit 10.19 to the 1991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Annual Report on Form 10-K of Chemical Waste Management,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10.18</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-- 1991 Stock Option Plan for Non-Employee Directors of</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Wheelabrator Technologies, Inc.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reference to Exhibit 19.04 WTI's Quarterly Report for the</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quarterly period ended June 30, 1991].</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10.19</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Amendments dated as of September 7, 1990 to the WTI 1988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10.20</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November 1, 1990 to the WTI 1988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19.04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November 1, 1990 to the WTI 1986</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19.03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December 6, 1991 to the WTI 1986</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19.01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Amendment dated as of December 6, 1991 to the WTI 1988</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Stock Plan [Incorporated by reference to Exhibit 19.02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Technologies Inc.].</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10.10 to the Registrant's Annual</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10.11 to the Registrant's Annual Report on Form</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the year ended December 31, 1997].</w:t>
            </w:r>
          </w:p>
        </w:tc>
      </w:tr>
      <w:tr>
        <w:trPr>
          <w:trHeight w:val="173"/>
        </w:trPr>
        <w:tc>
          <w:tcPr>
            <w:tcW w:w="14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10.26</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TransAmerican Waste Industries, Inc. Amended and Restated</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1990 Stock Incentive Plan [Incorporated by reference to</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99.1 to the Registrant's Registration Statement</w:t>
            </w:r>
          </w:p>
        </w:tc>
      </w:tr>
      <w:tr>
        <w:trPr>
          <w:trHeight w:val="173"/>
        </w:trPr>
        <w:tc>
          <w:tcPr>
            <w:tcW w:w="140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on Form S-8, File No. 333-51975].</w:t>
            </w:r>
          </w:p>
        </w:tc>
      </w:tr>
    </w:tbl>
    <w:p>
      <w:pPr>
        <w:sectPr>
          <w:pgSz w:w="11900" w:h="16838" w:orient="portrait"/>
          <w:cols w:equalWidth="0" w:num="1">
            <w:col w:w="9959"/>
          </w:cols>
          <w:pgMar w:left="500" w:top="291" w:right="1440" w:bottom="1440" w:gutter="0" w:footer="0" w:header="0"/>
        </w:sectPr>
      </w:pPr>
    </w:p>
    <w:bookmarkStart w:id="64" w:name="page65"/>
    <w:bookmarkEnd w:id="64"/>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5800" w:type="dxa"/>
            <w:vAlign w:val="bottom"/>
          </w:tcPr>
          <w:p>
            <w:pPr>
              <w:spacing w:after="0"/>
              <w:rPr>
                <w:sz w:val="14"/>
                <w:szCs w:val="14"/>
                <w:color w:val="auto"/>
              </w:rPr>
            </w:pPr>
          </w:p>
        </w:tc>
      </w:tr>
      <w:tr>
        <w:trPr>
          <w:trHeight w:val="694"/>
        </w:trPr>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EXHIBIT NO.</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6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800" w:type="dxa"/>
            <w:vAlign w:val="bottom"/>
          </w:tcPr>
          <w:p>
            <w:pPr>
              <w:ind w:left="2560"/>
              <w:spacing w:after="0"/>
              <w:rPr>
                <w:sz w:val="20"/>
                <w:szCs w:val="20"/>
                <w:color w:val="auto"/>
              </w:rPr>
            </w:pPr>
            <w:r>
              <w:rPr>
                <w:rFonts w:ascii="Courier New" w:cs="Courier New" w:eastAsia="Courier New" w:hAnsi="Courier New"/>
                <w:sz w:val="15"/>
                <w:szCs w:val="15"/>
                <w:color w:val="auto"/>
              </w:rPr>
              <w:t>-----------</w:t>
            </w:r>
          </w:p>
        </w:tc>
      </w:tr>
      <w:tr>
        <w:trPr>
          <w:trHeight w:val="347"/>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10.27</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TransAmerican Waste Industries, Inc. 1997 Non-Employee</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Director Stock Option Plan [Incorporated by reference to</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Exhibit 99.2 to the Registrant's Registration Statement</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on Form S-8, File No. 333-51975].</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10.28</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Eastern Environmental Services, Inc. 1997 Stock Option</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Plan [Incorporated by reference to Exhibit 4.1 to the</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10.29</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Eastern Environmental Services, Inc. Amended and Restated</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1996 Stock Option Plan [Incorporated by reference to</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Exhibit 4.2 to the Registrant's Registration Statement on</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Form S-8, File No. 333-70055].</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10.30</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Eastern Environmental Services, Inc. 1991 Stock Option</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Plan [Incorporated by reference to Exhibit 4.3 to the</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Registrant's Registration Statement on Form S-8, File No.</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333-70055].</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10.31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Employment Agreement by and between the</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Registrant and its Executive Officers [Incorporated by</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10.31 to the Registrant's Annual</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10.32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Second Amended and Restated Revolving Credit Agreement,</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dated as of July 16, 1998 among the Registrant, Bank of</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America National Trust and Savings Association, Morgan</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Guaranty Trust Company of New York and other financial</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institutions [Incorporated by reference to Exhibit 10.3</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to the Registrant's Quarterly Report on Form 10-Q/A for</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the quarter ended June 30, 1998].</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10.33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Loan Agreement dated as of July 16, 1998, among the</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Registrant, Bank of America National Trust and Savings</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Association, Chase Bank of Texas, N.A., Deutsche Bank AG,</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New York Branch, Morgan Guaranty Trust Company of New</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York and other financial institutions [Incorporated by</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reference to Exhibit 10.4 to the Registrant's Quarterly</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Report on Form 10-Q/A for the quarter ended June 30,</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10.34</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-- 1998 Waste Management, Inc. Directors' Deferred</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10.1 to the Registrant's Quarterly Report on Form 10-Q</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10.35</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-- 1999 Waste Management, Inc. Directors' Deferred</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Compensation Plan [Incorporated by reference to Exhibit</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10.2 to the Registrant's Quarterly Report on Form 10-Q</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for the quarter ended March 31, 1999].</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21.1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w w:val="99"/>
              </w:rPr>
              <w:t>-- Subsidiaries of the Registrant [Incorporated by reference</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w w:val="99"/>
              </w:rPr>
              <w:t>to Exhibit 21.1 to the Registrant's Annual Report on Form</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10-K for year ended December 31, 1998].</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23.1*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23.2*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23.3*</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Consent of Locke Liddell &amp; Sapp LLP (included in Exhibit</w:t>
            </w:r>
          </w:p>
        </w:tc>
      </w:tr>
      <w:tr>
        <w:trPr>
          <w:trHeight w:val="173"/>
        </w:trPr>
        <w:tc>
          <w:tcPr>
            <w:tcW w:w="1680" w:type="dxa"/>
            <w:vAlign w:val="bottom"/>
          </w:tcPr>
          <w:p>
            <w:pPr>
              <w:spacing w:after="0"/>
              <w:rPr>
                <w:sz w:val="15"/>
                <w:szCs w:val="15"/>
                <w:color w:val="auto"/>
              </w:rPr>
            </w:pPr>
          </w:p>
        </w:tc>
        <w:tc>
          <w:tcPr>
            <w:tcW w:w="5800" w:type="dxa"/>
            <w:vAlign w:val="bottom"/>
          </w:tcPr>
          <w:p>
            <w:pPr>
              <w:ind w:left="660"/>
              <w:spacing w:after="0"/>
              <w:rPr>
                <w:sz w:val="20"/>
                <w:szCs w:val="20"/>
                <w:color w:val="auto"/>
              </w:rPr>
            </w:pPr>
            <w:r>
              <w:rPr>
                <w:rFonts w:ascii="Courier New" w:cs="Courier New" w:eastAsia="Courier New" w:hAnsi="Courier New"/>
                <w:sz w:val="15"/>
                <w:szCs w:val="15"/>
                <w:color w:val="auto"/>
              </w:rPr>
              <w:t>5.1).</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24.1*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Power of Attorney (set forth on signature page).</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99.1*</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Letter of Transmittal.</w:t>
            </w:r>
          </w:p>
        </w:tc>
      </w:tr>
      <w:tr>
        <w:trPr>
          <w:trHeight w:val="173"/>
        </w:trPr>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99.2*</w:t>
            </w:r>
          </w:p>
        </w:tc>
        <w:tc>
          <w:tcPr>
            <w:tcW w:w="5800" w:type="dxa"/>
            <w:vAlign w:val="bottom"/>
          </w:tcPr>
          <w:p>
            <w:pPr>
              <w:ind w:left="400"/>
              <w:spacing w:after="0"/>
              <w:rPr>
                <w:sz w:val="20"/>
                <w:szCs w:val="20"/>
                <w:color w:val="auto"/>
              </w:rPr>
            </w:pPr>
            <w:r>
              <w:rPr>
                <w:rFonts w:ascii="Courier New" w:cs="Courier New" w:eastAsia="Courier New" w:hAnsi="Courier New"/>
                <w:sz w:val="15"/>
                <w:szCs w:val="15"/>
                <w:color w:val="auto"/>
              </w:rPr>
              <w:t>-- Form of Notice of Guaranteed Delivery.</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60" w:hanging="277"/>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8"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Exhibits listed above which have been filed with the Commission are incorporated herein by reference with the same effect as if filed with this Registration Statement.</w:t>
      </w:r>
    </w:p>
    <w:p>
      <w:pPr>
        <w:sectPr>
          <w:pgSz w:w="11900" w:h="16838" w:orient="portrait"/>
          <w:cols w:equalWidth="0" w:num="1">
            <w:col w:w="10219"/>
          </w:cols>
          <w:pgMar w:left="240" w:top="291"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4.3</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GLOBAL SECURITY</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SECURITY IS A BOOK-ENTRY SECURITY WITHIN THE MEANING OF THE INDENTURE AND IS REGISTERED IN THE NAME OF A DEPOSITARY OR A NOMINEE OF A DEPOSITARY. THIS SECURITY IS EXCHANGEABLE FOR SECURITIES REGISTERED IN THE NAME OF A PERSON OTHER THAN THE DEPOSITARY OR ITS NOMINEE ONLY IN THE LIMITED CIRCUMSTANCES DESCRIBED IN THE INDENTURE, AND NO TRANSFER OF THIS SECURITY (OTHER THAN A TRANSFER OF THIS SECURITY AS A WHOLE BY THE DEPOSITARY TO A NOMINEE OF THE DEPOSITARY OR BY A NOMINEE OF THE DEPOSITARY TO THE DEPOSITARY OR ANOTHER NOMINEE OF THE DEPOSITARY) MAY BE REGISTERED EXCEPT IN SUCH LIMITED CIRCUMSTANCES.</w:t>
      </w:r>
    </w:p>
    <w:p>
      <w:pPr>
        <w:spacing w:after="0" w:line="17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DEPOSITORY TRUST COMPANY, A NEW YORK LIMITED-PURPOSE TRUST COMPANY ("DTC"), TO THE COMPANY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52"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BOOK-ENTRY SECURITY</w:t>
      </w:r>
    </w:p>
    <w:p>
      <w:pPr>
        <w:sectPr>
          <w:pgSz w:w="11900" w:h="16838" w:orient="portrait"/>
          <w:cols w:equalWidth="0" w:num="1">
            <w:col w:w="10219"/>
          </w:cols>
          <w:pgMar w:left="240" w:top="14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CUSIP 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U.S. $_______</w:t>
      </w:r>
    </w:p>
    <w:p>
      <w:pPr>
        <w:spacing w:after="0" w:line="360" w:lineRule="exact"/>
        <w:rPr>
          <w:sz w:val="20"/>
          <w:szCs w:val="20"/>
          <w:color w:val="auto"/>
        </w:rPr>
      </w:pPr>
    </w:p>
    <w:p>
      <w:pPr>
        <w:sectPr>
          <w:pgSz w:w="11900" w:h="16838" w:orient="portrait"/>
          <w:cols w:equalWidth="0" w:num="2">
            <w:col w:w="3700" w:space="720"/>
            <w:col w:w="5799"/>
          </w:cols>
          <w:pgMar w:left="240" w:top="141"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___% SENIOR NOTE DUE 20__</w:t>
      </w:r>
    </w:p>
    <w:p>
      <w:pPr>
        <w:sectPr>
          <w:pgSz w:w="11900" w:h="16838" w:orient="portrait"/>
          <w:cols w:equalWidth="0" w:num="1">
            <w:col w:w="10219"/>
          </w:cols>
          <w:pgMar w:left="240" w:top="141" w:right="1440" w:bottom="1440" w:gutter="0" w:footer="0" w:header="0"/>
          <w:type w:val="continuous"/>
        </w:sectPr>
      </w:pPr>
    </w:p>
    <w:p>
      <w:pPr>
        <w:spacing w:after="0" w:line="178" w:lineRule="exact"/>
        <w:rPr>
          <w:sz w:val="20"/>
          <w:szCs w:val="20"/>
          <w:color w:val="auto"/>
        </w:rPr>
      </w:pPr>
    </w:p>
    <w:p>
      <w:pPr>
        <w:ind w:right="3199" w:firstLine="811"/>
        <w:spacing w:after="0" w:line="262" w:lineRule="auto"/>
        <w:rPr>
          <w:sz w:val="20"/>
          <w:szCs w:val="20"/>
          <w:color w:val="auto"/>
        </w:rPr>
      </w:pPr>
      <w:r>
        <w:rPr>
          <w:rFonts w:ascii="Courier New" w:cs="Courier New" w:eastAsia="Courier New" w:hAnsi="Courier New"/>
          <w:sz w:val="14"/>
          <w:szCs w:val="14"/>
          <w:color w:val="auto"/>
        </w:rPr>
        <w:t>WASTE MANAGEMENT, INC., a Delaware corporation (the "Company"), for value received, hereby promises to pay to CEDE &amp; CO. or registered assigns, at the office or agency of the Company, the principal sum of $______________ U.S.</w:t>
      </w:r>
    </w:p>
    <w:p>
      <w:pPr>
        <w:spacing w:after="0" w:line="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dollars on May 15, 20___ in such coin or currency of the United States of America as at the time of payment shall be legal tender for the payment of public and private debts, and to pay interest at an annual rate of ___% payable on May 15 and November 15 in each year, to the person in whose name the Security is registered at the close of business on the record date for such interest which shall be the preceding April 30 or October 31, respectively, payable commencing November 15, 1999, with interest on November 15, 1999 consisting of interest accrued from May 21, 1999 to and including November 14, 1999.</w:t>
      </w:r>
    </w:p>
    <w:p>
      <w:pPr>
        <w:spacing w:after="0" w:line="16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Reference is made to the further provisions of this Security set forth on the reverse hereof. Such further provisions shall for all purposes have the same effect as though fully set forth at this place.</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statements in the legend set forth above are an integral part of the terms of this Security and by acceptance hereof the Holder of this Security agrees to be subject to, and bound by, the terms and provisions set forth in such legend.</w:t>
      </w:r>
    </w:p>
    <w:p>
      <w:pPr>
        <w:spacing w:after="0" w:line="176"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This Security is issued in respect of a series of Securities of an aggregate of U.S. $______________ in original principal amount designated as the</w:t>
      </w:r>
    </w:p>
    <w:p>
      <w:pPr>
        <w:ind w:right="3019"/>
        <w:spacing w:after="0" w:line="265" w:lineRule="auto"/>
        <w:rPr>
          <w:sz w:val="20"/>
          <w:szCs w:val="20"/>
          <w:color w:val="auto"/>
        </w:rPr>
      </w:pPr>
      <w:r>
        <w:rPr>
          <w:rFonts w:ascii="Courier New" w:cs="Courier New" w:eastAsia="Courier New" w:hAnsi="Courier New"/>
          <w:sz w:val="14"/>
          <w:szCs w:val="14"/>
          <w:color w:val="auto"/>
        </w:rPr>
        <w:t>___% Senior Notes due 20__ of the Company and is governed by the Indenture dated as of September 10, 1997, duly executed and delivered by the Company to Chase Bank of Texas,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61" w:lineRule="exact"/>
        <w:rPr>
          <w:sz w:val="20"/>
          <w:szCs w:val="20"/>
          <w:color w:val="auto"/>
        </w:rPr>
      </w:pPr>
    </w:p>
    <w:p>
      <w:pPr>
        <w:ind w:right="3379" w:firstLine="811"/>
        <w:spacing w:after="0" w:line="244" w:lineRule="auto"/>
        <w:rPr>
          <w:sz w:val="20"/>
          <w:szCs w:val="20"/>
          <w:color w:val="auto"/>
        </w:rPr>
      </w:pPr>
      <w:r>
        <w:rPr>
          <w:rFonts w:ascii="Courier New" w:cs="Courier New" w:eastAsia="Courier New" w:hAnsi="Courier New"/>
          <w:sz w:val="15"/>
          <w:szCs w:val="15"/>
          <w:color w:val="auto"/>
        </w:rPr>
        <w:t>If and to the extent that any provision of the Indenture limits, qualifies, or conflicts with any other provision of the Indenture which is required to be included in the Indenture or is deemed applicable to the Indenture by virtue of the provisions of the Trust Indenture Act of 1939, as amended, such required provision shall control.</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hereby irrevocably undertakes to the Holder hereof to exchange this Book-Entry Security in accordance with the terms of the Indenture without charge.</w:t>
      </w:r>
    </w:p>
    <w:p>
      <w:pPr>
        <w:spacing w:after="0" w:line="175" w:lineRule="exact"/>
        <w:rPr>
          <w:sz w:val="20"/>
          <w:szCs w:val="20"/>
          <w:color w:val="auto"/>
        </w:rPr>
      </w:pPr>
    </w:p>
    <w:p>
      <w:pPr>
        <w:jc w:val="both"/>
        <w:ind w:right="3199" w:firstLine="811"/>
        <w:spacing w:after="0" w:line="244" w:lineRule="auto"/>
        <w:rPr>
          <w:sz w:val="20"/>
          <w:szCs w:val="20"/>
          <w:color w:val="auto"/>
        </w:rPr>
      </w:pPr>
      <w:r>
        <w:rPr>
          <w:rFonts w:ascii="Courier New" w:cs="Courier New" w:eastAsia="Courier New" w:hAnsi="Courier New"/>
          <w:sz w:val="15"/>
          <w:szCs w:val="15"/>
          <w:color w:val="auto"/>
        </w:rPr>
        <w:t>This Security shall not be valid or become obligatory for any purpose until the Certificate of Authentication hereon shall have been manually signed by the Trustee under the Indenture.</w:t>
      </w:r>
    </w:p>
    <w:p>
      <w:pPr>
        <w:sectPr>
          <w:pgSz w:w="11900" w:h="16838" w:orient="portrait"/>
          <w:cols w:equalWidth="0" w:num="1">
            <w:col w:w="10219"/>
          </w:cols>
          <w:pgMar w:left="240" w:top="141"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pacing w:after="0" w:line="17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 Delaware corporation</w:t>
      </w:r>
    </w:p>
    <w:p>
      <w:pPr>
        <w:spacing w:after="0" w:line="35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5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CERTIFICATE OF AUTHENTICATION</w:t>
      </w:r>
    </w:p>
    <w:p>
      <w:pPr>
        <w:spacing w:after="0" w:line="178" w:lineRule="exact"/>
        <w:rPr>
          <w:sz w:val="20"/>
          <w:szCs w:val="20"/>
          <w:color w:val="auto"/>
        </w:rPr>
      </w:pPr>
    </w:p>
    <w:p>
      <w:pPr>
        <w:ind w:right="3019" w:firstLine="811"/>
        <w:spacing w:after="0" w:line="243" w:lineRule="auto"/>
        <w:rPr>
          <w:sz w:val="20"/>
          <w:szCs w:val="20"/>
          <w:color w:val="auto"/>
        </w:rPr>
      </w:pPr>
      <w:r>
        <w:rPr>
          <w:rFonts w:ascii="Courier New" w:cs="Courier New" w:eastAsia="Courier New" w:hAnsi="Courier New"/>
          <w:sz w:val="15"/>
          <w:szCs w:val="15"/>
          <w:color w:val="auto"/>
        </w:rPr>
        <w:t>This is one of the Securities of the series designated therein referred to in the within-mentioned Indenture.</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pacing w:after="0" w:line="13" w:lineRule="exact"/>
        <w:rPr>
          <w:sz w:val="20"/>
          <w:szCs w:val="20"/>
          <w:color w:val="auto"/>
        </w:rPr>
      </w:pPr>
    </w:p>
    <w:p>
      <w:pPr>
        <w:sectPr>
          <w:pgSz w:w="11900" w:h="16838" w:orient="portrait"/>
          <w:cols w:equalWidth="0" w:num="2">
            <w:col w:w="540" w:space="720"/>
            <w:col w:w="8959"/>
          </w:cols>
          <w:pgMar w:left="240" w:top="29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CHASE BANK OF TEXAS, NATIONAL ASSOCIATION, as Trustee</w:t>
      </w:r>
    </w:p>
    <w:p>
      <w:pPr>
        <w:spacing w:after="0" w:line="200" w:lineRule="exact"/>
        <w:rPr>
          <w:sz w:val="20"/>
          <w:szCs w:val="20"/>
          <w:color w:val="auto"/>
        </w:rPr>
      </w:pPr>
    </w:p>
    <w:p>
      <w:pPr>
        <w:spacing w:after="0" w:line="324"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Authorized Signatory</w:t>
      </w:r>
    </w:p>
    <w:p>
      <w:pPr>
        <w:spacing w:after="0" w:line="200" w:lineRule="exact"/>
        <w:rPr>
          <w:sz w:val="20"/>
          <w:szCs w:val="20"/>
          <w:color w:val="auto"/>
        </w:rPr>
      </w:pP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type w:val="continuous"/>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REVERSE OF BOOK-ENTRY SECURITY</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___% SENIOR NOTE DUE 20__</w:t>
      </w:r>
    </w:p>
    <w:p>
      <w:pPr>
        <w:spacing w:after="0" w:line="351"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This Book-Entry Security is one of a duly authorized issue of Securities or other evidences of indebtedness of the Company (the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Securities. The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___% Senior Notes due 20__ of the Company, limited in aggregate principal amount to $________________.</w:t>
      </w:r>
    </w:p>
    <w:p>
      <w:pPr>
        <w:spacing w:after="0" w:line="182"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This is a Global Security issued pursuant to Section 203 of the Indenture. This is an Exchange Note and a Global Note for this series within the meaning of the Board Resolution.</w:t>
      </w:r>
    </w:p>
    <w:p>
      <w:pPr>
        <w:spacing w:after="0" w:line="175" w:lineRule="exact"/>
        <w:rPr>
          <w:sz w:val="20"/>
          <w:szCs w:val="20"/>
          <w:color w:val="auto"/>
        </w:rPr>
      </w:pPr>
    </w:p>
    <w:p>
      <w:pPr>
        <w:ind w:left="808" w:hanging="808"/>
        <w:spacing w:after="0"/>
        <w:tabs>
          <w:tab w:leader="none" w:pos="80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Waste Management, Inc., a Delaware corporation (hereinafter called the "Company," which term includes any successors under the Indenture hereinafter referred to), promises to pay interest on the principal amount of this Security at the rate of ___% per annum. To the extent it is lawful, the Company promises to pay interest on any interest payment due but unpaid on such principal amount at a rate of ___% per annum.</w:t>
      </w:r>
    </w:p>
    <w:p>
      <w:pPr>
        <w:spacing w:after="0" w:line="177"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The Company will pay interest semi-annually on May 15 and November 15 of each year (each an "Interest Payment Date"), commencing November 15, 1999. Interest on the Securities will accrue from the most recent date to which interest has been paid or, if no interest has been paid on the Securities, from May 21, 1999. Interest will be computed on the basis of a 360-day year consisting of twelve 30-day months.</w:t>
      </w:r>
    </w:p>
    <w:p>
      <w:pPr>
        <w:spacing w:after="0" w:line="176" w:lineRule="exact"/>
        <w:rPr>
          <w:sz w:val="20"/>
          <w:szCs w:val="20"/>
          <w:color w:val="auto"/>
        </w:rPr>
      </w:pPr>
    </w:p>
    <w:p>
      <w:pPr>
        <w:ind w:left="808" w:hanging="808"/>
        <w:spacing w:after="0"/>
        <w:tabs>
          <w:tab w:leader="none" w:pos="80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The Company shall pay interest on the Securities (except Defaulted Interest) to the persons who are the registered Holders at the close of business on April 30 and October 31 (the "Regular Record Date"), respectively, immediately preceding the Interest Payment Date. Any such interest not so punctually paid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referred to below. Except as provided below, the Company shall pay principal and interest in such coin or currency of the United States of America as at the time of payment shall be legal tender for payment of public and private debts ("U.S. Legal Tender"). Payments in respect of the Book-Entry Securities (including principal, premium, if any, and interest) will be made by wire transfer of immediately available funds to the accounts specified by the Depositary.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 Record Date or on the Special Record Date at their addresses set forth in the Security Register of Holders.</w:t>
      </w:r>
    </w:p>
    <w:p>
      <w:pPr>
        <w:spacing w:after="0" w:line="187" w:lineRule="exact"/>
        <w:rPr>
          <w:sz w:val="20"/>
          <w:szCs w:val="20"/>
          <w:color w:val="auto"/>
        </w:rPr>
      </w:pPr>
    </w:p>
    <w:p>
      <w:pPr>
        <w:ind w:left="808" w:hanging="808"/>
        <w:spacing w:after="0"/>
        <w:tabs>
          <w:tab w:leader="none" w:pos="80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Agent and Registrar.</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Initially, Chase Bank of Texas, National Association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6" w:lineRule="exact"/>
        <w:rPr>
          <w:sz w:val="20"/>
          <w:szCs w:val="20"/>
          <w:color w:val="auto"/>
        </w:rPr>
      </w:pPr>
    </w:p>
    <w:p>
      <w:pPr>
        <w:ind w:left="808" w:hanging="808"/>
        <w:spacing w:after="0"/>
        <w:tabs>
          <w:tab w:leader="none" w:pos="80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issued and to be issued in one or more series under the Indenture between the Company and the Trustee. Capitalized terms herein are used as defined in the Indenture unless otherwise defined herein. The terms of the Securities include those stated in the Indenture, all indentures supplemental thereto, those made part of the Indenture</w:t>
      </w:r>
    </w:p>
    <w:p>
      <w:pPr>
        <w:spacing w:after="0" w:line="350"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91" w:right="1440" w:bottom="382" w:gutter="0" w:footer="0" w:header="0"/>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by reference to the Trust Indenture Act of 1939, as amended, as in effect on the date of the Indenture, and those terms stated in the Resolutions of the Board of Directors of the Company dated [April 30, 1999] (the "Resolutions"). The Securities are subject to all such terms, and Holders of Securities are referred to the Indenture, all indentures supplemental thereto, said Act and said Resolutions for a statement of them. The Securities of this series are general unsecured obligations of the Company limited in aggregate principal amount to $250,000,000.</w:t>
      </w:r>
    </w:p>
    <w:p>
      <w:pPr>
        <w:spacing w:after="0" w:line="178" w:lineRule="exact"/>
        <w:rPr>
          <w:sz w:val="20"/>
          <w:szCs w:val="20"/>
          <w:color w:val="auto"/>
        </w:rPr>
      </w:pPr>
    </w:p>
    <w:p>
      <w:pPr>
        <w:ind w:left="808" w:hanging="808"/>
        <w:spacing w:after="0"/>
        <w:tabs>
          <w:tab w:leader="none" w:pos="80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This Security will be redeemable by the Company at any time and from time to time, in whole or in part, upon not less than 30 nor more than 60 days notice to each holder of this Security, at a redemption price equal to the Make-Whole Price. "Make-Whole Price" means an amount equal to the greater of (1) 100% of the principal amount of the Securities to be redeemed and (2) as determined by an Independent Investment Banker,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plus, in each case, accrued and unpaid interest thereon to (but not including) the date of redemption. Unless the Company defaults in payment of the redemption price, on and after the date of redemption, interest will cease to accrue on the Securities or portions thereof called for redemption.</w:t>
      </w:r>
    </w:p>
    <w:p>
      <w:pPr>
        <w:spacing w:after="0" w:line="182" w:lineRule="exact"/>
        <w:rPr>
          <w:sz w:val="20"/>
          <w:szCs w:val="20"/>
          <w:color w:val="auto"/>
        </w:rPr>
      </w:pPr>
    </w:p>
    <w:p>
      <w:pPr>
        <w:ind w:left="808" w:right="3199" w:firstLine="812"/>
        <w:spacing w:after="0" w:line="244" w:lineRule="auto"/>
        <w:rPr>
          <w:sz w:val="20"/>
          <w:szCs w:val="20"/>
          <w:color w:val="auto"/>
        </w:rPr>
      </w:pPr>
      <w:r>
        <w:rPr>
          <w:rFonts w:ascii="Courier New" w:cs="Courier New" w:eastAsia="Courier New" w:hAnsi="Courier New"/>
          <w:sz w:val="15"/>
          <w:szCs w:val="15"/>
          <w:color w:val="auto"/>
        </w:rPr>
        <w:t>"Adjusted Treasury Rate" means, with respect to any date of redemption, the rate per annum equal to the semi-annual yield to maturity of the Comparable Treasury Issue, assuming a price for the Comparable Treasury Issue (expressed as a percentage of its principal amount) equal to the Comparable Treasury Price for such date of redemption, plus 0.30%.</w:t>
      </w:r>
    </w:p>
    <w:p>
      <w:pPr>
        <w:spacing w:after="0" w:line="177" w:lineRule="exact"/>
        <w:rPr>
          <w:sz w:val="20"/>
          <w:szCs w:val="20"/>
          <w:color w:val="auto"/>
        </w:rPr>
      </w:pPr>
    </w:p>
    <w:p>
      <w:pPr>
        <w:ind w:left="808" w:right="3099" w:firstLine="812"/>
        <w:spacing w:after="0" w:line="244"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the Independent Investment Banker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the Securities.</w:t>
      </w:r>
    </w:p>
    <w:p>
      <w:pPr>
        <w:spacing w:after="0" w:line="178" w:lineRule="exact"/>
        <w:rPr>
          <w:sz w:val="20"/>
          <w:szCs w:val="20"/>
          <w:color w:val="auto"/>
        </w:rPr>
      </w:pPr>
    </w:p>
    <w:p>
      <w:pPr>
        <w:ind w:left="808" w:right="3019" w:firstLine="812"/>
        <w:spacing w:after="0" w:line="244" w:lineRule="auto"/>
        <w:rPr>
          <w:sz w:val="20"/>
          <w:szCs w:val="20"/>
          <w:color w:val="auto"/>
        </w:rPr>
      </w:pPr>
      <w:r>
        <w:rPr>
          <w:rFonts w:ascii="Courier New" w:cs="Courier New" w:eastAsia="Courier New" w:hAnsi="Courier New"/>
          <w:sz w:val="15"/>
          <w:szCs w:val="15"/>
          <w:color w:val="auto"/>
        </w:rPr>
        <w:t>"Comparable Treasury Price" means, with respect to any date of redemption, (1) 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(2)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 (B) if the Trustee obtains fewer than three such Reference Treasury Dealer Quotations, the average of all such Reference Treasury Dealer Quotations.</w:t>
      </w:r>
    </w:p>
    <w:p>
      <w:pPr>
        <w:spacing w:after="0" w:line="182" w:lineRule="exact"/>
        <w:rPr>
          <w:sz w:val="20"/>
          <w:szCs w:val="20"/>
          <w:color w:val="auto"/>
        </w:rPr>
      </w:pPr>
    </w:p>
    <w:p>
      <w:pPr>
        <w:ind w:left="808" w:right="3199" w:firstLine="812"/>
        <w:spacing w:after="0" w:line="244"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the Company.</w:t>
      </w:r>
    </w:p>
    <w:p>
      <w:pPr>
        <w:spacing w:after="0" w:line="175" w:lineRule="exact"/>
        <w:rPr>
          <w:sz w:val="20"/>
          <w:szCs w:val="20"/>
          <w:color w:val="auto"/>
        </w:rPr>
      </w:pPr>
    </w:p>
    <w:p>
      <w:pPr>
        <w:ind w:left="808" w:right="3099" w:firstLine="812"/>
        <w:spacing w:after="0" w:line="244" w:lineRule="auto"/>
        <w:rPr>
          <w:sz w:val="20"/>
          <w:szCs w:val="20"/>
          <w:color w:val="auto"/>
        </w:rPr>
      </w:pPr>
      <w:r>
        <w:rPr>
          <w:rFonts w:ascii="Courier New" w:cs="Courier New" w:eastAsia="Courier New" w:hAnsi="Courier New"/>
          <w:sz w:val="15"/>
          <w:szCs w:val="15"/>
          <w:color w:val="auto"/>
        </w:rPr>
        <w:t>"Reference Treasury Dealer" means each of Donaldson, Lufkin &amp; Jenrette Securities Corporation; Banc of America Securities LLC; Chase Securities Inc.; J. P. Morgan Securities Inc.; Credit Suisse First Boston Corporation; Deutsche Bank Securities Inc.; and Salomon Smith Barney Inc., and their respective successors; provided, however, that if any of the foregoing shall not be a primary U.S. Government securities dealer in New York City (a "Primary Treasury Dealer"), the Company shall substitute therefor another Primary Treasury Dealer.</w:t>
      </w:r>
    </w:p>
    <w:p>
      <w:pPr>
        <w:spacing w:after="0" w:line="178" w:lineRule="exact"/>
        <w:rPr>
          <w:sz w:val="20"/>
          <w:szCs w:val="20"/>
          <w:color w:val="auto"/>
        </w:rPr>
      </w:pPr>
    </w:p>
    <w:p>
      <w:pPr>
        <w:ind w:left="808" w:right="3019" w:firstLine="812"/>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78"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In the case of a partial redemption, the Company or the Trustee shall select the Securities or portions thereof for redemption by such method as the Company or the Trustee shall deem fair and appropriate. The Securities may be redeemed in part in multiples of $1,000 only.</w:t>
      </w:r>
    </w:p>
    <w:p>
      <w:pPr>
        <w:spacing w:after="0" w:line="176" w:lineRule="exact"/>
        <w:rPr>
          <w:sz w:val="20"/>
          <w:szCs w:val="20"/>
          <w:color w:val="auto"/>
        </w:rPr>
      </w:pPr>
    </w:p>
    <w:p>
      <w:pPr>
        <w:ind w:left="8" w:right="3739" w:firstLine="811"/>
        <w:spacing w:after="0" w:line="243" w:lineRule="auto"/>
        <w:rPr>
          <w:sz w:val="20"/>
          <w:szCs w:val="20"/>
          <w:color w:val="auto"/>
        </w:rPr>
      </w:pPr>
      <w:r>
        <w:rPr>
          <w:rFonts w:ascii="Courier New" w:cs="Courier New" w:eastAsia="Courier New" w:hAnsi="Courier New"/>
          <w:sz w:val="15"/>
          <w:szCs w:val="15"/>
          <w:color w:val="auto"/>
        </w:rPr>
        <w:t>Any such redemption will also comply with Article Eleven of the Indenture.</w:t>
      </w:r>
    </w:p>
    <w:p>
      <w:pPr>
        <w:spacing w:after="0" w:line="176"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Notice of redemption will be given in the manner provided in the Indenture to the Holders of Securities to be redeemed not less than 30 days and not more than 60 days prior to the Redemption Date.</w:t>
      </w:r>
    </w:p>
    <w:p>
      <w:pPr>
        <w:sectPr>
          <w:pgSz w:w="11900" w:h="16838" w:orient="portrait"/>
          <w:cols w:equalWidth="0" w:num="1">
            <w:col w:w="10227"/>
          </w:cols>
          <w:pgMar w:left="232" w:top="291" w:right="1440" w:bottom="0" w:gutter="0" w:footer="0" w:header="0"/>
        </w:sectPr>
      </w:pPr>
    </w:p>
    <w:bookmarkStart w:id="69" w:name="page70"/>
    <w:bookmarkEnd w:id="69"/>
    <w:p>
      <w:pPr>
        <w:ind w:left="24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9019"/>
          </w:cols>
          <w:pgMar w:left="1440" w:top="315" w:right="1440" w:bottom="1440" w:gutter="0" w:footer="0" w:header="0"/>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4"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Make-Whole Price and, except as set forth in the Indenture, from and after such Redemption Date (unless the Company shall default in the payment of the Make-Whole Price), the Securities called for redemption will cease to bear interest and the only right of the Holders of such Securities will be to receive payment of the Make-Whole Price.</w:t>
      </w:r>
    </w:p>
    <w:p>
      <w:pPr>
        <w:spacing w:after="0" w:line="177" w:lineRule="exact"/>
        <w:rPr>
          <w:sz w:val="20"/>
          <w:szCs w:val="20"/>
          <w:color w:val="auto"/>
        </w:rPr>
      </w:pPr>
    </w:p>
    <w:p>
      <w:pPr>
        <w:ind w:left="808" w:hanging="808"/>
        <w:spacing w:after="0"/>
        <w:tabs>
          <w:tab w:leader="none" w:pos="80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Denominations; Transfer; Exchange.</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The Securities are issued in registered form, without coupons, in denominations of $1,000 and integral multiples of $1,000 in excess thereof. A Holder may register the transfer or exchange of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6" w:lineRule="exact"/>
        <w:rPr>
          <w:sz w:val="20"/>
          <w:szCs w:val="20"/>
          <w:color w:val="auto"/>
        </w:rPr>
      </w:pPr>
    </w:p>
    <w:p>
      <w:pPr>
        <w:ind w:left="808" w:hanging="808"/>
        <w:spacing w:after="0"/>
        <w:tabs>
          <w:tab w:leader="none" w:pos="80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Deemed Owners.</w:t>
      </w:r>
    </w:p>
    <w:p>
      <w:pPr>
        <w:spacing w:after="0" w:line="178" w:lineRule="exact"/>
        <w:rPr>
          <w:sz w:val="20"/>
          <w:szCs w:val="20"/>
          <w:color w:val="auto"/>
        </w:rPr>
      </w:pPr>
    </w:p>
    <w:p>
      <w:pPr>
        <w:ind w:left="8" w:right="3199" w:firstLine="811"/>
        <w:spacing w:after="0" w:line="243" w:lineRule="auto"/>
        <w:rPr>
          <w:sz w:val="20"/>
          <w:szCs w:val="20"/>
          <w:color w:val="auto"/>
        </w:rPr>
      </w:pPr>
      <w:r>
        <w:rPr>
          <w:rFonts w:ascii="Courier New" w:cs="Courier New" w:eastAsia="Courier New" w:hAnsi="Courier New"/>
          <w:sz w:val="15"/>
          <w:szCs w:val="15"/>
          <w:color w:val="auto"/>
        </w:rPr>
        <w:t>The registered Holder of a Security may be treated as the owner of it for all purposes.</w:t>
      </w:r>
    </w:p>
    <w:p>
      <w:pPr>
        <w:spacing w:after="0" w:line="175" w:lineRule="exact"/>
        <w:rPr>
          <w:sz w:val="20"/>
          <w:szCs w:val="20"/>
          <w:color w:val="auto"/>
        </w:rPr>
      </w:pPr>
    </w:p>
    <w:p>
      <w:pPr>
        <w:ind w:left="808" w:hanging="808"/>
        <w:spacing w:after="0"/>
        <w:tabs>
          <w:tab w:leader="none" w:pos="80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Supplement; Waiver.</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Subject to certain exceptions, the Indenture or the Securities may be amended or supplemented, and any existing Event of Default or compliance with any provision may be waived, with the written consent of the Holders of a majority in aggregate principal amount of the Securities then outstanding. Without notice to or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808" w:hanging="808"/>
        <w:spacing w:after="0"/>
        <w:tabs>
          <w:tab w:leader="none" w:pos="80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If an Event of Default occurs and is continuing, then in every such case, the Trustee or the Holders of 25% in aggregate principal amount of the Securities then outstanding may declare the principal amount of all the Securities to be due and payable immediately in the manner and with the effect provided in the Indenture. Notwithstanding the preceding sentence, however, if at any time after the unpaid principal amount of the Securities shall have been so declared due and payable and before any judgment or decree for the payment of the moneys due shall have been obtained or entered as hereinafter provided, the Company shall pay or shall deposit with the Trustee a sum sufficient to pay all overdue installments of interest, if any, upon all of the Securities and the principal of any and all Securities which shall have become due otherwise than by acceleration and any interest thereon at the rate prescribed therefor herein and, to the extent that payment of such interest is lawful, interest upon overdue interest at the rate prescribed therefor herein, as well as the reasonable compensation, disbursements, expenses and advances of the Trustee, and any and all defaults under the Indenture, other than the nonpayment of such portion of the principal amount of and accrued interest, if any, on such Securities which shall become due by acceleration, shall have been cured or shall have been waived or provision deemed by the Trustee to be adequate shall have been made therefor -- then in every such case the Holders of a majority in aggregate principal amount of the Securities then Outstanding, by written notice to the Company and to the Trustee, may rescind and annul such declaration and its consequences; but no such rescission and annulment shall extend to or shall affect any subsequent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92" w:lineRule="exact"/>
        <w:rPr>
          <w:sz w:val="20"/>
          <w:szCs w:val="20"/>
          <w:color w:val="auto"/>
        </w:rPr>
      </w:pPr>
    </w:p>
    <w:p>
      <w:pPr>
        <w:ind w:left="808" w:hanging="808"/>
        <w:spacing w:after="0"/>
        <w:tabs>
          <w:tab w:leader="none" w:pos="80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Trustee Dealings with Company.</w:t>
      </w:r>
    </w:p>
    <w:p>
      <w:pPr>
        <w:spacing w:after="0" w:line="178" w:lineRule="exact"/>
        <w:rPr>
          <w:sz w:val="20"/>
          <w:szCs w:val="20"/>
          <w:color w:val="auto"/>
        </w:rPr>
      </w:pPr>
    </w:p>
    <w:p>
      <w:pPr>
        <w:ind w:left="8" w:right="3019" w:firstLine="811"/>
        <w:spacing w:after="0" w:line="267" w:lineRule="auto"/>
        <w:rPr>
          <w:sz w:val="20"/>
          <w:szCs w:val="20"/>
          <w:color w:val="auto"/>
        </w:rPr>
      </w:pPr>
      <w:r>
        <w:rPr>
          <w:rFonts w:ascii="Courier New" w:cs="Courier New" w:eastAsia="Courier New" w:hAnsi="Courier New"/>
          <w:sz w:val="14"/>
          <w:szCs w:val="14"/>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334"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291" w:right="1440" w:bottom="1440" w:gutter="0" w:footer="0" w:header="0"/>
        </w:sectPr>
      </w:pPr>
    </w:p>
    <w:bookmarkStart w:id="71" w:name="page72"/>
    <w:bookmarkEnd w:id="71"/>
    <w:p>
      <w:pPr>
        <w:ind w:left="268"/>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8" w:hanging="808"/>
        <w:spacing w:after="0"/>
        <w:tabs>
          <w:tab w:leader="none" w:pos="80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Authentication.</w:t>
      </w:r>
    </w:p>
    <w:p>
      <w:pPr>
        <w:spacing w:after="0" w:line="178" w:lineRule="exact"/>
        <w:rPr>
          <w:sz w:val="20"/>
          <w:szCs w:val="20"/>
          <w:color w:val="auto"/>
        </w:rPr>
      </w:pPr>
    </w:p>
    <w:p>
      <w:pPr>
        <w:ind w:left="8" w:right="3279" w:firstLine="811"/>
        <w:spacing w:after="0" w:line="244" w:lineRule="auto"/>
        <w:rPr>
          <w:sz w:val="20"/>
          <w:szCs w:val="20"/>
          <w:color w:val="auto"/>
        </w:rPr>
      </w:pPr>
      <w:r>
        <w:rPr>
          <w:rFonts w:ascii="Courier New" w:cs="Courier New" w:eastAsia="Courier New" w:hAnsi="Courier New"/>
          <w:sz w:val="15"/>
          <w:szCs w:val="15"/>
          <w:color w:val="auto"/>
        </w:rPr>
        <w:t>This Security shall not be valid until the Trustee or authenticating agent signs the certificate of authentication on the other side of this Security.</w:t>
      </w:r>
    </w:p>
    <w:p>
      <w:pPr>
        <w:spacing w:after="0" w:line="175" w:lineRule="exact"/>
        <w:rPr>
          <w:sz w:val="20"/>
          <w:szCs w:val="20"/>
          <w:color w:val="auto"/>
        </w:rPr>
      </w:pPr>
    </w:p>
    <w:p>
      <w:pPr>
        <w:ind w:left="808" w:hanging="808"/>
        <w:spacing w:after="0"/>
        <w:tabs>
          <w:tab w:leader="none" w:pos="80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Abbreviations and Defined Terms.</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6" w:lineRule="exact"/>
        <w:rPr>
          <w:sz w:val="20"/>
          <w:szCs w:val="20"/>
          <w:color w:val="auto"/>
        </w:rPr>
      </w:pPr>
    </w:p>
    <w:p>
      <w:pPr>
        <w:ind w:left="808" w:hanging="808"/>
        <w:spacing w:after="0"/>
        <w:tabs>
          <w:tab w:leader="none" w:pos="80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CUSIP Numbers.</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Pursuant to a recommendation promulgated by the Committee on Uniform Note Identification Procedures, the Company will cause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6" w:lineRule="exact"/>
        <w:rPr>
          <w:sz w:val="20"/>
          <w:szCs w:val="20"/>
          <w:color w:val="auto"/>
        </w:rPr>
      </w:pPr>
    </w:p>
    <w:p>
      <w:pPr>
        <w:ind w:left="808" w:hanging="808"/>
        <w:spacing w:after="0"/>
        <w:tabs>
          <w:tab w:leader="none" w:pos="80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Absolute Obligation.</w:t>
      </w:r>
    </w:p>
    <w:p>
      <w:pPr>
        <w:spacing w:after="0" w:line="178" w:lineRule="exact"/>
        <w:rPr>
          <w:sz w:val="20"/>
          <w:szCs w:val="20"/>
          <w:color w:val="auto"/>
        </w:rPr>
      </w:pPr>
    </w:p>
    <w:p>
      <w:pPr>
        <w:ind w:left="8" w:right="3099" w:firstLine="811"/>
        <w:spacing w:after="0" w:line="244" w:lineRule="auto"/>
        <w:rPr>
          <w:sz w:val="20"/>
          <w:szCs w:val="20"/>
          <w:color w:val="auto"/>
        </w:rPr>
      </w:pPr>
      <w:r>
        <w:rPr>
          <w:rFonts w:ascii="Courier New" w:cs="Courier New" w:eastAsia="Courier New" w:hAnsi="Courier New"/>
          <w:sz w:val="15"/>
          <w:szCs w:val="15"/>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176" w:lineRule="exact"/>
        <w:rPr>
          <w:sz w:val="20"/>
          <w:szCs w:val="20"/>
          <w:color w:val="auto"/>
        </w:rPr>
      </w:pPr>
    </w:p>
    <w:p>
      <w:pPr>
        <w:ind w:left="808" w:hanging="808"/>
        <w:spacing w:after="0"/>
        <w:tabs>
          <w:tab w:leader="none" w:pos="80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Recourse.</w:t>
      </w:r>
    </w:p>
    <w:p>
      <w:pPr>
        <w:spacing w:after="0" w:line="178"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78" w:lineRule="exact"/>
        <w:rPr>
          <w:sz w:val="20"/>
          <w:szCs w:val="20"/>
          <w:color w:val="auto"/>
        </w:rPr>
      </w:pPr>
    </w:p>
    <w:p>
      <w:pPr>
        <w:ind w:left="808" w:hanging="808"/>
        <w:spacing w:after="0"/>
        <w:tabs>
          <w:tab w:leader="none" w:pos="80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8" w:lineRule="exact"/>
        <w:rPr>
          <w:sz w:val="20"/>
          <w:szCs w:val="20"/>
          <w:color w:val="auto"/>
        </w:rPr>
      </w:pPr>
    </w:p>
    <w:p>
      <w:pPr>
        <w:ind w:left="8" w:right="3019" w:firstLine="811"/>
        <w:spacing w:after="0" w:line="243" w:lineRule="auto"/>
        <w:rPr>
          <w:sz w:val="20"/>
          <w:szCs w:val="20"/>
          <w:color w:val="auto"/>
        </w:rPr>
      </w:pPr>
      <w:r>
        <w:rPr>
          <w:rFonts w:ascii="Courier New" w:cs="Courier New" w:eastAsia="Courier New" w:hAnsi="Courier New"/>
          <w:sz w:val="15"/>
          <w:szCs w:val="15"/>
          <w:color w:val="auto"/>
        </w:rPr>
        <w:t>This Security shall be construed in accordance with and governed by the laws of the State of New York.</w:t>
      </w:r>
    </w:p>
    <w:p>
      <w:pPr>
        <w:spacing w:after="0" w:line="349"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91" w:right="1440" w:bottom="1440" w:gutter="0" w:footer="0" w:header="0"/>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4"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ABBREVIATIONS</w:t>
      </w:r>
    </w:p>
    <w:p>
      <w:pPr>
        <w:spacing w:after="0" w:line="178" w:lineRule="exact"/>
        <w:rPr>
          <w:sz w:val="20"/>
          <w:szCs w:val="20"/>
          <w:color w:val="auto"/>
        </w:rPr>
      </w:pPr>
    </w:p>
    <w:p>
      <w:pPr>
        <w:ind w:left="8" w:right="3199" w:firstLine="811"/>
        <w:spacing w:after="0" w:line="244"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Security, shall be construed as though they were written out in full according to applicable laws or regulations:</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UNIF Gift Min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5"/>
          <w:szCs w:val="15"/>
          <w:color w:val="auto"/>
        </w:rPr>
        <w:t>Custodian</w:t>
      </w:r>
    </w:p>
    <w:p>
      <w:pPr>
        <w:spacing w:after="0" w:line="4" w:lineRule="exact"/>
        <w:rPr>
          <w:sz w:val="20"/>
          <w:szCs w:val="20"/>
          <w:color w:val="auto"/>
        </w:rPr>
      </w:pPr>
    </w:p>
    <w:p>
      <w:pPr>
        <w:sectPr>
          <w:pgSz w:w="11900" w:h="16838" w:orient="portrait"/>
          <w:cols w:equalWidth="0" w:num="4">
            <w:col w:w="908" w:space="720"/>
            <w:col w:w="2440" w:space="720"/>
            <w:col w:w="2420" w:space="720"/>
            <w:col w:w="2299"/>
          </w:cols>
          <w:pgMar w:left="232" w:top="291" w:right="1440" w:bottom="1440" w:gutter="0" w:footer="0" w:header="0"/>
          <w:type w:val="continuous"/>
        </w:sectPr>
      </w:pPr>
    </w:p>
    <w:p>
      <w:pPr>
        <w:ind w:left="64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6588"/>
        <w:spacing w:after="0"/>
        <w:rPr>
          <w:sz w:val="20"/>
          <w:szCs w:val="20"/>
          <w:color w:val="auto"/>
        </w:rPr>
      </w:pPr>
      <w:r>
        <w:rPr>
          <w:rFonts w:ascii="Courier New" w:cs="Courier New" w:eastAsia="Courier New" w:hAnsi="Courier New"/>
          <w:sz w:val="15"/>
          <w:szCs w:val="15"/>
          <w:color w:val="auto"/>
        </w:rPr>
        <w:t>(Cus)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(Minor)</w:t>
      </w:r>
    </w:p>
    <w:p>
      <w:pPr>
        <w:spacing w:after="0" w:line="177" w:lineRule="exact"/>
        <w:rPr>
          <w:sz w:val="20"/>
          <w:szCs w:val="20"/>
          <w:color w:val="auto"/>
        </w:rPr>
      </w:pPr>
    </w:p>
    <w:p>
      <w:pPr>
        <w:sectPr>
          <w:pgSz w:w="11900" w:h="16838" w:orient="portrait"/>
          <w:cols w:equalWidth="0" w:num="2">
            <w:col w:w="8208" w:space="720"/>
            <w:col w:w="1299"/>
          </w:cols>
          <w:pgMar w:left="232" w:top="291"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as tenants by the entireties</w:t>
      </w:r>
    </w:p>
    <w:p>
      <w:pPr>
        <w:spacing w:after="0" w:line="188" w:lineRule="exact"/>
        <w:rPr>
          <w:sz w:val="20"/>
          <w:szCs w:val="20"/>
          <w:color w:val="auto"/>
        </w:rPr>
      </w:pPr>
    </w:p>
    <w:p>
      <w:pPr>
        <w:sectPr>
          <w:pgSz w:w="11900" w:h="16838" w:orient="portrait"/>
          <w:cols w:equalWidth="0" w:num="2">
            <w:col w:w="908" w:space="720"/>
            <w:col w:w="8599"/>
          </w:cols>
          <w:pgMar w:left="232" w:top="29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JT TEN</w:t>
      </w:r>
    </w:p>
    <w:p>
      <w:pPr>
        <w:spacing w:after="0" w:line="20" w:lineRule="exact"/>
        <w:rPr>
          <w:sz w:val="20"/>
          <w:szCs w:val="20"/>
          <w:color w:val="auto"/>
        </w:rPr>
      </w:pPr>
      <w:r>
        <w:rPr>
          <w:sz w:val="20"/>
          <w:szCs w:val="20"/>
          <w:color w:val="auto"/>
        </w:rPr>
        <w:br w:type="column"/>
      </w:r>
    </w:p>
    <w:p>
      <w:pPr>
        <w:ind w:right="200"/>
        <w:spacing w:after="0" w:line="262" w:lineRule="auto"/>
        <w:rPr>
          <w:sz w:val="20"/>
          <w:szCs w:val="20"/>
          <w:color w:val="auto"/>
        </w:rPr>
      </w:pPr>
      <w:r>
        <w:rPr>
          <w:rFonts w:ascii="Courier New" w:cs="Courier New" w:eastAsia="Courier New" w:hAnsi="Courier New"/>
          <w:sz w:val="14"/>
          <w:szCs w:val="14"/>
          <w:color w:val="auto"/>
        </w:rPr>
        <w:t>joint tenants with rights of survivorship and not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Under Uniform Gifts to Minors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w:t>
      </w:r>
    </w:p>
    <w:p>
      <w:pPr>
        <w:spacing w:after="0" w:line="4" w:lineRule="exact"/>
        <w:rPr>
          <w:sz w:val="20"/>
          <w:szCs w:val="20"/>
          <w:color w:val="auto"/>
        </w:rPr>
      </w:pPr>
    </w:p>
    <w:p>
      <w:pPr>
        <w:sectPr>
          <w:pgSz w:w="11900" w:h="16838" w:orient="portrait"/>
          <w:cols w:equalWidth="0" w:num="3">
            <w:col w:w="908" w:space="720"/>
            <w:col w:w="2440" w:space="720"/>
            <w:col w:w="5439"/>
          </w:cols>
          <w:pgMar w:left="232" w:top="291" w:right="1440" w:bottom="1440" w:gutter="0" w:footer="0" w:header="0"/>
          <w:type w:val="continuous"/>
        </w:sectPr>
      </w:pPr>
    </w:p>
    <w:p>
      <w:pPr>
        <w:ind w:left="1628"/>
        <w:spacing w:after="0"/>
        <w:rPr>
          <w:sz w:val="20"/>
          <w:szCs w:val="20"/>
          <w:color w:val="auto"/>
        </w:rPr>
      </w:pPr>
      <w:r>
        <w:rPr>
          <w:rFonts w:ascii="Courier New" w:cs="Courier New" w:eastAsia="Courier New" w:hAnsi="Courier New"/>
          <w:sz w:val="14"/>
          <w:szCs w:val="14"/>
          <w:color w:val="auto"/>
        </w:rPr>
        <w:t>tenants in 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28" w:space="720"/>
            <w:col w:w="5079"/>
          </w:cols>
          <w:pgMar w:left="232" w:top="291" w:right="1440" w:bottom="1440" w:gutter="0" w:footer="0" w:header="0"/>
          <w:type w:val="continuous"/>
        </w:sectPr>
      </w:pPr>
    </w:p>
    <w:p>
      <w:pPr>
        <w:spacing w:after="0" w:line="161"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177"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FORM OF TRANSFER</w:t>
      </w:r>
    </w:p>
    <w:p>
      <w:pPr>
        <w:spacing w:after="0" w:line="177"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FOR VALUE RECEIVED, the undersigned hereby sells, assigns and transfers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unto</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INSERT SOCIAL SECURITY OR OTHER IDENTIFYING NUMBER OF ASSIGNEE</w:t>
      </w:r>
    </w:p>
    <w:p>
      <w:pPr>
        <w:spacing w:after="0" w:line="177"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0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or typewrite name and address of assignee)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within Security and does hereby irrevocably constitute and appoint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 Attorney to transfer the said Security in the</w:t>
      </w:r>
    </w:p>
    <w:p>
      <w:pPr>
        <w:spacing w:after="0" w:line="4" w:lineRule="exact"/>
        <w:rPr>
          <w:sz w:val="20"/>
          <w:szCs w:val="20"/>
          <w:color w:val="auto"/>
        </w:rPr>
      </w:pPr>
    </w:p>
    <w:p>
      <w:pPr>
        <w:ind w:left="8" w:right="3199"/>
        <w:spacing w:after="0" w:line="243" w:lineRule="auto"/>
        <w:rPr>
          <w:sz w:val="20"/>
          <w:szCs w:val="20"/>
          <w:color w:val="auto"/>
        </w:rPr>
      </w:pPr>
      <w:r>
        <w:rPr>
          <w:rFonts w:ascii="Courier New" w:cs="Courier New" w:eastAsia="Courier New" w:hAnsi="Courier New"/>
          <w:sz w:val="15"/>
          <w:szCs w:val="15"/>
          <w:color w:val="auto"/>
        </w:rPr>
        <w:t>Security Register of the within-named Company, with full power of substitution in the premises.</w:t>
      </w:r>
    </w:p>
    <w:p>
      <w:pPr>
        <w:spacing w:after="0" w:line="175"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NOTICE: The signature to this assignment</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must correspond with the name as written</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upon the face of this Security in every</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particular without alteration or enlargement</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or any change whatever.</w:t>
      </w:r>
    </w:p>
    <w:p>
      <w:pPr>
        <w:spacing w:after="0" w:line="200" w:lineRule="exact"/>
        <w:rPr>
          <w:sz w:val="20"/>
          <w:szCs w:val="20"/>
          <w:color w:val="auto"/>
        </w:rPr>
      </w:pPr>
    </w:p>
    <w:p>
      <w:pPr>
        <w:spacing w:after="0" w:line="324" w:lineRule="exact"/>
        <w:rPr>
          <w:sz w:val="20"/>
          <w:szCs w:val="20"/>
          <w:color w:val="auto"/>
        </w:rPr>
      </w:pPr>
    </w:p>
    <w:p>
      <w:pPr>
        <w:ind w:left="188" w:hanging="188"/>
        <w:spacing w:after="0"/>
        <w:tabs>
          <w:tab w:leader="none" w:pos="18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 w:right="635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GUARANTEED: The signature must be guaranteed by a commercial bank or trust company or by a member firm of the New York Stock Exchange or another national Securities exchange. Notarized or witnessed signatures are not acceptable.</w:t>
      </w:r>
    </w:p>
    <w:p>
      <w:pPr>
        <w:spacing w:after="0" w:line="350"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PAYMENT INSTRUCTIONS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assignee should include the following for purposes of payment:</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Payments shall be made, by wire transfer or otherwise, in immediately available funds to ______________________________________________________ for the account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___________________________________________________________, account number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 or if mailed by check, ____________________________________.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Applicable reports and statements should be mailed to __________________________</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 This information is provided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 the assignee named above,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_____________________________________________________________, its agent.</w:t>
      </w:r>
    </w:p>
    <w:p>
      <w:pPr>
        <w:spacing w:after="0" w:line="35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91" w:right="1440" w:bottom="1440" w:gutter="0" w:footer="0" w:header="0"/>
          <w:type w:val="continuous"/>
        </w:sectPr>
      </w:pPr>
    </w:p>
    <w:bookmarkStart w:id="73" w:name="page74"/>
    <w:bookmarkEnd w:id="73"/>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ind w:left="6228"/>
        <w:spacing w:after="0"/>
        <w:rPr>
          <w:sz w:val="20"/>
          <w:szCs w:val="20"/>
          <w:color w:val="auto"/>
        </w:rPr>
      </w:pPr>
      <w:r>
        <w:rPr>
          <w:rFonts w:ascii="Courier New" w:cs="Courier New" w:eastAsia="Courier New" w:hAnsi="Courier New"/>
          <w:sz w:val="15"/>
          <w:szCs w:val="15"/>
          <w:color w:val="auto"/>
        </w:rPr>
        <w:t>EXHIBIT 4.4</w:t>
      </w:r>
    </w:p>
    <w:p>
      <w:pPr>
        <w:spacing w:after="0" w:line="4" w:lineRule="exact"/>
        <w:rPr>
          <w:sz w:val="20"/>
          <w:szCs w:val="20"/>
          <w:color w:val="auto"/>
        </w:rPr>
      </w:pPr>
    </w:p>
    <w:p>
      <w:pPr>
        <w:ind w:left="188" w:hanging="188"/>
        <w:spacing w:after="0"/>
        <w:tabs>
          <w:tab w:leader="none" w:pos="18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30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A/B EXCHANGE</w:t>
      </w:r>
    </w:p>
    <w:p>
      <w:pPr>
        <w:spacing w:after="0" w:line="3"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REGISTRATION RIGHTS AGREEMENT</w:t>
      </w:r>
    </w:p>
    <w:p>
      <w:pPr>
        <w:spacing w:after="0" w:line="350"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Dated as of May 21, 1999</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by and among</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WASTE MANAGEMENT HOLDINGS, INC.</w:t>
      </w:r>
    </w:p>
    <w:p>
      <w:pPr>
        <w:spacing w:after="0" w:line="177"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SECURITIES CORPORATION</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BANC OF AMERICA SECURITIES LLC</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CHASE SECURITIES INC.</w:t>
      </w:r>
    </w:p>
    <w:p>
      <w:pPr>
        <w:spacing w:after="0" w:line="3"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J.P. MORGAN &amp; CO.</w:t>
      </w:r>
    </w:p>
    <w:p>
      <w:pPr>
        <w:spacing w:after="0" w:line="3"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CREDIT SUISSE FIRST BOSTON</w:t>
      </w:r>
    </w:p>
    <w:p>
      <w:pPr>
        <w:spacing w:after="0" w:line="3"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DEUTSCHE BANK SECURITIES INC.</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SALOMON SMITH BARNEY</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141" w:right="1440" w:bottom="1440" w:gutter="0" w:footer="0" w:header="0"/>
        </w:sectPr>
      </w:pPr>
    </w:p>
    <w:bookmarkStart w:id="74" w:name="page75"/>
    <w:bookmarkEnd w:id="74"/>
    <w:p>
      <w:pPr>
        <w:ind w:left="268"/>
        <w:spacing w:after="0"/>
        <w:rPr>
          <w:sz w:val="20"/>
          <w:szCs w:val="20"/>
          <w:color w:val="auto"/>
        </w:rPr>
      </w:pPr>
      <w:r>
        <w:rPr>
          <w:rFonts w:ascii="Courier New" w:cs="Courier New" w:eastAsia="Courier New" w:hAnsi="Courier New"/>
          <w:sz w:val="15"/>
          <w:szCs w:val="15"/>
          <w:color w:val="auto"/>
        </w:rPr>
        <w:t>2</w:t>
      </w:r>
    </w:p>
    <w:p>
      <w:pPr>
        <w:spacing w:after="0" w:line="351" w:lineRule="exact"/>
        <w:rPr>
          <w:sz w:val="20"/>
          <w:szCs w:val="20"/>
          <w:color w:val="auto"/>
        </w:rPr>
      </w:pPr>
    </w:p>
    <w:p>
      <w:pPr>
        <w:ind w:left="8" w:right="3019" w:firstLine="992"/>
        <w:spacing w:after="0" w:line="244" w:lineRule="auto"/>
        <w:rPr>
          <w:sz w:val="20"/>
          <w:szCs w:val="20"/>
          <w:color w:val="auto"/>
        </w:rPr>
      </w:pPr>
      <w:r>
        <w:rPr>
          <w:rFonts w:ascii="Courier New" w:cs="Courier New" w:eastAsia="Courier New" w:hAnsi="Courier New"/>
          <w:sz w:val="15"/>
          <w:szCs w:val="15"/>
          <w:color w:val="auto"/>
        </w:rPr>
        <w:t>This Registration Rights Agreement (the "AGREEMENT") is made and entered into as of May 21, 1999, by and among Waste Management, Inc., a Delaware corporation (the "COMPANY"), Waste Management Holdings, Inc. (the "GUARANTOR") and Donaldson, Lufkin &amp; Jenrette Securities Corporation, Banc of America Securities LLC, Chase Securities Inc., J.P. Morgan &amp; Co., Credit Suisse First Boston, Deutsche Bank Securities Inc. and Salomon Smith Barney (each an "INITIAL PURCHASER" and, collectively, the "INITIAL PURCHASERS"), each of whom has agreed to purchase the Company's 6% Senior Notes due 2001, 6-1/2% Senior Notes due 2004, 6-7/8% Senior Notes due 2009 and 7-3/8% Senior Notes due 2029 (collectively, the "NOTES") pursuant to the Purchase Agreement (as defined below).</w:t>
      </w:r>
    </w:p>
    <w:p>
      <w:pPr>
        <w:spacing w:after="0" w:line="180" w:lineRule="exact"/>
        <w:rPr>
          <w:sz w:val="20"/>
          <w:szCs w:val="20"/>
          <w:color w:val="auto"/>
        </w:rPr>
      </w:pPr>
    </w:p>
    <w:p>
      <w:pPr>
        <w:ind w:left="8" w:right="3099" w:firstLine="992"/>
        <w:spacing w:after="0" w:line="244" w:lineRule="auto"/>
        <w:rPr>
          <w:sz w:val="20"/>
          <w:szCs w:val="20"/>
          <w:color w:val="auto"/>
        </w:rPr>
      </w:pPr>
      <w:r>
        <w:rPr>
          <w:rFonts w:ascii="Courier New" w:cs="Courier New" w:eastAsia="Courier New" w:hAnsi="Courier New"/>
          <w:sz w:val="15"/>
          <w:szCs w:val="15"/>
          <w:color w:val="auto"/>
        </w:rPr>
        <w:t>This Agreement is made pursuant to the Purchase Agreement, dated May 18, 1999, (the "PURCHASE AGREEMENT"), by and among the Company, the Guarantor and the Initial Purchasers. In order to induce the Initial Purchasers to purchase the Notes, the Company and the Guarantor have agreed to provide the registration rights set forth in this Agreement. The execution and delivery of this Agreement is a condition to the obligations of the Initial Purchasers set forth in Section 2 of the Purchase Agreement. Capitalized terms used herein and not otherwise defined shall have the meaning assigned to them in the Indenture, dated as of September 10, 1997, between the Company and Chase Bank of Texas, National Association, as Trustee, relating to the Notes and the Exchange Notes (the "INDENTURE").</w:t>
      </w:r>
    </w:p>
    <w:p>
      <w:pPr>
        <w:spacing w:after="0" w:line="180"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The parties hereby agree as follows:</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w:t>
      </w:r>
    </w:p>
    <w:p>
      <w:pPr>
        <w:spacing w:after="0" w:line="178" w:lineRule="exact"/>
        <w:rPr>
          <w:sz w:val="20"/>
          <w:szCs w:val="20"/>
          <w:color w:val="auto"/>
        </w:rPr>
      </w:pPr>
    </w:p>
    <w:p>
      <w:pPr>
        <w:ind w:left="8" w:right="3019" w:firstLine="992"/>
        <w:spacing w:after="0" w:line="243" w:lineRule="auto"/>
        <w:rPr>
          <w:sz w:val="20"/>
          <w:szCs w:val="20"/>
          <w:color w:val="auto"/>
        </w:rPr>
      </w:pPr>
      <w:r>
        <w:rPr>
          <w:rFonts w:ascii="Courier New" w:cs="Courier New" w:eastAsia="Courier New" w:hAnsi="Courier New"/>
          <w:sz w:val="15"/>
          <w:szCs w:val="15"/>
          <w:color w:val="auto"/>
        </w:rPr>
        <w:t>As used in this Agreement, the following capitalized terms shall have the following meanings:</w:t>
      </w:r>
    </w:p>
    <w:p>
      <w:pPr>
        <w:spacing w:after="0" w:line="175"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ACT: The Securities Act of 1933, as amended.</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AFFILIATE: As defined in Rule 144 of the Act.</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BROKER-DEALER: Any broker or dealer registered under the Exchange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Act.</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CERTIFICATED SECURITIES: Definitive Notes, as defined in the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CLOSING DATE: The date hereof.</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COMMISSION: The Securities and Exchange Commission.</w:t>
      </w:r>
    </w:p>
    <w:p>
      <w:pPr>
        <w:spacing w:after="0" w:line="178" w:lineRule="exact"/>
        <w:rPr>
          <w:sz w:val="20"/>
          <w:szCs w:val="20"/>
          <w:color w:val="auto"/>
        </w:rPr>
      </w:pPr>
    </w:p>
    <w:p>
      <w:pPr>
        <w:ind w:left="8" w:right="3099" w:firstLine="992"/>
        <w:spacing w:after="0" w:line="244" w:lineRule="auto"/>
        <w:rPr>
          <w:sz w:val="20"/>
          <w:szCs w:val="20"/>
          <w:color w:val="auto"/>
        </w:rPr>
      </w:pPr>
      <w:r>
        <w:rPr>
          <w:rFonts w:ascii="Courier New" w:cs="Courier New" w:eastAsia="Courier New" w:hAnsi="Courier New"/>
          <w:sz w:val="15"/>
          <w:szCs w:val="15"/>
          <w:color w:val="auto"/>
        </w:rPr>
        <w:t>CONSUMMATE: An Exchange Offer shall be deemed "Consummated" for purposes of this Agreement upon the occurrence of (a) the filing and effectiveness under the Act of the Exchange Offer Registration Statement relating to the Exchange Notes to be issued in the Exchange Offer and the related Guarantees, (b) the maintenance of such Exchange Offer Registration Statement continuously effective and the keeping of the Exchange Offer open for a period not less than the period required pursuant to Section 3(b) hereof and</w:t>
      </w:r>
    </w:p>
    <w:p>
      <w:pPr>
        <w:spacing w:after="0" w:line="4" w:lineRule="exact"/>
        <w:rPr>
          <w:sz w:val="20"/>
          <w:szCs w:val="20"/>
          <w:color w:val="auto"/>
        </w:rPr>
      </w:pPr>
    </w:p>
    <w:p>
      <w:pPr>
        <w:ind w:left="8" w:right="3019" w:hanging="8"/>
        <w:spacing w:after="0" w:line="270" w:lineRule="auto"/>
        <w:tabs>
          <w:tab w:leader="none" w:pos="368"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delivery by the Company to the Registrar under the Indenture of Exchange Notes in the same aggregate principal amount as the aggregate principal amount of Notes tendered by Holders thereof pursuant to the Exchange Offer.</w:t>
      </w:r>
    </w:p>
    <w:p>
      <w:pPr>
        <w:spacing w:after="0" w:line="158"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CONSUMMATION DEADLINE: As defined in Section 3(b) hereof.</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EFFECTIVENESS DEADLINE: As defined in Sections 3(a) and 4(a) hereof.</w:t>
      </w:r>
    </w:p>
    <w:p>
      <w:pPr>
        <w:spacing w:after="0" w:line="17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EXCHANGE ACT: The Securities Exchange Act of 1934, as amended.</w:t>
      </w:r>
    </w:p>
    <w:p>
      <w:pPr>
        <w:sectPr>
          <w:pgSz w:w="11900" w:h="16838" w:orient="portrait"/>
          <w:cols w:equalWidth="0" w:num="1">
            <w:col w:w="10227"/>
          </w:cols>
          <w:pgMar w:left="232" w:top="29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right="3199" w:firstLine="992"/>
        <w:spacing w:after="0" w:line="244" w:lineRule="auto"/>
        <w:rPr>
          <w:sz w:val="20"/>
          <w:szCs w:val="20"/>
          <w:color w:val="auto"/>
        </w:rPr>
      </w:pPr>
      <w:r>
        <w:rPr>
          <w:rFonts w:ascii="Courier New" w:cs="Courier New" w:eastAsia="Courier New" w:hAnsi="Courier New"/>
          <w:sz w:val="15"/>
          <w:szCs w:val="15"/>
          <w:color w:val="auto"/>
        </w:rPr>
        <w:t>EXCHANGE NOTES: The Company's 6% Senior Notes due 2001, the 6-1/2% Senior Notes due 2004, 6-7/8%Senior Notes due 2009 and 7-3/8% Senior Notes due 2029, to be issued pursuant to the Indenture (i) in the Exchange Offer or (ii) as contemplated by Section 4 hereof.</w:t>
      </w:r>
    </w:p>
    <w:p>
      <w:pPr>
        <w:spacing w:after="0" w:line="176" w:lineRule="exact"/>
        <w:rPr>
          <w:sz w:val="20"/>
          <w:szCs w:val="20"/>
          <w:color w:val="auto"/>
        </w:rPr>
      </w:pPr>
    </w:p>
    <w:p>
      <w:pPr>
        <w:ind w:right="3199" w:firstLine="992"/>
        <w:spacing w:after="0" w:line="244" w:lineRule="auto"/>
        <w:rPr>
          <w:sz w:val="20"/>
          <w:szCs w:val="20"/>
          <w:color w:val="auto"/>
        </w:rPr>
      </w:pPr>
      <w:r>
        <w:rPr>
          <w:rFonts w:ascii="Courier New" w:cs="Courier New" w:eastAsia="Courier New" w:hAnsi="Courier New"/>
          <w:sz w:val="15"/>
          <w:szCs w:val="15"/>
          <w:color w:val="auto"/>
        </w:rPr>
        <w:t>EXCHANGE OFFER: The exchange and issuance by the Company of a principal amount of Exchange Notes with related Guarantees (which shall be registered pursuant to the Exchange Offer Registration Statement) equal to the outstanding principal amount of Notes that are tendered by such Holders in connection with such exchange and issuance.</w:t>
      </w:r>
    </w:p>
    <w:p>
      <w:pPr>
        <w:spacing w:after="0" w:line="177" w:lineRule="exact"/>
        <w:rPr>
          <w:sz w:val="20"/>
          <w:szCs w:val="20"/>
          <w:color w:val="auto"/>
        </w:rPr>
      </w:pPr>
    </w:p>
    <w:p>
      <w:pPr>
        <w:ind w:right="3379" w:firstLine="992"/>
        <w:spacing w:after="0" w:line="243" w:lineRule="auto"/>
        <w:rPr>
          <w:sz w:val="20"/>
          <w:szCs w:val="20"/>
          <w:color w:val="auto"/>
        </w:rPr>
      </w:pPr>
      <w:r>
        <w:rPr>
          <w:rFonts w:ascii="Courier New" w:cs="Courier New" w:eastAsia="Courier New" w:hAnsi="Courier New"/>
          <w:sz w:val="15"/>
          <w:szCs w:val="15"/>
          <w:color w:val="auto"/>
        </w:rPr>
        <w:t>EXCHANGE OFFER REGISTRATION STATEMENT: The Registration Statement relating to the Exchange Offer, including the related Prospectus.</w:t>
      </w:r>
    </w:p>
    <w:p>
      <w:pPr>
        <w:spacing w:after="0" w:line="176" w:lineRule="exact"/>
        <w:rPr>
          <w:sz w:val="20"/>
          <w:szCs w:val="20"/>
          <w:color w:val="auto"/>
        </w:rPr>
      </w:pPr>
    </w:p>
    <w:p>
      <w:pPr>
        <w:ind w:right="3199" w:firstLine="992"/>
        <w:spacing w:after="0" w:line="244" w:lineRule="auto"/>
        <w:rPr>
          <w:sz w:val="20"/>
          <w:szCs w:val="20"/>
          <w:color w:val="auto"/>
        </w:rPr>
      </w:pPr>
      <w:r>
        <w:rPr>
          <w:rFonts w:ascii="Courier New" w:cs="Courier New" w:eastAsia="Courier New" w:hAnsi="Courier New"/>
          <w:sz w:val="15"/>
          <w:szCs w:val="15"/>
          <w:color w:val="auto"/>
        </w:rPr>
        <w:t>EXEMPT RESALES: The transactions in which the Initial Purchasers propose to sell the Notes to certain "qualified institutional buyers," as such term is defined in Rule 144A under the Act and pursuant to Regulation S under the Act.</w:t>
      </w:r>
    </w:p>
    <w:p>
      <w:pPr>
        <w:spacing w:after="0" w:line="17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FILING DEADLINE: As defined in Sections 3(a) and 4(a) hereof.</w:t>
      </w:r>
    </w:p>
    <w:p>
      <w:pPr>
        <w:spacing w:after="0" w:line="178" w:lineRule="exact"/>
        <w:rPr>
          <w:sz w:val="20"/>
          <w:szCs w:val="20"/>
          <w:color w:val="auto"/>
        </w:rPr>
      </w:pPr>
    </w:p>
    <w:p>
      <w:pPr>
        <w:ind w:right="3099" w:firstLine="992"/>
        <w:spacing w:after="0" w:line="243" w:lineRule="auto"/>
        <w:rPr>
          <w:sz w:val="20"/>
          <w:szCs w:val="20"/>
          <w:color w:val="auto"/>
        </w:rPr>
      </w:pPr>
      <w:r>
        <w:rPr>
          <w:rFonts w:ascii="Courier New" w:cs="Courier New" w:eastAsia="Courier New" w:hAnsi="Courier New"/>
          <w:sz w:val="15"/>
          <w:szCs w:val="15"/>
          <w:color w:val="auto"/>
        </w:rPr>
        <w:t>GUARANTEES: The guarantees by Waste Management Holdings, Inc. of the Company's obligations under the Notes.</w:t>
      </w:r>
    </w:p>
    <w:p>
      <w:pPr>
        <w:spacing w:after="0" w:line="17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HOLDERS: As defined in Section 2 hereof.</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PROSPECTUS: The prospectus included in a Registration Statement at the time such Registration Statement is declared effective, as amended or supplemented by any prospectus supplement and by all other amendments thereto, including post-effective amendments, and all material incorporated by reference into such Prospectus.</w:t>
      </w:r>
    </w:p>
    <w:p>
      <w:pPr>
        <w:spacing w:after="0" w:line="17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RECOMMENCEMENT DATE: As defined in Section 6(d) hereof.</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REGISTRATION DEFAULT: As defined in Section 5 hereof.</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REGISTRATION STATEMENT: Any registration statement of the Company and the Guarantor relating to (a) an offering of Exchange Notes pursuant to an Exchange Offer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178"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REGULATION S: Regulation S promulgated under the Act.</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RULE 144: Rule 144 promulgated under the Act.</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RULE 144A: Rule 144A promulgated under the Act.</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SHELF REGISTRATION STATEMENT: As defined in Section 4(a) hereof.</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SUSPENSION NOTICE: As defined in Section 6(d) hereof.</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76" w:name="page77"/>
    <w:bookmarkEnd w:id="76"/>
    <w:p>
      <w:pPr>
        <w:ind w:left="268"/>
        <w:spacing w:after="0"/>
        <w:rPr>
          <w:sz w:val="20"/>
          <w:szCs w:val="20"/>
          <w:color w:val="auto"/>
        </w:rPr>
      </w:pPr>
      <w:r>
        <w:rPr>
          <w:rFonts w:ascii="Courier New" w:cs="Courier New" w:eastAsia="Courier New" w:hAnsi="Courier New"/>
          <w:sz w:val="15"/>
          <w:szCs w:val="15"/>
          <w:color w:val="auto"/>
        </w:rPr>
        <w:t>4</w:t>
      </w:r>
    </w:p>
    <w:p>
      <w:pPr>
        <w:spacing w:after="0" w:line="351" w:lineRule="exact"/>
        <w:rPr>
          <w:sz w:val="20"/>
          <w:szCs w:val="20"/>
          <w:color w:val="auto"/>
        </w:rPr>
      </w:pPr>
    </w:p>
    <w:p>
      <w:pPr>
        <w:ind w:left="88" w:right="3919" w:firstLine="902"/>
        <w:spacing w:after="0" w:line="243" w:lineRule="auto"/>
        <w:rPr>
          <w:sz w:val="20"/>
          <w:szCs w:val="20"/>
          <w:color w:val="auto"/>
        </w:rPr>
      </w:pPr>
      <w:r>
        <w:rPr>
          <w:rFonts w:ascii="Courier New" w:cs="Courier New" w:eastAsia="Courier New" w:hAnsi="Courier New"/>
          <w:sz w:val="15"/>
          <w:szCs w:val="15"/>
          <w:color w:val="auto"/>
        </w:rPr>
        <w:t>TIA: The Trust Indenture Act of 1939 (15 U.S.C. Section 77aaa-77bbbb) as in effect on the date of the Indenture.</w:t>
      </w:r>
    </w:p>
    <w:p>
      <w:pPr>
        <w:spacing w:after="0" w:line="176" w:lineRule="exact"/>
        <w:rPr>
          <w:sz w:val="20"/>
          <w:szCs w:val="20"/>
          <w:color w:val="auto"/>
        </w:rPr>
      </w:pPr>
    </w:p>
    <w:p>
      <w:pPr>
        <w:ind w:left="8" w:right="3019" w:firstLine="992"/>
        <w:spacing w:after="0" w:line="244" w:lineRule="auto"/>
        <w:rPr>
          <w:sz w:val="20"/>
          <w:szCs w:val="20"/>
          <w:color w:val="auto"/>
        </w:rPr>
      </w:pPr>
      <w:r>
        <w:rPr>
          <w:rFonts w:ascii="Courier New" w:cs="Courier New" w:eastAsia="Courier New" w:hAnsi="Courier New"/>
          <w:sz w:val="15"/>
          <w:szCs w:val="15"/>
          <w:color w:val="auto"/>
        </w:rPr>
        <w:t>TRANSFER RESTRICTED SECURITIES: Each Note and related Guarantee, until the earliest to occur of (a) the date on which such Note and related Guarantee is exchanged in the Exchange Offer for an Exchange Note and related Guarantee which is entitled to be resold to the public by the Holder thereof without complying with the prospectus delivery requirements of the Act, (b) the date on which such Note and related Guarantee has been disposed of in accordance with a Shelf Registration Statement (and the purchasers thereof have been issued Exchange Notes), and (c) the date on which such Note and related Guarantee is distributed to the public pursuant to Rule 144 under the Act (and purchasers thereof have been issued Exchange Notes), and each Exchange Note and related Guarantee until the date on which such Exchange Note is disposed of by a Broker-Dealer pursuant to the "Plan of Distribution" contemplated by the Exchange Offer Registration Statement (including the delivery of the Prospectus contained therein).</w:t>
      </w:r>
    </w:p>
    <w:p>
      <w:pPr>
        <w:spacing w:after="0" w:line="181"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HOLDERS</w:t>
      </w:r>
    </w:p>
    <w:p>
      <w:pPr>
        <w:spacing w:after="0" w:line="178" w:lineRule="exact"/>
        <w:rPr>
          <w:sz w:val="20"/>
          <w:szCs w:val="20"/>
          <w:color w:val="auto"/>
        </w:rPr>
      </w:pPr>
    </w:p>
    <w:p>
      <w:pPr>
        <w:ind w:left="8" w:right="3199" w:firstLine="992"/>
        <w:spacing w:after="0" w:line="278" w:lineRule="auto"/>
        <w:rPr>
          <w:sz w:val="20"/>
          <w:szCs w:val="20"/>
          <w:color w:val="auto"/>
        </w:rPr>
      </w:pPr>
      <w:r>
        <w:rPr>
          <w:rFonts w:ascii="Courier New" w:cs="Courier New" w:eastAsia="Courier New" w:hAnsi="Courier New"/>
          <w:sz w:val="14"/>
          <w:szCs w:val="14"/>
          <w:color w:val="auto"/>
        </w:rPr>
        <w:t>A Person is deemed to be a holder of Transfer Restricted Securities (each, a "HOLDER") whenever such Person owns Transfer Restricted Securities.</w:t>
      </w:r>
    </w:p>
    <w:p>
      <w:pPr>
        <w:spacing w:after="0" w:line="152"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REGISTERED EXCHANGE OFFER</w:t>
      </w:r>
    </w:p>
    <w:p>
      <w:pPr>
        <w:spacing w:after="0" w:line="178" w:lineRule="exact"/>
        <w:rPr>
          <w:sz w:val="20"/>
          <w:szCs w:val="20"/>
          <w:color w:val="auto"/>
        </w:rPr>
      </w:pPr>
    </w:p>
    <w:p>
      <w:pPr>
        <w:ind w:left="8" w:right="3019" w:firstLine="984"/>
        <w:spacing w:after="0" w:line="262" w:lineRule="auto"/>
        <w:tabs>
          <w:tab w:leader="none" w:pos="13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Exchange Offer shall not be permitted by applicable federal law (after the procedures set forth in Section 6(a)(i) below have been complied with), the Company and the Guarantor shall (i) cause the Exchange Offer Registration Statement to be filed with the Commission as soon as practicable after the Closing Date, but in no event later than 120 days after the Closing Date (such 120th day being the "FILING DEADLINE"), (ii) use its best efforts to cause such Exchange Offer Registration Statement to become effective at the earliest possible time, but in no event later than 210 days after the Closing Date (such 210th day being the "EFFECTIVENESS DEADLINE"), (iii) in connection with the foregoing, (A) file all pre-effective amendments to such Exchange Offer Registration Statement as may be necessary in order to cause it to become effective, (B) file, if applicable, a post-effective amendment to such Exchange Offer Registration Statement pursuant to Rule 430A under the Act and (C) cause all necessary filings, if any, in connection with the registration and qualification of the Exchange Notes to be made under the Blue Sky laws of such jurisdictions as are necessary to permit Consummation of the Exchange Offer, and</w:t>
      </w:r>
    </w:p>
    <w:p>
      <w:pPr>
        <w:spacing w:after="0" w:line="3" w:lineRule="exact"/>
        <w:rPr>
          <w:rFonts w:ascii="Courier New" w:cs="Courier New" w:eastAsia="Courier New" w:hAnsi="Courier New"/>
          <w:sz w:val="14"/>
          <w:szCs w:val="14"/>
          <w:color w:val="auto"/>
        </w:rPr>
      </w:pPr>
    </w:p>
    <w:p>
      <w:pPr>
        <w:ind w:left="8" w:right="3099" w:hanging="8"/>
        <w:spacing w:after="0" w:line="244" w:lineRule="auto"/>
        <w:tabs>
          <w:tab w:leader="none" w:pos="45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effectiveness of such Exchange Offer Registration Statement, commence and Consummate the Exchange Offer. The Exchange Offer shall be on the appropriate form permitting (i) registration of the Exchange Notes and related Guarantees to be offered in exchange for the Notes that are Transfer Restricted Securities and (ii) resales of Exchange Notes and related Guarantees by Broker-Dealers that tendered into the Exchange Offer Notes that such Broker-Dealer acquired for its own account as a result of market making activities or other trading activities (other than Notes acquired directly from the Company or any of its Affiliates) as contemplated by Section 3(c) below.</w:t>
      </w:r>
    </w:p>
    <w:p>
      <w:pPr>
        <w:spacing w:after="0" w:line="179" w:lineRule="exact"/>
        <w:rPr>
          <w:rFonts w:ascii="Courier New" w:cs="Courier New" w:eastAsia="Courier New" w:hAnsi="Courier New"/>
          <w:sz w:val="15"/>
          <w:szCs w:val="15"/>
          <w:color w:val="auto"/>
        </w:rPr>
      </w:pPr>
    </w:p>
    <w:p>
      <w:pPr>
        <w:ind w:left="8" w:right="3019" w:firstLine="984"/>
        <w:spacing w:after="0" w:line="244" w:lineRule="auto"/>
        <w:tabs>
          <w:tab w:leader="none" w:pos="136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 shall use their respective best efforts to cause the Exchange Offer Registration Statement to be effective continuously, and shall keep the Exchange Offer open for a period of not less than the minimum period required under applicable federal and state securities laws to Consummate the Exchange Offer; provided, however, that in no event shall such period be less than 20 Business Days. The Company and the Guarantor shall cause the Exchange Offer to comply with all applicable federal and state securities laws. No securities other than the Exchange Notes (and the related Guarantees) shall be included in the Exchange Offer Registration Statement. The Company and the Guarantor shall use their respective best efforts to cause the Exchange Offer to be Consummated on the</w:t>
      </w:r>
    </w:p>
    <w:p>
      <w:pPr>
        <w:spacing w:after="0" w:line="353"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9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earliest practicable date after the Exchange Offer Registration Statement has become effective, but in no event later than 30 Business Days thereafter (such 30th day being the "CONSUMMATION DEADLINE").</w:t>
      </w:r>
    </w:p>
    <w:p>
      <w:pPr>
        <w:spacing w:after="0" w:line="175" w:lineRule="exact"/>
        <w:rPr>
          <w:sz w:val="20"/>
          <w:szCs w:val="20"/>
          <w:color w:val="auto"/>
        </w:rPr>
      </w:pPr>
    </w:p>
    <w:p>
      <w:pPr>
        <w:ind w:right="3019" w:firstLine="984"/>
        <w:spacing w:after="0" w:line="244" w:lineRule="auto"/>
        <w:tabs>
          <w:tab w:leader="none" w:pos="135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Notes acquired directly from the Company or any Affiliate of the Company),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"Plan of Distribution" shall not name any such Broker-Dealer or disclose the amount of Transfer Restricted Securities held by any such Broker-Dealer, except to the extent required by the Commission as a result of a change in policy, rules or regulations after the date of this Agreement.</w:t>
      </w:r>
    </w:p>
    <w:p>
      <w:pPr>
        <w:spacing w:after="0" w:line="182"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Because such Broker-Dealer may be deemed to be an "underwriter" within the meaning of the Act and must, therefore, deliver a prospectus meeting the requirements of the Act in connection with its initial sale of any Exchange Notes received by such Broker-Dealer in the Exchange Offer, the Company and the Guarantor shall permit the use of the Prospectus contained in the Exchange Offer Registration Statement by such Broker-Dealer to satisfy such prospectus delivery requirement. To the extent necessary to ensure that the prospectus contained in the Exchange Offer Registration Statement is available for sales of Exchange Notes by Broker-Dealers, the Company and the Guarantor agree to use their respective best efforts to keep the Exchange Offer Registration Statement continuously effective, supplemented, amended and current as required by and subject to the provisions of Sections 6(a) and (c) hereof and in conformity with the requirements of this Agreement, the Act and the policies, rules and regulations of the Commission as announced from time to time, for a period of one year from the Consummation Deadline or such shorter period as will terminate when all Transfer Restricted Securities covered by such Registration Statement have been sold pursuant thereto. The Company and the Guarantor shall provide sufficient copies of the latest version of such Prospectus to such Broker-Dealers, promptly upon request, and in no event later than one day after such request, at any time during such period.</w:t>
      </w:r>
    </w:p>
    <w:p>
      <w:pPr>
        <w:spacing w:after="0" w:line="185"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SHELF REGISTRATION</w:t>
      </w:r>
    </w:p>
    <w:p>
      <w:pPr>
        <w:spacing w:after="0" w:line="178" w:lineRule="exact"/>
        <w:rPr>
          <w:sz w:val="20"/>
          <w:szCs w:val="20"/>
          <w:color w:val="auto"/>
        </w:rPr>
      </w:pPr>
    </w:p>
    <w:p>
      <w:pPr>
        <w:ind w:right="3019" w:firstLine="984"/>
        <w:spacing w:after="0" w:line="244" w:lineRule="auto"/>
        <w:tabs>
          <w:tab w:leader="none" w:pos="135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If (i) the Exchange Offer is not permitted by applicable law or Commission policy (after the Company and the Guarantor have complied with the procedures set forth in Section 6(a)(i) below) or (ii) if any Holder of Transfer Restricted Securities shall notify the Company within 20 Business Days following the Consummation Deadline that (A) such Holder has been advised by counsel that it was prohibited by law or Commission policy from participating in the Exchange Offer or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any of its Affiliates, then the Company and the Guarantor shall:</w:t>
      </w:r>
    </w:p>
    <w:p>
      <w:pPr>
        <w:spacing w:after="0" w:line="181" w:lineRule="exact"/>
        <w:rPr>
          <w:rFonts w:ascii="Courier New" w:cs="Courier New" w:eastAsia="Courier New" w:hAnsi="Courier New"/>
          <w:sz w:val="15"/>
          <w:szCs w:val="15"/>
          <w:color w:val="auto"/>
        </w:rPr>
      </w:pPr>
    </w:p>
    <w:p>
      <w:pPr>
        <w:ind w:left="980" w:right="3019" w:firstLine="545"/>
        <w:spacing w:after="0" w:line="244" w:lineRule="auto"/>
        <w:tabs>
          <w:tab w:leader="none" w:pos="1882"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to be filed, on or prior to 30 days after the earlier of (i) the date on which the Company determines that the Exchange Offer Registration Statement cannot be filed as a result of clause (a)(i) above and (ii) the date on which the Company receives the notice specified in clause (a)(ii) above, (such earlier date, the "FILING DEADLINE"), a shelf registration statement pursuant to Rule 415 under the Act (which may be an amendment to the Exchange Offer Registration Statement (the "SHELF REGISTRATION STATEMENT")), relating to all Transfer Restricted Securities, and</w:t>
      </w:r>
    </w:p>
    <w:p>
      <w:pPr>
        <w:spacing w:after="0" w:line="3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left="980" w:right="3099" w:firstLine="455"/>
        <w:spacing w:after="0" w:line="244" w:lineRule="auto"/>
        <w:tabs>
          <w:tab w:leader="none" w:pos="179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use their respective best efforts to cause such Shelf Registration Statement to become effective on or prior to 60 days after the Filing Deadline for the Shelf Registration Statement (such 60th day the "EFFECTIVENESS DEADLINE").</w:t>
      </w:r>
    </w:p>
    <w:p>
      <w:pPr>
        <w:spacing w:after="0" w:line="176"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If, after the Company and the Guarantor have filed an Exchange Offer Registration Statement that satisfies the requirements of Section 3(a) above, the Company and the Guarantor are required to file and make effective a Shelf Registration Statement solely because the Exchange Offer is not permitted under applicable federal law or Commission policy (i.e., clause (a)(i) above), then the filing of the Exchange Offer Registration Statement shall be deemed to satisfy the requirements of clause (x) above; provided that, in such event, the Company and the Guarantor shall remain obligated to meet the Effectiveness Deadline set forth in clause (y).</w:t>
      </w:r>
    </w:p>
    <w:p>
      <w:pPr>
        <w:spacing w:after="0" w:line="179" w:lineRule="exact"/>
        <w:rPr>
          <w:sz w:val="20"/>
          <w:szCs w:val="20"/>
          <w:color w:val="auto"/>
        </w:rPr>
      </w:pPr>
    </w:p>
    <w:p>
      <w:pPr>
        <w:ind w:right="3019" w:firstLine="992"/>
        <w:spacing w:after="0" w:line="263" w:lineRule="auto"/>
        <w:rPr>
          <w:sz w:val="20"/>
          <w:szCs w:val="20"/>
          <w:color w:val="auto"/>
        </w:rPr>
      </w:pPr>
      <w:r>
        <w:rPr>
          <w:rFonts w:ascii="Courier New" w:cs="Courier New" w:eastAsia="Courier New" w:hAnsi="Courier New"/>
          <w:sz w:val="14"/>
          <w:szCs w:val="14"/>
          <w:color w:val="auto"/>
        </w:rPr>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Company and the Guarantor shall use their respective best efforts to keep any Shelf Registration Statement required by this Section 4(a) continuously effective, supplemented, amended and current as required by and subject to the provisions of Sections 6(b) and (c) hereof and in conformity with the requirements of this Agreement, the Act and the policies, rules and regulations of the Commission as announced from time to time, for a period of at least two years (as extended pursuant to Section 6(d)) following the Closing Date, or such shorter period as will terminate when all Transfer Restricted Securities covered by such Shelf Registration Statement have been sold pursuant thereto.</w:t>
      </w:r>
    </w:p>
    <w:p>
      <w:pPr>
        <w:spacing w:after="0" w:line="168" w:lineRule="exact"/>
        <w:rPr>
          <w:sz w:val="20"/>
          <w:szCs w:val="20"/>
          <w:color w:val="auto"/>
        </w:rPr>
      </w:pPr>
    </w:p>
    <w:p>
      <w:pPr>
        <w:ind w:right="3019" w:firstLine="984"/>
        <w:spacing w:after="0" w:line="244" w:lineRule="auto"/>
        <w:tabs>
          <w:tab w:leader="none" w:pos="135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by Holders of Certain Information in Connection with the Shelf Registration Statement. No Holder of Transfer Restricted Securities may include any of its Transfer Restricted Securities in any Shelf Registration Statement pursuant to this Agreement unless and until such Holder furnishes to the Company in writing, within 20 days after receipt of a request therefor, the information specified in Item 507 or 508 of Regulation S-K, as applicable, of the Act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required to be disclosed in order to make the information previously furnished to the Company by such Holder not materially misleading.</w:t>
      </w:r>
    </w:p>
    <w:p>
      <w:pPr>
        <w:spacing w:after="0" w:line="181"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LIQUIDATED DAMAGES</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If (i) any Registration Statement required by this Agreement is not filed with the Commission on or prior to the applicable Filing Deadline, (ii) any such Registration Statement has not been declared effective by the Commission on or prior to the applicable Effectiveness Deadline, (iii) the Exchange Offer has not been Consummated on or prior to the Consummation Deadline or (iv) any Registration Statement required by this Agreement is filed and declared effective but shall thereafter cease to be effective or fail to be usable for its intended purpose without being succeeded within five Business Days by a post-effective amendment to such Registration Statement that cures such failure and that is itself declared effective within five Business Days of filing of such post-effective amendment to such Registration Statement (each such event referred to in clauses (i) through (iv), a "REGISTRATION DEFAULT"), then the Company and the Guarantor hereby jointly and severally agree to pay to each Holder of Transfer Restricted Securities affected thereby liquidated damages in an amount equal to $.05 per week per $1,000 in principal amount of Transfer Restricted Securities held by such Holder for each week or portion thereof that the Registration Default continues for the first 90-day period immediately following the occurrence of such Registration Default.</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amount of the liquidated damages shall increase by an additional $.05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week per $1,000 in principal amount of Transfer Restricted Securities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each subsequent 90-day period until all Registration Defaults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been cured, up to a maximum amount of liquidated damages of $.25 per week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in principal amount of Transfer Restricted Securities; provided that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and the Guarantor shall in no event be required to pay liquidated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damages for more than one Registration Default at any given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Notwithstanding anything to the contrary set forth herein, (1) upon filing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 Registration Statement (and/or, if applicable, the Shelf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in the case of (i) above, (2) upon the effectiveness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 Registration Statement (and/or, if applicable, the Shelf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in the case of (ii) above, (3) upon Consummation of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 in the case of (iii) above, or (4) upon the filing of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post-effective amendment to the Registration Statement or an additional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that causes the Exchange Offer 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(and/or, if applicable, the Shelf Registration Statement) to again be declared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or made usable in the case of (iv) above, the liquidated damages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with respect to the Transfer Restricted Securities as a result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clause (i), (ii), (iii) or (iv), as applicable, shall cease.</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All accrued liquidated damages shall be paid to the Holders entitled thereto, in the manner provided for the payment of interest in the Indenture, on each Interest Payment Date, as more fully set forth in the Indenture and the Notes. Notwithstanding the fact that any securities for which liquidated damages are due cease to be Transfer Restricted Securities, all obligations of the Company and the Guarantor to pay liquidated damages with respect to securities shall survive until such time as such obligations with respect to such securities shall have been satisfied in full.</w:t>
      </w:r>
    </w:p>
    <w:p>
      <w:pPr>
        <w:spacing w:after="0" w:line="178"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REGISTRATION PROCEDURES</w:t>
      </w:r>
    </w:p>
    <w:p>
      <w:pPr>
        <w:spacing w:after="0" w:line="178" w:lineRule="exact"/>
        <w:rPr>
          <w:sz w:val="20"/>
          <w:szCs w:val="20"/>
          <w:color w:val="auto"/>
        </w:rPr>
      </w:pPr>
    </w:p>
    <w:p>
      <w:pPr>
        <w:ind w:right="3019" w:firstLine="984"/>
        <w:spacing w:after="0" w:line="244" w:lineRule="auto"/>
        <w:tabs>
          <w:tab w:leader="none" w:pos="135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Offer Registration Statement. In connection with the Exchange Offer, the Company and the Guarantor shall (x) comply with all applicable provisions of Section 6(c) below, (y) use their respective best efforts to effect such exchange and to permit the resale of Exchange Notes and related Guarantees by Broker-Dealers that tendered in the Exchange Offer Notes that such Broker-Dealer acquired for its own account as a result of its market making activities or other trading activities (other than Notes acquired directly from the Company or any of its Affiliates) being sold in accordance with the intended method or methods of distribution thereof, and (z) comply with all of the following provisions:</w:t>
      </w:r>
    </w:p>
    <w:p>
      <w:pPr>
        <w:spacing w:after="0" w:line="179" w:lineRule="exact"/>
        <w:rPr>
          <w:rFonts w:ascii="Courier New" w:cs="Courier New" w:eastAsia="Courier New" w:hAnsi="Courier New"/>
          <w:sz w:val="15"/>
          <w:szCs w:val="15"/>
          <w:color w:val="auto"/>
        </w:rPr>
      </w:pPr>
    </w:p>
    <w:p>
      <w:pPr>
        <w:ind w:left="540" w:right="3099" w:firstLine="895"/>
        <w:spacing w:after="0" w:line="244" w:lineRule="auto"/>
        <w:tabs>
          <w:tab w:leader="none" w:pos="1802"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following the date hereof there has been announced a change in Commission policy with respect to exchange offers such as the Exchange Offer, that in the reasonable opinion of counsel to the Company raises a substantial question as to whether the Exchange Offer is permitted by applicable federal law, the Company and the Guarantor hereby agree to seek a no-action letter or other favorable decision from the Commission allowing the Company and the Guarantor to Consummate an Exchange Offer for such Transfer Restricted Securities. The Company and the Guarantor hereby agree to pursue the issuance of such a decision to the Commission staff level. In connection with the foregoing, the Company and the Guarantor hereby agree to take all such other actions as may be requested by the Commission or otherwise required in connection with the issuance of such decision, including without limitation (A) participating in telephonic conferences with the Commission, (B) delivering to the Commission staff an analysis prepared by counsel to the Company setting forth the legal bases, if any, upon which such counsel has concluded that such an Exchange Offer should be permitted and (C) diligently pursuing a resolution (which need not be favorable) by the Commission staff.</w:t>
      </w:r>
    </w:p>
    <w:p>
      <w:pPr>
        <w:spacing w:after="0" w:line="184" w:lineRule="exact"/>
        <w:rPr>
          <w:rFonts w:ascii="Courier New" w:cs="Courier New" w:eastAsia="Courier New" w:hAnsi="Courier New"/>
          <w:sz w:val="15"/>
          <w:szCs w:val="15"/>
          <w:color w:val="auto"/>
        </w:rPr>
      </w:pPr>
    </w:p>
    <w:p>
      <w:pPr>
        <w:ind w:left="540" w:right="3019" w:firstLine="895"/>
        <w:spacing w:after="0" w:line="244" w:lineRule="auto"/>
        <w:tabs>
          <w:tab w:leader="none" w:pos="1892"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condition to its participation in the Exchange Offer, each Holder of Transfer Restricted Securities (including, without limitation, any Holder who is a Broker Dealer) shall furnish, upon the request of the Company, prior to the Consummation of the Exchange Offer, a written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8</w:t>
      </w:r>
    </w:p>
    <w:p>
      <w:pPr>
        <w:spacing w:after="0" w:line="4" w:lineRule="exact"/>
        <w:rPr>
          <w:sz w:val="20"/>
          <w:szCs w:val="20"/>
          <w:color w:val="auto"/>
        </w:rPr>
      </w:pPr>
    </w:p>
    <w:p>
      <w:pPr>
        <w:ind w:left="280" w:right="3019"/>
        <w:spacing w:after="0" w:line="244" w:lineRule="auto"/>
        <w:rPr>
          <w:sz w:val="20"/>
          <w:szCs w:val="20"/>
          <w:color w:val="auto"/>
        </w:rPr>
      </w:pPr>
      <w:r>
        <w:rPr>
          <w:rFonts w:ascii="Courier New" w:cs="Courier New" w:eastAsia="Courier New" w:hAnsi="Courier New"/>
          <w:sz w:val="15"/>
          <w:szCs w:val="15"/>
          <w:color w:val="auto"/>
        </w:rPr>
        <w:t>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and (C) it is acquiring the Exchange Notes in its ordinary course of business. As a condition to its participation in the Exchange Offer each Holder using the Exchange Offer to participate in a distribution of the Exchange Notes shall acknowledge and agree that, if the resales are of Exchange Notes obtained by such Holder in exchange for Notes acquired directly from the Company or an Affiliate thereof, it (1) could not, under Commission policy as in effect on the date of this Agreement, rely on the position of the Commission enunciated in Morgan Stanley and Co., Inc. (available June 5, 1991) and Exxon Capital Holdings Corporation (available May 13, 1988), as interpreted in the Commission's letter to Shearman &amp; Sterling dated July 2, 1993, and similar no-action letters (including, if applicable, any no-action letter obtained pursuant to clause (i) 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as applicable, of Regulation S-K.</w:t>
      </w:r>
    </w:p>
    <w:p>
      <w:pPr>
        <w:spacing w:after="0" w:line="188" w:lineRule="exact"/>
        <w:rPr>
          <w:sz w:val="20"/>
          <w:szCs w:val="20"/>
          <w:color w:val="auto"/>
        </w:rPr>
      </w:pPr>
    </w:p>
    <w:p>
      <w:pPr>
        <w:ind w:left="280" w:right="3019" w:firstLine="895"/>
        <w:spacing w:after="0" w:line="244" w:lineRule="auto"/>
        <w:tabs>
          <w:tab w:leader="none" w:pos="1723"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effectiveness of the Exchange Offer Registration Statement, the Company and the Guarantor shall provide a supplemental letter to the Commission (A) stating that the Company and the Guarantor are registering the Exchange Offer in reliance on the position of the Commission enunciated in Exxon Capital Holdings Corporation (available May 13, 1988), Morgan Stanley and Co., Inc. (available June 5, 1991) as interpreted in the Commission's letter to Shearman &amp; Sterling dated July 2, 1993, and, if applicable, any no-action letter obtained pursuant to clause (i) above, (B) including a representation that neither the Company nor the Guarantor has entered into any arrangement or understanding with any Person to distribute the Exchange Notes to be received in the Exchange Offer and that, to the best of the Company's and the Guarantor's information and belief, each Holder participating in the Exchange Offer is acquiring the Exchange Notes in its ordinary course of business and has no arrangement or understanding with any Person to participate in the distribution of the Exchange Notes received in the Exchange Offer and (C) any other undertaking or representation required by the Commission as set forth in any no-action letter obtained pursuant to clause (i) above, if applicable.</w:t>
      </w:r>
    </w:p>
    <w:p>
      <w:pPr>
        <w:spacing w:after="0" w:line="185" w:lineRule="exact"/>
        <w:rPr>
          <w:rFonts w:ascii="Courier New" w:cs="Courier New" w:eastAsia="Courier New" w:hAnsi="Courier New"/>
          <w:sz w:val="15"/>
          <w:szCs w:val="15"/>
          <w:color w:val="auto"/>
        </w:rPr>
      </w:pPr>
    </w:p>
    <w:p>
      <w:pPr>
        <w:ind w:left="-260" w:right="3639" w:firstLine="984"/>
        <w:spacing w:after="0" w:line="243" w:lineRule="auto"/>
        <w:tabs>
          <w:tab w:leader="none" w:pos="109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Shelf Registration Statement. In connection with the Shelf Registration Statement, the Company and the Guarantor shall:</w:t>
      </w:r>
    </w:p>
    <w:p>
      <w:pPr>
        <w:spacing w:after="0" w:line="176" w:lineRule="exact"/>
        <w:rPr>
          <w:rFonts w:ascii="Courier New" w:cs="Courier New" w:eastAsia="Courier New" w:hAnsi="Courier New"/>
          <w:sz w:val="15"/>
          <w:szCs w:val="15"/>
          <w:color w:val="auto"/>
        </w:rPr>
      </w:pPr>
    </w:p>
    <w:p>
      <w:pPr>
        <w:ind w:left="720" w:right="3019" w:firstLine="455"/>
        <w:spacing w:after="0" w:line="244" w:lineRule="auto"/>
        <w:tabs>
          <w:tab w:leader="none" w:pos="153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all the provisions of Section 6(c) below and use their respective best efforts to effect such registration to permit the sale of the Transfer Restricted Securities being sold in accordance with the intended method or methods of distribution thereof (as indicated in the information furnished to the Company pursuant to Section 4(b) hereof), and pursuant thereto the Company and the Guarantor will prepare and file with the Commission a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w:t>
      </w:r>
    </w:p>
    <w:p>
      <w:pPr>
        <w:spacing w:after="0" w:line="181" w:lineRule="exact"/>
        <w:rPr>
          <w:sz w:val="20"/>
          <w:szCs w:val="20"/>
          <w:color w:val="auto"/>
        </w:rPr>
      </w:pPr>
    </w:p>
    <w:p>
      <w:pPr>
        <w:ind w:left="720" w:right="3019" w:firstLine="455"/>
        <w:spacing w:after="0" w:line="244" w:lineRule="auto"/>
        <w:tabs>
          <w:tab w:leader="none" w:pos="162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upon the request of any Holder or purchaser of Notes covered by any Shelf Registration Statement contemplated by this Agreement, Exchange Notes and related Guarantees having an aggregate principal amount equal to the aggregate principal amount of Notes and related Guarantees sold pursuant to the Shelf Registration Statement and surrendered to the</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Company for cancellation; the Company shall register Exchange Notes and the related Guarantees on the Shelf Registration Statement for this purpose and issue the Exchange Notes and the related Guarantees to the purchaser(s) of securities subject to the Shelf Registration Statement in the names as such purchaser(s) shall designate.</w:t>
      </w:r>
    </w:p>
    <w:p>
      <w:pPr>
        <w:spacing w:after="0" w:line="177" w:lineRule="exact"/>
        <w:rPr>
          <w:sz w:val="20"/>
          <w:szCs w:val="20"/>
          <w:color w:val="auto"/>
        </w:rPr>
      </w:pPr>
    </w:p>
    <w:p>
      <w:pPr>
        <w:ind w:left="-260" w:right="3019" w:firstLine="984"/>
        <w:spacing w:after="0" w:line="244" w:lineRule="auto"/>
        <w:tabs>
          <w:tab w:leader="none" w:pos="109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 In connection with any Registration Statement and any related Prospectus required by this Agreement, the Company and the Guarantor shall:</w:t>
      </w:r>
    </w:p>
    <w:p>
      <w:pPr>
        <w:spacing w:after="0" w:line="175" w:lineRule="exact"/>
        <w:rPr>
          <w:rFonts w:ascii="Courier New" w:cs="Courier New" w:eastAsia="Courier New" w:hAnsi="Courier New"/>
          <w:sz w:val="15"/>
          <w:szCs w:val="15"/>
          <w:color w:val="auto"/>
        </w:rPr>
      </w:pPr>
    </w:p>
    <w:p>
      <w:pPr>
        <w:ind w:left="280" w:right="3019" w:firstLine="895"/>
        <w:spacing w:after="0" w:line="244" w:lineRule="auto"/>
        <w:tabs>
          <w:tab w:leader="none" w:pos="154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their respective best efforts to keep such Registration Statement continuously effective and provide all requisite financial statements for the period specified in Section 3 or 4 of this Agreement, as applicable. Upon the occurrence of any event that would cause any such Registration Statement or the Prospectus contained therein (A) to contain an untrue statement of material fact or omit to state any material fact necessary to make the statements therein not misleading or (B) not to be effective and usable for resale of Transfer Restricted Securities during the period required by this Agreement, the Company and the Guarantor shall file promptly an appropriate amendment to such Registration Statement curing such defect, and, if Commission review is required, use their respective best efforts to cause such amendment to be declared effective as soon as practicable.</w:t>
      </w:r>
    </w:p>
    <w:p>
      <w:pPr>
        <w:spacing w:after="0" w:line="181" w:lineRule="exact"/>
        <w:rPr>
          <w:rFonts w:ascii="Courier New" w:cs="Courier New" w:eastAsia="Courier New" w:hAnsi="Courier New"/>
          <w:sz w:val="15"/>
          <w:szCs w:val="15"/>
          <w:color w:val="auto"/>
        </w:rPr>
      </w:pPr>
    </w:p>
    <w:p>
      <w:pPr>
        <w:ind w:left="280" w:right="3019" w:firstLine="895"/>
        <w:spacing w:after="0" w:line="244" w:lineRule="auto"/>
        <w:tabs>
          <w:tab w:leader="none" w:pos="1632"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post-effective amendments to the applicable Registration Statement as may be necessary to keep such Registration Statement effective for the applicable period set forth in Section 3 or 4 hereof, as the case may be; cause the Prospectus to be supplemented by any required Prospectus supplement, and as so supplemented to be filed pursuant to Rule 424 under the Act, and to comply fully with Rules 424, 430A and 462, as applicable, under the Act in a timely manner; and 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180" w:lineRule="exact"/>
        <w:rPr>
          <w:rFonts w:ascii="Courier New" w:cs="Courier New" w:eastAsia="Courier New" w:hAnsi="Courier New"/>
          <w:sz w:val="15"/>
          <w:szCs w:val="15"/>
          <w:color w:val="auto"/>
        </w:rPr>
      </w:pPr>
    </w:p>
    <w:p>
      <w:pPr>
        <w:ind w:left="280" w:right="3019" w:firstLine="895"/>
        <w:spacing w:after="0" w:line="263" w:lineRule="auto"/>
        <w:tabs>
          <w:tab w:leader="none" w:pos="1723"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and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not misleading, or that requires the making of any additions to or changes in the Prospectus in order to make the statements therein, in the light of the circumstances under which they were made,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Company and the Guarantor shall use their respective best efforts to obtain the withdrawal or lifting of such order at the earliest possible time;</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1"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left="280" w:right="3019" w:firstLine="895"/>
        <w:spacing w:after="0" w:line="264" w:lineRule="auto"/>
        <w:tabs>
          <w:tab w:leader="none" w:pos="1632"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6(c)(i), if any fact or event contemplated by Section 6(c)(iii)(D) above shall exist or have occurred, prepare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163" w:lineRule="exact"/>
        <w:rPr>
          <w:rFonts w:ascii="Courier New" w:cs="Courier New" w:eastAsia="Courier New" w:hAnsi="Courier New"/>
          <w:sz w:val="14"/>
          <w:szCs w:val="14"/>
          <w:color w:val="auto"/>
        </w:rPr>
      </w:pPr>
    </w:p>
    <w:p>
      <w:pPr>
        <w:ind w:left="280" w:right="3019" w:firstLine="895"/>
        <w:spacing w:after="0" w:line="244" w:lineRule="auto"/>
        <w:tabs>
          <w:tab w:leader="none" w:pos="154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Holder in connection with such exchange or sale, if any, before filing with the Commission, copies of any Registration Statement or any Prospectus included therein or any amendments or supplements to any such Registration Statement or Prospectus (including all documents incorporated by reference after the initial filing of such Registration Statement), which documents will be subject to the review and comment of such Holders in connection with such sale, if any, for a period of at least two Business Days, and the Company will not file any such Registration Statement or Prospectus or any amendment or supplement to any such Registration Statement or Prospectus (including all such documents incorporated by reference) to which such Holders shall reasonably object within two Business Days after the receipt thereof. A Holder shall be deemed to have reasonably objected to such filing if such Registration Statement, amendment, Prospectus or supplement, as applicable, as proposed to be filed, contains an untrue statement of a material fact or omits to state any material fact necessary to make the statements therein not misleading or fails to comply with the applicable requirements of the Act;</w:t>
      </w:r>
    </w:p>
    <w:p>
      <w:pPr>
        <w:spacing w:after="0" w:line="184" w:lineRule="exact"/>
        <w:rPr>
          <w:rFonts w:ascii="Courier New" w:cs="Courier New" w:eastAsia="Courier New" w:hAnsi="Courier New"/>
          <w:sz w:val="15"/>
          <w:szCs w:val="15"/>
          <w:color w:val="auto"/>
        </w:rPr>
      </w:pPr>
    </w:p>
    <w:p>
      <w:pPr>
        <w:ind w:left="280" w:right="3099" w:firstLine="895"/>
        <w:spacing w:after="0" w:line="244" w:lineRule="auto"/>
        <w:tabs>
          <w:tab w:leader="none" w:pos="163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prior to the filing of any document that is to be incorporated by reference into a Registration Statement or Prospectus, make available to each Holder copies of such document in connection with such exchange or sale, if any, make the Company's and the Guarantor's representatives available for discussion of such document and other customary due diligence matters, and include such information in such document prior to the filing thereof as such Holders may reasonably request;</w:t>
      </w:r>
    </w:p>
    <w:p>
      <w:pPr>
        <w:spacing w:after="0" w:line="178" w:lineRule="exact"/>
        <w:rPr>
          <w:rFonts w:ascii="Courier New" w:cs="Courier New" w:eastAsia="Courier New" w:hAnsi="Courier New"/>
          <w:sz w:val="15"/>
          <w:szCs w:val="15"/>
          <w:color w:val="auto"/>
        </w:rPr>
      </w:pPr>
    </w:p>
    <w:p>
      <w:pPr>
        <w:ind w:left="280" w:right="3279" w:firstLine="895"/>
        <w:spacing w:after="0" w:line="244" w:lineRule="auto"/>
        <w:tabs>
          <w:tab w:leader="none" w:pos="172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at reasonable times, for inspection by each Holder and any attorney or accountant retained by such Holder, all financial and other records and pertinent corporate documents of the Company and the Guarantor and cause the Company's and the Guarantor's officers, directors and employees to supply all relevant information reasonably requested by any such Holder, attorney or accountant in connection with such Registration Statement or any post-effective amendment thereto subsequent to the filing thereof and prior to its effectiveness, provided that such Holder, attorney or accountant shall keep all such information confidential;</w:t>
      </w:r>
    </w:p>
    <w:p>
      <w:pPr>
        <w:spacing w:after="0" w:line="179" w:lineRule="exact"/>
        <w:rPr>
          <w:rFonts w:ascii="Courier New" w:cs="Courier New" w:eastAsia="Courier New" w:hAnsi="Courier New"/>
          <w:sz w:val="15"/>
          <w:szCs w:val="15"/>
          <w:color w:val="auto"/>
        </w:rPr>
      </w:pPr>
    </w:p>
    <w:p>
      <w:pPr>
        <w:ind w:left="280" w:right="3019" w:firstLine="895"/>
        <w:spacing w:after="0" w:line="244" w:lineRule="auto"/>
        <w:tabs>
          <w:tab w:leader="none" w:pos="1813"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requested by any Holders in connection with such exchange or sale, promptly include in any Registration Statement or Prospectus, pursuant to a supplement or post-effective amendment if necessary, such information as such Holders may reasonably request to have included therein, including, without limitation, information relating to the "Plan of Distribution" of the Transfer Restricted Securities; and make all required filings of such Prospectus supplement or post-effective amendment as soon as practicable after the Company is notified of the matters to be included in such Prospectus supplement or post-effective amendment;</w:t>
      </w:r>
    </w:p>
    <w:p>
      <w:pPr>
        <w:spacing w:after="0" w:line="179" w:lineRule="exact"/>
        <w:rPr>
          <w:rFonts w:ascii="Courier New" w:cs="Courier New" w:eastAsia="Courier New" w:hAnsi="Courier New"/>
          <w:sz w:val="15"/>
          <w:szCs w:val="15"/>
          <w:color w:val="auto"/>
        </w:rPr>
      </w:pPr>
    </w:p>
    <w:p>
      <w:pPr>
        <w:ind w:left="280" w:right="3099" w:firstLine="895"/>
        <w:spacing w:after="0" w:line="244" w:lineRule="auto"/>
        <w:tabs>
          <w:tab w:leader="none" w:pos="163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17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1"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left="280" w:right="3019" w:firstLine="895"/>
        <w:spacing w:after="0" w:line="244" w:lineRule="auto"/>
        <w:tabs>
          <w:tab w:leader="none" w:pos="15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to each Holder without charge, as many copies of the Prospectus (including each preliminary prospectus) and any amendment or supplement thereto as such Persons reasonably may request; the Company and the Guarantor hereby consent to the use (in accordance with law) of the Prospectus and any amendment or supplement thereto by each selling Holder in connection with the offering and the sale of the Transfer Restricted Securities covered by the Prospectus or any amendment or supplement thereto;</w:t>
      </w:r>
    </w:p>
    <w:p>
      <w:pPr>
        <w:spacing w:after="0" w:line="178" w:lineRule="exact"/>
        <w:rPr>
          <w:rFonts w:ascii="Courier New" w:cs="Courier New" w:eastAsia="Courier New" w:hAnsi="Courier New"/>
          <w:sz w:val="15"/>
          <w:szCs w:val="15"/>
          <w:color w:val="auto"/>
        </w:rPr>
      </w:pPr>
    </w:p>
    <w:p>
      <w:pPr>
        <w:ind w:left="280" w:right="3019" w:firstLine="895"/>
        <w:spacing w:after="0" w:line="264" w:lineRule="auto"/>
        <w:tabs>
          <w:tab w:leader="none" w:pos="163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any Holder, enter into such agreements (including underwriting agreements) and make such representations and warranties and take all such other actions in connection therewith in order to expedite or facilitate the disposition of the Transfer Restricted Securities pursuant to any applicable Registration Statement contemplated by this Agreement as may be reasonably requested by any Holder in connection with any sale or resale pursuant to any applicable Registration Statement. In such connection the Company and the Guarantor shall:</w:t>
      </w:r>
    </w:p>
    <w:p>
      <w:pPr>
        <w:spacing w:after="0" w:line="165" w:lineRule="exact"/>
        <w:rPr>
          <w:sz w:val="20"/>
          <w:szCs w:val="20"/>
          <w:color w:val="auto"/>
        </w:rPr>
      </w:pPr>
    </w:p>
    <w:p>
      <w:pPr>
        <w:ind w:left="720" w:right="3019" w:firstLine="455"/>
        <w:spacing w:after="0" w:line="244" w:lineRule="auto"/>
        <w:tabs>
          <w:tab w:leader="none" w:pos="153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of any Holder, furnish (or in the case of paragraphs (2) and (3), use their respective best efforts to cause to be furnished) to each Holder, upon Consummation of the Exchange Offer or upon the effectiveness of the Shelf Registration Statement, as the case may be:</w:t>
      </w:r>
    </w:p>
    <w:p>
      <w:pPr>
        <w:spacing w:after="0" w:line="176" w:lineRule="exact"/>
        <w:rPr>
          <w:rFonts w:ascii="Courier New" w:cs="Courier New" w:eastAsia="Courier New" w:hAnsi="Courier New"/>
          <w:sz w:val="15"/>
          <w:szCs w:val="15"/>
          <w:color w:val="auto"/>
        </w:rPr>
      </w:pPr>
    </w:p>
    <w:p>
      <w:pPr>
        <w:ind w:left="1180" w:right="3019" w:firstLine="536"/>
        <w:spacing w:after="0" w:line="266" w:lineRule="auto"/>
        <w:tabs>
          <w:tab w:leader="none" w:pos="2082"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dated such date, signed on behalf of the Company and the Guarantor by (x) the President or any Vice President and (y) a principal financial or accounting officer of the Company, confirming, as of the date thereof, the matters set forth in Sections 9(a), 9(b) and 9(k) of the Purchase Agreement;</w:t>
      </w:r>
    </w:p>
    <w:p>
      <w:pPr>
        <w:spacing w:after="0" w:line="161" w:lineRule="exact"/>
        <w:rPr>
          <w:rFonts w:ascii="Courier New" w:cs="Courier New" w:eastAsia="Courier New" w:hAnsi="Courier New"/>
          <w:sz w:val="14"/>
          <w:szCs w:val="14"/>
          <w:color w:val="auto"/>
        </w:rPr>
      </w:pPr>
    </w:p>
    <w:p>
      <w:pPr>
        <w:ind w:left="1180" w:right="3019" w:firstLine="536"/>
        <w:spacing w:after="0" w:line="262" w:lineRule="auto"/>
        <w:tabs>
          <w:tab w:leader="none" w:pos="2082"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opinions, dated the date of Consummation of the Exchange Offer or the date of effectiveness of the Shelf Registration Statement, as the case may be, of counsel for the Company and the Guarantor covering matters similar to those set forth in paragraphs (d) and (e) of Section 9 of the Purchase Agreement and such other customary matter as such Holder may reasonably request, and in any event including a statement to the effect that such counsel has participated in conferences with officers and other representatives of the Company and the Guarantor, representatives of the independent public accountants for the Company and the Guarantor and have considered the matters required to be stated therein and the statements contained therein, although such counsel has not independently verified the accuracy, completeness or fairness of such statements; and that such counsel advises that, on the basis of the foregoing (relying as to materiality upon the statements of officers and other representatives of the Company and the Guarantor and without independent check or verification)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 Prospectus contained in such Registration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200" w:lineRule="exact"/>
        <w:rPr>
          <w:sz w:val="20"/>
          <w:szCs w:val="20"/>
          <w:color w:val="auto"/>
        </w:rPr>
      </w:pPr>
    </w:p>
    <w:p>
      <w:pPr>
        <w:spacing w:after="0" w:line="32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91"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left="1180" w:right="3199" w:firstLine="536"/>
        <w:spacing w:after="0" w:line="244" w:lineRule="auto"/>
        <w:tabs>
          <w:tab w:leader="none" w:pos="2082"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customary comfort letter, dated the date of Consummation of the Exchange Offer, or as of the date of effectiveness of the Shelf Registration Statement, as the case may be, from the Company's independent accountants, in the customary form and covering matters of the type customarily covered in comfort letters to underwriters in connection with underwritten offerings, and affirming the matters set forth in the comfort letters delivered pursuant to Section 9(g) of the Purchase Agreement; and</w:t>
      </w:r>
    </w:p>
    <w:p>
      <w:pPr>
        <w:spacing w:after="0" w:line="179" w:lineRule="exact"/>
        <w:rPr>
          <w:rFonts w:ascii="Courier New" w:cs="Courier New" w:eastAsia="Courier New" w:hAnsi="Courier New"/>
          <w:sz w:val="15"/>
          <w:szCs w:val="15"/>
          <w:color w:val="auto"/>
        </w:rPr>
      </w:pPr>
    </w:p>
    <w:p>
      <w:pPr>
        <w:ind w:left="720" w:right="3019" w:firstLine="455"/>
        <w:spacing w:after="0" w:line="244" w:lineRule="auto"/>
        <w:tabs>
          <w:tab w:leader="none" w:pos="153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such other documents and certificates as may be reasonably requested by the selling Holders to evidence compliance with the matters covered in clause (A) above and with any customary conditions contained in any agreement entered into by the Company and the Guarantor pursuant to this clause (xi);</w:t>
      </w:r>
    </w:p>
    <w:p>
      <w:pPr>
        <w:spacing w:after="0" w:line="177" w:lineRule="exact"/>
        <w:rPr>
          <w:sz w:val="20"/>
          <w:szCs w:val="20"/>
          <w:color w:val="auto"/>
        </w:rPr>
      </w:pPr>
    </w:p>
    <w:p>
      <w:pPr>
        <w:ind w:left="280" w:right="3019" w:firstLine="895"/>
        <w:spacing w:after="0" w:line="263" w:lineRule="auto"/>
        <w:tabs>
          <w:tab w:leader="none" w:pos="1723"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acts or things necessary or advisable to enable the disposition in such jurisdictions of the Transfer Restricted Securities covered by the applicable Registration Statement; provided, however, that neither the Company nor the Guarantor shall be required to register or qualify as a foreign corporation where it is not now so qualified or to take any action that would subject it to the service of process in suits or to taxation, other than as to matters and transactions relating to the Registration Statement, in any jurisdiction where it is not now so subject;</w:t>
      </w:r>
    </w:p>
    <w:p>
      <w:pPr>
        <w:spacing w:after="0" w:line="341" w:lineRule="exact"/>
        <w:rPr>
          <w:rFonts w:ascii="Courier New" w:cs="Courier New" w:eastAsia="Courier New" w:hAnsi="Courier New"/>
          <w:sz w:val="14"/>
          <w:szCs w:val="14"/>
          <w:color w:val="auto"/>
        </w:rPr>
      </w:pPr>
    </w:p>
    <w:p>
      <w:pPr>
        <w:ind w:left="280" w:right="3019" w:firstLine="895"/>
        <w:spacing w:after="0" w:line="244" w:lineRule="auto"/>
        <w:tabs>
          <w:tab w:leader="none" w:pos="181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such Transfer Restricted Securities in such denominations and such names as the selling Holders may request at least two Business Days prior to such sale of Transfer Restricted Securities;</w:t>
      </w:r>
    </w:p>
    <w:p>
      <w:pPr>
        <w:spacing w:after="0" w:line="178" w:lineRule="exact"/>
        <w:rPr>
          <w:rFonts w:ascii="Courier New" w:cs="Courier New" w:eastAsia="Courier New" w:hAnsi="Courier New"/>
          <w:sz w:val="15"/>
          <w:szCs w:val="15"/>
          <w:color w:val="auto"/>
        </w:rPr>
      </w:pPr>
    </w:p>
    <w:p>
      <w:pPr>
        <w:ind w:left="280" w:right="3019" w:firstLine="895"/>
        <w:spacing w:after="0" w:line="265" w:lineRule="auto"/>
        <w:tabs>
          <w:tab w:leader="none" w:pos="1723"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their respective best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162" w:lineRule="exact"/>
        <w:rPr>
          <w:rFonts w:ascii="Courier New" w:cs="Courier New" w:eastAsia="Courier New" w:hAnsi="Courier New"/>
          <w:sz w:val="14"/>
          <w:szCs w:val="14"/>
          <w:color w:val="auto"/>
        </w:rPr>
      </w:pPr>
    </w:p>
    <w:p>
      <w:pPr>
        <w:ind w:left="280" w:right="3019" w:firstLine="895"/>
        <w:spacing w:after="0" w:line="244" w:lineRule="auto"/>
        <w:tabs>
          <w:tab w:leader="none" w:pos="163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CUSIP number for all Transfer Restricted Securities not later than the effective date of a Registration Statement covering such Transfer Restricted Securities and provide the Trustee under the Indenture with printed certificates for the Transfer Restricted Securities which are in a form eligible for deposit with the Depository Trust Company;</w:t>
      </w:r>
    </w:p>
    <w:p>
      <w:pPr>
        <w:spacing w:after="0" w:line="177" w:lineRule="exact"/>
        <w:rPr>
          <w:rFonts w:ascii="Courier New" w:cs="Courier New" w:eastAsia="Courier New" w:hAnsi="Courier New"/>
          <w:sz w:val="15"/>
          <w:szCs w:val="15"/>
          <w:color w:val="auto"/>
        </w:rPr>
      </w:pPr>
    </w:p>
    <w:p>
      <w:pPr>
        <w:ind w:left="280" w:right="3019" w:firstLine="895"/>
        <w:spacing w:after="0" w:line="244" w:lineRule="auto"/>
        <w:tabs>
          <w:tab w:leader="none" w:pos="172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use their respective best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w:t>
      </w:r>
    </w:p>
    <w:p>
      <w:pPr>
        <w:spacing w:after="0" w:line="178" w:lineRule="exact"/>
        <w:rPr>
          <w:rFonts w:ascii="Courier New" w:cs="Courier New" w:eastAsia="Courier New" w:hAnsi="Courier New"/>
          <w:sz w:val="15"/>
          <w:szCs w:val="15"/>
          <w:color w:val="auto"/>
        </w:rPr>
      </w:pPr>
    </w:p>
    <w:p>
      <w:pPr>
        <w:ind w:left="280" w:right="3019" w:firstLine="895"/>
        <w:spacing w:after="0" w:line="244" w:lineRule="auto"/>
        <w:tabs>
          <w:tab w:leader="none" w:pos="181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Indenture to be qualified under the TIA not later than the effective date of the first Registration Statement required by this Agreement and, in connection therewith, cooperate</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91"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with the Trustee and the Holders to effect such changes to the Indenture as may be required for such Indenture to be so qualified in accordance with the terms of the TIA; and execute, and use their respective best efforts to cause the Trustee to execute, all documents that may be required to effect such changes and all other forms and documents required to be filed with the Commission to enable such Indenture to be so qualified in a timely manner; and</w:t>
      </w:r>
    </w:p>
    <w:p>
      <w:pPr>
        <w:spacing w:after="0" w:line="178" w:lineRule="exact"/>
        <w:rPr>
          <w:sz w:val="20"/>
          <w:szCs w:val="20"/>
          <w:color w:val="auto"/>
        </w:rPr>
      </w:pPr>
    </w:p>
    <w:p>
      <w:pPr>
        <w:ind w:left="540" w:right="3019" w:firstLine="895"/>
        <w:spacing w:after="0" w:line="244" w:lineRule="auto"/>
        <w:tabs>
          <w:tab w:leader="none" w:pos="2163"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promptly to each Holder, upon request, each document filed with the Commission pursuant to the requirements of Section 13 or Section 15(d) of the Exchange Act.</w:t>
      </w:r>
    </w:p>
    <w:p>
      <w:pPr>
        <w:spacing w:after="0" w:line="175" w:lineRule="exact"/>
        <w:rPr>
          <w:rFonts w:ascii="Courier New" w:cs="Courier New" w:eastAsia="Courier New" w:hAnsi="Courier New"/>
          <w:sz w:val="15"/>
          <w:szCs w:val="15"/>
          <w:color w:val="auto"/>
        </w:rPr>
      </w:pPr>
    </w:p>
    <w:p>
      <w:pPr>
        <w:ind w:right="3019" w:firstLine="984"/>
        <w:spacing w:after="0" w:line="263" w:lineRule="auto"/>
        <w:tabs>
          <w:tab w:leader="none" w:pos="135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Holders. Each Holder agrees by acquisition of a Transfer Restricted Security that, upon receipt of the notice referred to in Section 6(c)(iii)(C) or any notice from the Company of the existence of any fact of the kind described in Section 6(c)(iii)(D) hereof (in each case, a "SUSPENSION NOTICE"), such Holder will forthwith discontinue disposition of Transfer Restricted Securities pursuant to the applicable Registration Statement until (i) such Holder has received copies of the supplemented or amended Prospectus contemplated by Section 6(c)(iv) hereof, or (ii) such Holder is advised in writing by the Company that the use of the Prospectus may be resumed, and has received copies of any additional or supplemental filings that are incorporated by reference in the Prospectus (in each case, the "RECOMMENCEMENT DATE"). Each Holder receiving a Suspension Notice hereby agrees that it will either (i) destroy any Prospectuses, other than permanent file copies, then in such Holder's possession which have been replaced by the Company with more recently dated Prospectuses or (ii) deliver to the Company (at the Company's expense) all copies, other than permanent file copies, then in such Holder's possession of the Prospectus covering such Transfer Restricted Securities that was current at the time of receipt of the Suspension Notice. The time period regarding the 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337"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REGISTRATION EXPENSES</w:t>
      </w:r>
    </w:p>
    <w:p>
      <w:pPr>
        <w:spacing w:after="0" w:line="178" w:lineRule="exact"/>
        <w:rPr>
          <w:sz w:val="20"/>
          <w:szCs w:val="20"/>
          <w:color w:val="auto"/>
        </w:rPr>
      </w:pPr>
    </w:p>
    <w:p>
      <w:pPr>
        <w:ind w:right="3019" w:firstLine="984"/>
        <w:spacing w:after="0" w:line="244" w:lineRule="auto"/>
        <w:tabs>
          <w:tab w:leader="none" w:pos="135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incident to the Company's and the Guarantor's performance of or compliance with this Agreement will be borne by the Company,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Exchange Notes to be issued in the Exchange Offer and printing of Prospectuses), messenger and delivery services and telephone; (iv) all fees and disbursements of counsel for the Company and the Guarantor and the Holders of Transfer Restricted Securities, as set forth in Section (b) below; (v) all application and filing fees in connection with listing the Exchange Notes on a national securities exchange or automated quotation system pursuant to the requirements hereof; and (vi) all fees and disbursements of independent certified public accountants of the Company and the Guarantor (including the expenses of any special audit and comfort letters required by or incident to such performance).</w:t>
      </w:r>
    </w:p>
    <w:p>
      <w:pPr>
        <w:spacing w:after="0" w:line="183"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The Company will, in any event, bear its and the Guarantor's internal expenses (including, without limitation, all salaries and expenses of its officers and employees performing legal or accounting duties), the expenses of any annual audit and the fees and expenses of any Person, including special experts, retained by the Company or the Guarantor.</w:t>
      </w:r>
    </w:p>
    <w:p>
      <w:pPr>
        <w:spacing w:after="0" w:line="177" w:lineRule="exact"/>
        <w:rPr>
          <w:sz w:val="20"/>
          <w:szCs w:val="20"/>
          <w:color w:val="auto"/>
        </w:rPr>
      </w:pPr>
    </w:p>
    <w:p>
      <w:pPr>
        <w:ind w:right="3199" w:firstLine="984"/>
        <w:spacing w:after="0" w:line="267" w:lineRule="auto"/>
        <w:tabs>
          <w:tab w:leader="none" w:pos="1352"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any Registration Statement required by this Agreement (including, without limitation, the Exchange Offer Registration Statement and the Shelf Registration Statement), the Company and the Guarantor will reimburse the Initial Purchasers and the Holders of Transfer Restricted</w:t>
      </w:r>
    </w:p>
    <w:p>
      <w:pPr>
        <w:spacing w:after="0" w:line="3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Securities who are tendering Notes in the Exchange Offer and/or selling or reselling Notes or Exchange Notes pursuant to the "Plan of Distribution" contained in the Exchange Offer Registration Statement or the Shelf Registration Statement, as applicable, for the reasonable fees and disbursements of not more than one counsel, who shall be McDermott, Will &amp; Emery unless another firm shall be chosen by the Holders of a majority in principal amount of the Transfer Restricted Securities for whose benefit such Registration Statement is being prepared.</w:t>
      </w:r>
    </w:p>
    <w:p>
      <w:pPr>
        <w:spacing w:after="0" w:line="178"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INDEMNIFICATION</w:t>
      </w:r>
    </w:p>
    <w:p>
      <w:pPr>
        <w:spacing w:after="0" w:line="178" w:lineRule="exact"/>
        <w:rPr>
          <w:sz w:val="20"/>
          <w:szCs w:val="20"/>
          <w:color w:val="auto"/>
        </w:rPr>
      </w:pPr>
    </w:p>
    <w:p>
      <w:pPr>
        <w:ind w:right="3019" w:firstLine="984"/>
        <w:spacing w:after="0" w:line="244" w:lineRule="auto"/>
        <w:tabs>
          <w:tab w:leader="none" w:pos="135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Guarantor agree, jointly and severally, to indemnify and hold harmless each Holder and each Person, if any, who controls such Holder (within the meaning of Section 15 of the Act or Section 20 of the Exchange Act), from and against any and all losses, claims, damages, liabilities and judgments, caused by any untrue statement or alleged untrue statement of a material fact contained in any Registration Statement, preliminary prospectus or Prospectus (or any amendment or supplement thereto) provided by the Company to any Holder or any prospective purchaser of Exchange Notes or registered Notes, or caused by any omission or alleged omission to state therein a material fact required to be stated therein or necessary to make the statements therein not misleading, except insofar as such losses, claims, damages, liabilities or judgments are caused by an untrue statement or omission or alleged untrue statement or omission that is based upon information relating to any of the Holders furnished in writing to the Company by or on behalf of any of the Holders.</w:t>
      </w:r>
    </w:p>
    <w:p>
      <w:pPr>
        <w:spacing w:after="0" w:line="182" w:lineRule="exact"/>
        <w:rPr>
          <w:rFonts w:ascii="Courier New" w:cs="Courier New" w:eastAsia="Courier New" w:hAnsi="Courier New"/>
          <w:sz w:val="15"/>
          <w:szCs w:val="15"/>
          <w:color w:val="auto"/>
        </w:rPr>
      </w:pPr>
    </w:p>
    <w:p>
      <w:pPr>
        <w:ind w:right="3019" w:firstLine="984"/>
        <w:spacing w:after="0" w:line="244" w:lineRule="auto"/>
        <w:tabs>
          <w:tab w:leader="none" w:pos="135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Transfer Restricted Securities agrees, severally and not jointly, to indemnify and hold harmless the Company and the Guarantor, and their respective directors and officers, and each person, if any, who controls (within the meaning of Section 15 of the Act or Section 20 of the Exchange Act) the Company or the Guarantor, to the same extent as the foregoing indemnity from the Company and the Guarantor set forth in Section 8(a) above, but only with reference to information relating to such Holder furnished in writing to the Company by or on behalf of such Holder expressly for use in any Registration Statement. In no event shall any Holder, its directors, officers or any Person who controls such Holder be liable or responsible for any amount in excess of the amount by which the total amount received by such Holder with respect to its sale of Transfer Restricted Securities pursuant to a Registration Statement exceeds (i) the amount paid by such Holder for such Transfer Restricted Securities and (ii) the amount of any damages that such Holder, its directors, officers or any Person who controls such Holder has otherwise been required to pay by reason of such untrue or alleged untrue statement or omission or alleged omission.</w:t>
      </w:r>
    </w:p>
    <w:p>
      <w:pPr>
        <w:spacing w:after="0" w:line="184" w:lineRule="exact"/>
        <w:rPr>
          <w:rFonts w:ascii="Courier New" w:cs="Courier New" w:eastAsia="Courier New" w:hAnsi="Courier New"/>
          <w:sz w:val="15"/>
          <w:szCs w:val="15"/>
          <w:color w:val="auto"/>
        </w:rPr>
      </w:pPr>
    </w:p>
    <w:p>
      <w:pPr>
        <w:ind w:right="3019" w:firstLine="984"/>
        <w:spacing w:after="0" w:line="244" w:lineRule="auto"/>
        <w:tabs>
          <w:tab w:leader="none" w:pos="135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action shall be commenced involving any person in respect of which indemnity may be sought pursuant to Section 8(a) or 8(b) (the "INDEMNIFIED PARTY"), the indemnified party shall promptly notify the person against whom such indemnity may be sought (the "INDEMNIFYING PERSON") in writing and the indemnifying party shall assume the defense of such action, including the employment of counsel reasonably satisfactory to the indemnified party and the payment of all fees and expenses of such counsel, (except that in the case of any action in respect of which indemnity may be sought pursuant to both Sections 8(a) and 8(b), a Holder shall not be required to assume the defense of such action pursuant to this Section 8(c), but may employ separate counsel and participate in the defense thereof, but the fees and expenses of such counsel, except as provided below, shall be at the expense of the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19"/>
        <w:spacing w:after="0" w:line="262" w:lineRule="auto"/>
        <w:rPr>
          <w:sz w:val="20"/>
          <w:szCs w:val="20"/>
          <w:color w:val="auto"/>
        </w:rPr>
      </w:pPr>
      <w:r>
        <w:rPr>
          <w:rFonts w:ascii="Courier New" w:cs="Courier New" w:eastAsia="Courier New" w:hAnsi="Courier New"/>
          <w:sz w:val="14"/>
          <w:szCs w:val="14"/>
          <w:color w:val="auto"/>
        </w:rPr>
        <w:t>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Holders, in the case of the parties indemnified pursuant to Section 8(a), and by the Company and the Guarantor, in the case of parties indemnified pursuant to Section 8(b). The indemnifying party shall indemnify and hold harmless the indemnified party from and against any and all losses, claims, damages, liabilities and judgments by reason of any settlement of any action (i) effected with its written consent or (ii) effected without its written consent if the settlement is entered into more than forty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354" w:lineRule="exact"/>
        <w:rPr>
          <w:sz w:val="20"/>
          <w:szCs w:val="20"/>
          <w:color w:val="auto"/>
        </w:rPr>
      </w:pPr>
    </w:p>
    <w:p>
      <w:pPr>
        <w:ind w:right="3019" w:firstLine="984"/>
        <w:spacing w:after="0" w:line="262" w:lineRule="auto"/>
        <w:tabs>
          <w:tab w:leader="none" w:pos="1352"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 indemnification provided for in this Section 8 is unavailable to an indemnified party in respect of any losses, claims, damages, liabilities or judgments 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Company and the Guarantor, on the one hand, and the Holders, on the other hand, from their sale of Transfer Restricted Securities or (ii) if the allocation provided by clause 8(d)(i) is not permitted by applicable law, in such proportion as is appropriate to reflect not only the relative benefits referred to in clause</w:t>
      </w:r>
    </w:p>
    <w:p>
      <w:pPr>
        <w:spacing w:after="0" w:line="2" w:lineRule="exact"/>
        <w:rPr>
          <w:rFonts w:ascii="Courier New" w:cs="Courier New" w:eastAsia="Courier New" w:hAnsi="Courier New"/>
          <w:sz w:val="14"/>
          <w:szCs w:val="14"/>
          <w:color w:val="auto"/>
        </w:rPr>
      </w:pPr>
    </w:p>
    <w:p>
      <w:pPr>
        <w:ind w:right="309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8(d)(i) above but also the relative fault of the Company and the Guarantor, on the one hand, and of the Holders, on the other hand, in connection with the statements or omissions which resulted in such losses, claims, damages, liabilities or judgments, as well as any other relevant equitable considerations. The relative fault of the Company and the Guarantor, on the one hand, and of the Holders, on the other hand, shall be determined by reference to, among other things, whether the untrue or alleged untrue statement of a material fact or the omission or alleged omission to state a material fact relates to information supplied by the Company or the Guarantor, on the one hand, or by the Holders, on the other hand, and the parties' relative intent, knowledge, access to information and opportunity to correct or prevent such statement or omission.</w:t>
      </w:r>
    </w:p>
    <w:p>
      <w:pPr>
        <w:spacing w:after="0" w:line="181" w:lineRule="exact"/>
        <w:rPr>
          <w:sz w:val="20"/>
          <w:szCs w:val="20"/>
          <w:color w:val="auto"/>
        </w:rPr>
      </w:pPr>
    </w:p>
    <w:p>
      <w:pPr>
        <w:ind w:right="3019" w:firstLine="992"/>
        <w:spacing w:after="0" w:line="263" w:lineRule="auto"/>
        <w:rPr>
          <w:sz w:val="20"/>
          <w:szCs w:val="20"/>
          <w:color w:val="auto"/>
        </w:rPr>
      </w:pPr>
      <w:r>
        <w:rPr>
          <w:rFonts w:ascii="Courier New" w:cs="Courier New" w:eastAsia="Courier New" w:hAnsi="Courier New"/>
          <w:sz w:val="14"/>
          <w:szCs w:val="14"/>
          <w:color w:val="auto"/>
        </w:rPr>
        <w:t>The Company, the Guarantor and each Holder agree that it would not be just and equitable if contribution pursuant to this Section 8(d)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reasonable expenses incurred by such indemnified party in connection with investigating or defending any such action or claim. Notwithstanding the provisions of this Section 8, no Holder, its directors, its officers or any Person, if any, who controls such Holder shall be required to</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contribute, in the aggregate, any amount in excess of the amount by which the total received by such Holder with respect to the sale of Transfer Restricted Securities pursuant to a Registration Statement exceeds (i) the amount paid by such Holder for such Transfer Restricted Securities and (ii) the amount of any damages which such 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Holders' obligations to contribute pursuant to this Section 8(d) are several in proportion to the respective principal amount of Transfer Restricted Securities held by each Holder hereunder and not joint.</w:t>
      </w:r>
    </w:p>
    <w:p>
      <w:pPr>
        <w:spacing w:after="0" w:line="180"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RULE 144A AND RULE 144</w:t>
      </w:r>
    </w:p>
    <w:p>
      <w:pPr>
        <w:spacing w:after="0" w:line="178"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The Company and the Guarantor agree with each Holder, for so long as any Transfer Restricted Securities remain outstanding and during any period in which the Company or the 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Restricted Securities pursuant to Rule 144.</w:t>
      </w:r>
    </w:p>
    <w:p>
      <w:pPr>
        <w:spacing w:after="0" w:line="180"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MISCELLANEOUS</w:t>
      </w:r>
    </w:p>
    <w:p>
      <w:pPr>
        <w:spacing w:after="0" w:line="178" w:lineRule="exact"/>
        <w:rPr>
          <w:sz w:val="20"/>
          <w:szCs w:val="20"/>
          <w:color w:val="auto"/>
        </w:rPr>
      </w:pPr>
    </w:p>
    <w:p>
      <w:pPr>
        <w:ind w:right="3099" w:firstLine="984"/>
        <w:spacing w:after="0" w:line="244" w:lineRule="auto"/>
        <w:tabs>
          <w:tab w:leader="none" w:pos="135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The Company and the Guarantor acknowledge and agree that any failure by the Company and/or the Guarantor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Company's obligations under Sections 3 and 4 hereof. The Company and the Guarantor further agree to waive the defense in any action for specific performance that a remedy at law would be adequate.</w:t>
      </w:r>
    </w:p>
    <w:p>
      <w:pPr>
        <w:spacing w:after="0" w:line="179" w:lineRule="exact"/>
        <w:rPr>
          <w:rFonts w:ascii="Courier New" w:cs="Courier New" w:eastAsia="Courier New" w:hAnsi="Courier New"/>
          <w:sz w:val="15"/>
          <w:szCs w:val="15"/>
          <w:color w:val="auto"/>
        </w:rPr>
      </w:pPr>
    </w:p>
    <w:p>
      <w:pPr>
        <w:ind w:right="3019" w:firstLine="984"/>
        <w:spacing w:after="0" w:line="264" w:lineRule="auto"/>
        <w:tabs>
          <w:tab w:leader="none" w:pos="135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Inconsistent Agreements. Neither the Company nor the Guarantor will, on or after the date of this Agreement, enter into any agreement with respect to its securities that is inconsistent with the rights granted to the Holders in this Agreement or otherwise conflicts with the provisions hereof. No holder of any security of the Company or the Guarantor has any right to require registration of any securities of the Company or the Guarantor because of the filing of the Registration Statement that has not been waived. The rights granted to the Holders hereunder do not in any way conflict with and are not inconsistent with the rights granted to the holders of the Company's and the Guarantor's securities under any agreement in effect on the date hereof.</w:t>
      </w:r>
    </w:p>
    <w:p>
      <w:pPr>
        <w:spacing w:after="0" w:line="162" w:lineRule="exact"/>
        <w:rPr>
          <w:rFonts w:ascii="Courier New" w:cs="Courier New" w:eastAsia="Courier New" w:hAnsi="Courier New"/>
          <w:sz w:val="14"/>
          <w:szCs w:val="14"/>
          <w:color w:val="auto"/>
        </w:rPr>
      </w:pPr>
    </w:p>
    <w:p>
      <w:pPr>
        <w:ind w:right="3019" w:firstLine="984"/>
        <w:spacing w:after="0" w:line="244" w:lineRule="auto"/>
        <w:tabs>
          <w:tab w:leader="none" w:pos="1352"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The provisions of this Agreement may not be amended, modified or supplemented, and waivers or consents to or departures from the provisions hereof may not be given unless (i) in the case of Section 5 hereof and this Section 10(c)(i), the Company has obtained the written consent of Holders of all outstanding Transfer Restricted Securities and (ii) in the case of all other provisions hereof, the Company has obtained the written consent of Holders of a majority of the outstanding principal amount of Transfer Restricted Securities (excluding Transfer Restricted Securities held by the Company or its Affiliates). Notwithstanding the foregoing, a waiver or consent to departure from the provisions hereof that relates exclusively to the rights of Holders whose Transfer Restricted Securities are</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177" w:lineRule="exact"/>
        <w:rPr>
          <w:sz w:val="20"/>
          <w:szCs w:val="20"/>
          <w:color w:val="auto"/>
        </w:rPr>
      </w:pPr>
    </w:p>
    <w:p>
      <w:pPr>
        <w:ind w:right="3019" w:firstLine="984"/>
        <w:spacing w:after="0" w:line="244" w:lineRule="auto"/>
        <w:tabs>
          <w:tab w:leader="none" w:pos="135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 Beneficiary. The Holders shall be third party beneficiaries to the agreements made hereunder between the Company and the Guarantor on the one hand, and the Initial Purchasers, on the other hand, and shall have the right to enforce such agreements directly to the extent they may deem such enforcement necessary or advisable to protect its rights or the rights of Holders hereunder.</w:t>
      </w:r>
    </w:p>
    <w:p>
      <w:pPr>
        <w:spacing w:after="0" w:line="177" w:lineRule="exact"/>
        <w:rPr>
          <w:rFonts w:ascii="Courier New" w:cs="Courier New" w:eastAsia="Courier New" w:hAnsi="Courier New"/>
          <w:sz w:val="15"/>
          <w:szCs w:val="15"/>
          <w:color w:val="auto"/>
        </w:rPr>
      </w:pPr>
    </w:p>
    <w:p>
      <w:pPr>
        <w:ind w:right="3099" w:firstLine="984"/>
        <w:spacing w:after="0" w:line="244" w:lineRule="auto"/>
        <w:tabs>
          <w:tab w:leader="none" w:pos="135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175" w:lineRule="exact"/>
        <w:rPr>
          <w:rFonts w:ascii="Courier New" w:cs="Courier New" w:eastAsia="Courier New" w:hAnsi="Courier New"/>
          <w:sz w:val="15"/>
          <w:szCs w:val="15"/>
          <w:color w:val="auto"/>
        </w:rPr>
      </w:pPr>
    </w:p>
    <w:p>
      <w:pPr>
        <w:ind w:left="540" w:right="3099" w:firstLine="895"/>
        <w:spacing w:after="0" w:line="244" w:lineRule="auto"/>
        <w:tabs>
          <w:tab w:leader="none" w:pos="1802"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 Holder, at the address set forth on the records of the Registrar under the Indenture, with a copy to the Registrar under the Indenture; and</w:t>
      </w:r>
    </w:p>
    <w:p>
      <w:pPr>
        <w:spacing w:after="0" w:line="174" w:lineRule="exact"/>
        <w:rPr>
          <w:rFonts w:ascii="Courier New" w:cs="Courier New" w:eastAsia="Courier New" w:hAnsi="Courier New"/>
          <w:sz w:val="15"/>
          <w:szCs w:val="15"/>
          <w:color w:val="auto"/>
        </w:rPr>
      </w:pPr>
    </w:p>
    <w:p>
      <w:pPr>
        <w:ind w:left="1880" w:hanging="445"/>
        <w:spacing w:after="0"/>
        <w:tabs>
          <w:tab w:leader="none" w:pos="188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or the Guarantor to:</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2420"/>
        <w:spacing w:after="0"/>
        <w:tabs>
          <w:tab w:leader="none" w:pos="3840" w:val="left"/>
        </w:tabs>
        <w:rPr>
          <w:sz w:val="20"/>
          <w:szCs w:val="20"/>
          <w:color w:val="auto"/>
        </w:rPr>
      </w:pPr>
      <w:r>
        <w:rPr>
          <w:rFonts w:ascii="Courier New" w:cs="Courier New" w:eastAsia="Courier New" w:hAnsi="Courier New"/>
          <w:sz w:val="15"/>
          <w:szCs w:val="15"/>
          <w:color w:val="auto"/>
        </w:rPr>
        <w:t>Houston, Texas</w:t>
        <w:tab/>
        <w:t>77002</w:t>
      </w:r>
    </w:p>
    <w:p>
      <w:pPr>
        <w:spacing w:after="0" w:line="3" w:lineRule="exact"/>
        <w:rPr>
          <w:sz w:val="20"/>
          <w:szCs w:val="20"/>
          <w:color w:val="auto"/>
        </w:rPr>
      </w:pPr>
    </w:p>
    <w:p>
      <w:pPr>
        <w:ind w:left="2420"/>
        <w:spacing w:after="0"/>
        <w:tabs>
          <w:tab w:leader="none" w:pos="3940" w:val="left"/>
        </w:tabs>
        <w:rPr>
          <w:sz w:val="20"/>
          <w:szCs w:val="20"/>
          <w:color w:val="auto"/>
        </w:rPr>
      </w:pPr>
      <w:r>
        <w:rPr>
          <w:rFonts w:ascii="Courier New" w:cs="Courier New" w:eastAsia="Courier New" w:hAnsi="Courier New"/>
          <w:sz w:val="15"/>
          <w:szCs w:val="15"/>
          <w:color w:val="auto"/>
        </w:rPr>
        <w:t>Telecopier No.:</w:t>
      </w:r>
      <w:r>
        <w:rPr>
          <w:sz w:val="20"/>
          <w:szCs w:val="20"/>
          <w:color w:val="auto"/>
        </w:rPr>
        <w:tab/>
      </w:r>
      <w:r>
        <w:rPr>
          <w:rFonts w:ascii="Courier New" w:cs="Courier New" w:eastAsia="Courier New" w:hAnsi="Courier New"/>
          <w:sz w:val="14"/>
          <w:szCs w:val="14"/>
          <w:color w:val="auto"/>
        </w:rPr>
        <w:t>(713) 209-9711</w:t>
      </w:r>
    </w:p>
    <w:p>
      <w:pPr>
        <w:spacing w:after="0" w:line="3" w:lineRule="exact"/>
        <w:rPr>
          <w:sz w:val="20"/>
          <w:szCs w:val="20"/>
          <w:color w:val="auto"/>
        </w:rPr>
      </w:pPr>
    </w:p>
    <w:p>
      <w:pPr>
        <w:ind w:left="2420"/>
        <w:spacing w:after="0"/>
        <w:tabs>
          <w:tab w:leader="none" w:pos="3480" w:val="left"/>
        </w:tabs>
        <w:rPr>
          <w:sz w:val="20"/>
          <w:szCs w:val="20"/>
          <w:color w:val="auto"/>
        </w:rPr>
      </w:pPr>
      <w:r>
        <w:rPr>
          <w:rFonts w:ascii="Courier New" w:cs="Courier New" w:eastAsia="Courier New" w:hAnsi="Courier New"/>
          <w:sz w:val="15"/>
          <w:szCs w:val="15"/>
          <w:color w:val="auto"/>
        </w:rPr>
        <w:t>Attention:</w:t>
        <w:tab/>
        <w:t>General Counsel</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Locke Liddell &amp; Sapp LLP</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600 Travis Street</w:t>
      </w:r>
    </w:p>
    <w:p>
      <w:pPr>
        <w:spacing w:after="0" w:line="3" w:lineRule="exact"/>
        <w:rPr>
          <w:sz w:val="20"/>
          <w:szCs w:val="20"/>
          <w:color w:val="auto"/>
        </w:rPr>
      </w:pPr>
    </w:p>
    <w:p>
      <w:pPr>
        <w:ind w:left="2420"/>
        <w:spacing w:after="0"/>
        <w:tabs>
          <w:tab w:leader="none" w:pos="3840" w:val="left"/>
        </w:tabs>
        <w:rPr>
          <w:sz w:val="20"/>
          <w:szCs w:val="20"/>
          <w:color w:val="auto"/>
        </w:rPr>
      </w:pPr>
      <w:r>
        <w:rPr>
          <w:rFonts w:ascii="Courier New" w:cs="Courier New" w:eastAsia="Courier New" w:hAnsi="Courier New"/>
          <w:sz w:val="15"/>
          <w:szCs w:val="15"/>
          <w:color w:val="auto"/>
        </w:rPr>
        <w:t>Houston, Texas</w:t>
        <w:tab/>
        <w:t>77002-3095</w:t>
      </w:r>
    </w:p>
    <w:p>
      <w:pPr>
        <w:spacing w:after="0" w:line="3" w:lineRule="exact"/>
        <w:rPr>
          <w:sz w:val="20"/>
          <w:szCs w:val="20"/>
          <w:color w:val="auto"/>
        </w:rPr>
      </w:pPr>
    </w:p>
    <w:p>
      <w:pPr>
        <w:ind w:left="2420"/>
        <w:spacing w:after="0"/>
        <w:tabs>
          <w:tab w:leader="none" w:pos="3940" w:val="left"/>
        </w:tabs>
        <w:rPr>
          <w:sz w:val="20"/>
          <w:szCs w:val="20"/>
          <w:color w:val="auto"/>
        </w:rPr>
      </w:pPr>
      <w:r>
        <w:rPr>
          <w:rFonts w:ascii="Courier New" w:cs="Courier New" w:eastAsia="Courier New" w:hAnsi="Courier New"/>
          <w:sz w:val="15"/>
          <w:szCs w:val="15"/>
          <w:color w:val="auto"/>
        </w:rPr>
        <w:t>Telecopier No.:</w:t>
      </w:r>
      <w:r>
        <w:rPr>
          <w:sz w:val="20"/>
          <w:szCs w:val="20"/>
          <w:color w:val="auto"/>
        </w:rPr>
        <w:tab/>
      </w:r>
      <w:r>
        <w:rPr>
          <w:rFonts w:ascii="Courier New" w:cs="Courier New" w:eastAsia="Courier New" w:hAnsi="Courier New"/>
          <w:sz w:val="14"/>
          <w:szCs w:val="14"/>
          <w:color w:val="auto"/>
        </w:rPr>
        <w:t>(713) 223-3717</w:t>
      </w:r>
    </w:p>
    <w:p>
      <w:pPr>
        <w:spacing w:after="0" w:line="3" w:lineRule="exact"/>
        <w:rPr>
          <w:sz w:val="20"/>
          <w:szCs w:val="20"/>
          <w:color w:val="auto"/>
        </w:rPr>
      </w:pPr>
    </w:p>
    <w:p>
      <w:pPr>
        <w:ind w:left="2420"/>
        <w:spacing w:after="0"/>
        <w:tabs>
          <w:tab w:leader="none" w:pos="3480" w:val="left"/>
        </w:tabs>
        <w:rPr>
          <w:sz w:val="20"/>
          <w:szCs w:val="20"/>
          <w:color w:val="auto"/>
        </w:rPr>
      </w:pPr>
      <w:r>
        <w:rPr>
          <w:rFonts w:ascii="Courier New" w:cs="Courier New" w:eastAsia="Courier New" w:hAnsi="Courier New"/>
          <w:sz w:val="15"/>
          <w:szCs w:val="15"/>
          <w:color w:val="auto"/>
        </w:rPr>
        <w:t>Attention:</w:t>
        <w:tab/>
        <w:t>Marcus Watts</w:t>
      </w:r>
    </w:p>
    <w:p>
      <w:pPr>
        <w:spacing w:after="0" w:line="178" w:lineRule="exact"/>
        <w:rPr>
          <w:sz w:val="20"/>
          <w:szCs w:val="20"/>
          <w:color w:val="auto"/>
        </w:rPr>
      </w:pPr>
    </w:p>
    <w:p>
      <w:pPr>
        <w:ind w:right="3019" w:firstLine="992"/>
        <w:spacing w:after="0" w:line="244" w:lineRule="auto"/>
        <w:rPr>
          <w:sz w:val="20"/>
          <w:szCs w:val="20"/>
          <w:color w:val="auto"/>
        </w:rPr>
      </w:pPr>
      <w:r>
        <w:rPr>
          <w:rFonts w:ascii="Courier New" w:cs="Courier New" w:eastAsia="Courier New" w:hAnsi="Courier New"/>
          <w:sz w:val="15"/>
          <w:szCs w:val="15"/>
          <w:color w:val="auto"/>
        </w:rPr>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177" w:lineRule="exact"/>
        <w:rPr>
          <w:sz w:val="20"/>
          <w:szCs w:val="20"/>
          <w:color w:val="auto"/>
        </w:rPr>
      </w:pPr>
    </w:p>
    <w:p>
      <w:pPr>
        <w:ind w:right="3099" w:firstLine="992"/>
        <w:spacing w:after="0" w:line="244" w:lineRule="auto"/>
        <w:rPr>
          <w:sz w:val="20"/>
          <w:szCs w:val="20"/>
          <w:color w:val="auto"/>
        </w:rPr>
      </w:pPr>
      <w:r>
        <w:rPr>
          <w:rFonts w:ascii="Courier New" w:cs="Courier New" w:eastAsia="Courier New" w:hAnsi="Courier New"/>
          <w:sz w:val="15"/>
          <w:szCs w:val="15"/>
          <w:color w:val="auto"/>
        </w:rPr>
        <w:t>Copies of all such notices, demands or other communications shall be concurrently delivered by the Person giving the same to the Trustee at the address specified in the Indenture.</w:t>
      </w:r>
    </w:p>
    <w:p>
      <w:pPr>
        <w:spacing w:after="0" w:line="175" w:lineRule="exact"/>
        <w:rPr>
          <w:sz w:val="20"/>
          <w:szCs w:val="20"/>
          <w:color w:val="auto"/>
        </w:rPr>
      </w:pPr>
    </w:p>
    <w:p>
      <w:pPr>
        <w:ind w:right="3019" w:firstLine="984"/>
        <w:spacing w:after="0" w:line="244" w:lineRule="auto"/>
        <w:tabs>
          <w:tab w:leader="none" w:pos="135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Agreement shall inure to the benefit of and be binding upon the successors and assigns of each of the parties, including without limitation and without the need for an express assignment, subsequent Holders; provided,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the restrictions on resale set forth in</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this Agreement and, if applicable, the Purchase Agreement, and such Person shall be entitled to receive the benefits hereof.</w:t>
      </w:r>
    </w:p>
    <w:p>
      <w:pPr>
        <w:spacing w:after="0" w:line="176" w:lineRule="exact"/>
        <w:rPr>
          <w:sz w:val="20"/>
          <w:szCs w:val="20"/>
          <w:color w:val="auto"/>
        </w:rPr>
      </w:pPr>
    </w:p>
    <w:p>
      <w:pPr>
        <w:ind w:right="3199" w:firstLine="984"/>
        <w:spacing w:after="0" w:line="244" w:lineRule="auto"/>
        <w:tabs>
          <w:tab w:leader="none" w:pos="13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75" w:lineRule="exact"/>
        <w:rPr>
          <w:rFonts w:ascii="Courier New" w:cs="Courier New" w:eastAsia="Courier New" w:hAnsi="Courier New"/>
          <w:sz w:val="15"/>
          <w:szCs w:val="15"/>
          <w:color w:val="auto"/>
        </w:rPr>
      </w:pPr>
    </w:p>
    <w:p>
      <w:pPr>
        <w:ind w:right="3199" w:firstLine="984"/>
        <w:spacing w:after="0" w:line="243" w:lineRule="auto"/>
        <w:tabs>
          <w:tab w:leader="none" w:pos="13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in this Agreement are for convenience of reference only and shall not limit or otherwise affect the meaning hereof.</w:t>
      </w:r>
    </w:p>
    <w:p>
      <w:pPr>
        <w:spacing w:after="0" w:line="176" w:lineRule="exact"/>
        <w:rPr>
          <w:rFonts w:ascii="Courier New" w:cs="Courier New" w:eastAsia="Courier New" w:hAnsi="Courier New"/>
          <w:sz w:val="15"/>
          <w:szCs w:val="15"/>
          <w:color w:val="auto"/>
        </w:rPr>
      </w:pPr>
    </w:p>
    <w:p>
      <w:pPr>
        <w:ind w:right="3099" w:firstLine="984"/>
        <w:spacing w:after="0" w:line="244" w:lineRule="auto"/>
        <w:tabs>
          <w:tab w:leader="none" w:pos="13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OF THE STATE OF NEW YORK, WITHOUT REGARD TO THE CONFLICT OF LAW RULES THEREOF.</w:t>
      </w:r>
    </w:p>
    <w:p>
      <w:pPr>
        <w:spacing w:after="0" w:line="175" w:lineRule="exact"/>
        <w:rPr>
          <w:rFonts w:ascii="Courier New" w:cs="Courier New" w:eastAsia="Courier New" w:hAnsi="Courier New"/>
          <w:sz w:val="15"/>
          <w:szCs w:val="15"/>
          <w:color w:val="auto"/>
        </w:rPr>
      </w:pPr>
    </w:p>
    <w:p>
      <w:pPr>
        <w:ind w:right="3019" w:firstLine="984"/>
        <w:spacing w:after="0" w:line="266" w:lineRule="auto"/>
        <w:tabs>
          <w:tab w:leader="none" w:pos="135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61" w:lineRule="exact"/>
        <w:rPr>
          <w:rFonts w:ascii="Courier New" w:cs="Courier New" w:eastAsia="Courier New" w:hAnsi="Courier New"/>
          <w:sz w:val="14"/>
          <w:szCs w:val="14"/>
          <w:color w:val="auto"/>
        </w:rPr>
      </w:pPr>
    </w:p>
    <w:p>
      <w:pPr>
        <w:ind w:right="3019" w:firstLine="984"/>
        <w:spacing w:after="0" w:line="244" w:lineRule="auto"/>
        <w:tabs>
          <w:tab w:leader="none" w:pos="13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3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19</w:t>
      </w:r>
    </w:p>
    <w:p>
      <w:pPr>
        <w:spacing w:after="0" w:line="351" w:lineRule="exact"/>
        <w:rPr>
          <w:sz w:val="20"/>
          <w:szCs w:val="20"/>
          <w:color w:val="auto"/>
        </w:rPr>
      </w:pPr>
    </w:p>
    <w:p>
      <w:pPr>
        <w:ind w:right="3279" w:firstLine="992"/>
        <w:spacing w:after="0" w:line="243"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written above.</w:t>
      </w:r>
    </w:p>
    <w:p>
      <w:pPr>
        <w:spacing w:after="0" w:line="17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WASTE MANAGEMENT, INC.</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WASTE MANAGEMENT HOLDINGS, INC.</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SECURITIES CORPORATION</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9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24"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September 17, 1999</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have acted as special counsel for Waste Management, Inc. (the "Company"), a Delaware corporation, and Waste Management Holdings, Inc. (the "Guarantor"), a Delaware corporation, in connection with the registration under the Securities Act of 1933, as amended (the "Securities Act"), of the proposed offering by the Company of $1,150,000,000 aggregate principal amount of 6% Senior Notes due 2001, 6 1/2% Senior Notes due 2004, 6 7/8% Senior Notes due 2009 and 7 3/8% Senior Notes due 2029 of the Company (collectively, the "Exchange Notes") in exchange for the same amount of its outstanding 6% Senior Notes due 2001, 6 1/2% Senior Notes due 2004, 67/8% Senior Notes due 2009 and 7 3/8% Senior Notes due 2029 (collectively, the "Outstanding Notes"), and guarantees (collectively, the "Subsidiary Guarantees") thereof by the Guarantor. The Exchange Notes are to be issued under the Indenture (the "Indenture") dated as of September 10, 1997, between the Company and Chase Bank of Texas, National Association (formerly known as Texas Commerce Bank National Association), as trustee.</w:t>
      </w:r>
    </w:p>
    <w:p>
      <w:pPr>
        <w:spacing w:after="0" w:line="183"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Before rendering the opinions hereinafter set forth, we have examined the Registration Statement on Form S-4 (the "Registration Statement") relating to the Exchange Notes, the Prospectus contained therein, the Indenture, certified copies of the Restated Certificate of Incorporation and Bylaws of the Company, the Restated Certificate of Incorporation and Bylaws of the Guarantor, and minutes of meetings and unanimous consents of the Board of Directors of the Company and of the Guarantor, certificates of public officials and originals or copies, certified or otherwise authenticated to our satisfaction, of such other documents, records and instruments as we deemed necessary or advisable in order to render the opinions hereinafter set forth. We have relied upon the accuracy of the facts and information set forth therein. In the course of the foregoing investigation, we have assumed (a) the genuineness of all signatures on, and the authenticity of, all documents submitted to us as originals and the conformity to original documents of all documents submitted to us as copies, as well as the capacity of natural persons to sign and execute such documents; (b) the due authorization, execution and delivery by the parties thereto, other than the</w:t>
      </w:r>
    </w:p>
    <w:p>
      <w:pPr>
        <w:sectPr>
          <w:pgSz w:w="11900" w:h="16838" w:orient="portrait"/>
          <w:cols w:equalWidth="0" w:num="1">
            <w:col w:w="10219"/>
          </w:cols>
          <w:pgMar w:left="240" w:top="141" w:right="1440" w:bottom="1440" w:gutter="0" w:footer="0" w:header="0"/>
        </w:sectPr>
      </w:pPr>
    </w:p>
    <w:bookmarkStart w:id="93" w:name="page94"/>
    <w:bookmarkEnd w:id="93"/>
    <w:p>
      <w:pPr>
        <w:ind w:left="268"/>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September 17, 1999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Page 2</w:t>
      </w:r>
    </w:p>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Company and the Guarantor, of all such documents examined by us; (c) that, to the extent that any such document purports to constitute the agreement of a party other than the Company or the Guarantor, it constitutes the valid and binding obligation of such other party; (d) that there has not been any mutual mistake of fact or misunderstanding, fraud, duress or undue influence; and (e) that the conduct of the parties has complied with any requirement of good faith, fair dealing and conscionability.</w:t>
      </w:r>
    </w:p>
    <w:p>
      <w:pPr>
        <w:spacing w:after="0" w:line="178" w:lineRule="exact"/>
        <w:rPr>
          <w:sz w:val="20"/>
          <w:szCs w:val="20"/>
          <w:color w:val="auto"/>
        </w:rPr>
      </w:pPr>
    </w:p>
    <w:p>
      <w:pPr>
        <w:ind w:left="8" w:right="3379" w:firstLine="811"/>
        <w:spacing w:after="0" w:line="278" w:lineRule="auto"/>
        <w:rPr>
          <w:sz w:val="20"/>
          <w:szCs w:val="20"/>
          <w:color w:val="auto"/>
        </w:rPr>
      </w:pPr>
      <w:r>
        <w:rPr>
          <w:rFonts w:ascii="Courier New" w:cs="Courier New" w:eastAsia="Courier New" w:hAnsi="Courier New"/>
          <w:sz w:val="14"/>
          <w:szCs w:val="14"/>
          <w:color w:val="auto"/>
        </w:rPr>
        <w:t>Based upon the foregoing, we are of the opinion that as of the date hereof and subject to the qualifications and limitations set forth below:</w:t>
      </w:r>
    </w:p>
    <w:p>
      <w:pPr>
        <w:spacing w:after="0" w:line="153" w:lineRule="exact"/>
        <w:rPr>
          <w:sz w:val="20"/>
          <w:szCs w:val="20"/>
          <w:color w:val="auto"/>
        </w:rPr>
      </w:pPr>
    </w:p>
    <w:p>
      <w:pPr>
        <w:ind w:left="8" w:right="3279" w:firstLine="804"/>
        <w:spacing w:after="0" w:line="244" w:lineRule="auto"/>
        <w:tabs>
          <w:tab w:leader="none" w:pos="118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Guarantor has been duly incorporated and is validly existing as a corporation in good standing under the laws of Delaware;</w:t>
      </w:r>
    </w:p>
    <w:p>
      <w:pPr>
        <w:spacing w:after="0" w:line="175" w:lineRule="exact"/>
        <w:rPr>
          <w:rFonts w:ascii="Courier New" w:cs="Courier New" w:eastAsia="Courier New" w:hAnsi="Courier New"/>
          <w:sz w:val="15"/>
          <w:szCs w:val="15"/>
          <w:color w:val="auto"/>
        </w:rPr>
      </w:pPr>
    </w:p>
    <w:p>
      <w:pPr>
        <w:ind w:left="8" w:right="3279" w:firstLine="804"/>
        <w:spacing w:after="0" w:line="243" w:lineRule="auto"/>
        <w:tabs>
          <w:tab w:leader="none" w:pos="118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the Exchange Notes is within the corporate power of the Company;</w:t>
      </w:r>
    </w:p>
    <w:p>
      <w:pPr>
        <w:spacing w:after="0" w:line="176" w:lineRule="exact"/>
        <w:rPr>
          <w:rFonts w:ascii="Courier New" w:cs="Courier New" w:eastAsia="Courier New" w:hAnsi="Courier New"/>
          <w:sz w:val="15"/>
          <w:szCs w:val="15"/>
          <w:color w:val="auto"/>
        </w:rPr>
      </w:pPr>
    </w:p>
    <w:p>
      <w:pPr>
        <w:ind w:left="8" w:right="3919" w:firstLine="804"/>
        <w:spacing w:after="0" w:line="243" w:lineRule="auto"/>
        <w:tabs>
          <w:tab w:leader="none" w:pos="118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the Subsidiary Guarantees is within the corporate power of the Guarantor;</w:t>
      </w:r>
    </w:p>
    <w:p>
      <w:pPr>
        <w:spacing w:after="0" w:line="176" w:lineRule="exact"/>
        <w:rPr>
          <w:rFonts w:ascii="Courier New" w:cs="Courier New" w:eastAsia="Courier New" w:hAnsi="Courier New"/>
          <w:sz w:val="15"/>
          <w:szCs w:val="15"/>
          <w:color w:val="auto"/>
        </w:rPr>
      </w:pPr>
    </w:p>
    <w:p>
      <w:pPr>
        <w:ind w:left="8" w:right="3019" w:firstLine="804"/>
        <w:spacing w:after="0" w:line="262" w:lineRule="auto"/>
        <w:tabs>
          <w:tab w:leader="none" w:pos="118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Notes have been duly authorized and, when the Registration Statement becomes effective under the Securities Act and the Exchange Notes have been duly executed and authenticated in accordance with the provisions of the Indenture and issued and delivered in exchange for the Outstanding Notes as described in the Registration Statement, the Exchange Notes will be entitled to the benefits of the Indenture and will be valid and binding obligations of the Company, enforceable in accordance with their terms except as</w:t>
      </w:r>
    </w:p>
    <w:p>
      <w:pPr>
        <w:spacing w:after="0" w:line="1" w:lineRule="exact"/>
        <w:rPr>
          <w:rFonts w:ascii="Courier New" w:cs="Courier New" w:eastAsia="Courier New" w:hAnsi="Courier New"/>
          <w:sz w:val="14"/>
          <w:szCs w:val="14"/>
          <w:color w:val="auto"/>
        </w:rPr>
      </w:pPr>
    </w:p>
    <w:p>
      <w:pPr>
        <w:ind w:left="8" w:right="3559" w:hanging="8"/>
        <w:spacing w:after="0" w:line="244" w:lineRule="auto"/>
        <w:tabs>
          <w:tab w:leader="none" w:pos="36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enforceability thereof may be limited by bankruptcy, insolvency or similar laws affecting creditors' rights generally and (b) rights of acceleration and the availability of equitable remedies may be limited by equitable principles of general applicability; and</w:t>
      </w:r>
    </w:p>
    <w:p>
      <w:pPr>
        <w:spacing w:after="0" w:line="175" w:lineRule="exact"/>
        <w:rPr>
          <w:rFonts w:ascii="Courier New" w:cs="Courier New" w:eastAsia="Courier New" w:hAnsi="Courier New"/>
          <w:sz w:val="15"/>
          <w:szCs w:val="15"/>
          <w:color w:val="auto"/>
        </w:rPr>
      </w:pPr>
    </w:p>
    <w:p>
      <w:pPr>
        <w:ind w:left="8" w:right="3019" w:firstLine="804"/>
        <w:spacing w:after="0" w:line="244" w:lineRule="auto"/>
        <w:tabs>
          <w:tab w:leader="none" w:pos="118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Subsidiary Guarantees have been duly authorized and are the valid and binding obligations of the Guarantor, enforceable in accordance with their respective terms (with respect to the Exchange Notes when the Registration Statement becomes effective under the Securities Act and the Exchange Notes are duly executed and authenticated in accordance with the provisions of the Indenture and issued and delivered in exchange for the Outstanding Notes as described in the Registration Statement, and with respect to the Outstanding Notes before such time) except as (a) the enforceability thereof may be limited by bankruptcy, insolvency or similar laws affecting creditors' rights generally and (b) the availability of equitable remedies may be limited by equitable principles of general applicability.</w:t>
      </w:r>
    </w:p>
    <w:p>
      <w:pPr>
        <w:sectPr>
          <w:pgSz w:w="11900" w:h="16838" w:orient="portrait"/>
          <w:cols w:equalWidth="0" w:num="1">
            <w:col w:w="10227"/>
          </w:cols>
          <w:pgMar w:left="232" w:top="291"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17,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51"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opinions expressed herein are limited to matters arising under the laws of the States of New York and Texas, the General Corporation Law of the State of Delaware and the federal laws of the United States of America, in each case as in effect on the date hereof, which have been published and are generally available in a format that makes legal research reasonably feasible, and we disclaim any responsibility to inform you of any change. We have assumed that the constitutionality or validity of a relevant statute, rule, regulation or agency action is not in issue.</w:t>
      </w:r>
    </w:p>
    <w:p>
      <w:pPr>
        <w:spacing w:after="0" w:line="178" w:lineRule="exact"/>
        <w:rPr>
          <w:sz w:val="20"/>
          <w:szCs w:val="20"/>
          <w:color w:val="auto"/>
        </w:rPr>
      </w:pPr>
    </w:p>
    <w:p>
      <w:pPr>
        <w:ind w:right="3019" w:firstLine="811"/>
        <w:spacing w:after="0" w:line="266" w:lineRule="auto"/>
        <w:rPr>
          <w:sz w:val="20"/>
          <w:szCs w:val="20"/>
          <w:color w:val="auto"/>
        </w:rPr>
      </w:pPr>
      <w:r>
        <w:rPr>
          <w:rFonts w:ascii="Courier New" w:cs="Courier New" w:eastAsia="Courier New" w:hAnsi="Courier New"/>
          <w:sz w:val="14"/>
          <w:szCs w:val="14"/>
          <w:color w:val="auto"/>
        </w:rPr>
        <w:t>We consent to the use of this opinion as an exhibit to the Registration Statement and to the reference to our firm in the Registration Statement and the Prospectus constituting a part thereof under the caption "Legal Matters." In giving this consent, we do not thereby admit that we are in the category of persons whose consent is required under Section 7 of the Securities Act.</w:t>
      </w:r>
    </w:p>
    <w:p>
      <w:pPr>
        <w:spacing w:after="0" w:line="16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/s/ Locke Liddell &amp; Sapp LLP</w:t>
      </w:r>
    </w:p>
    <w:p>
      <w:pPr>
        <w:sectPr>
          <w:pgSz w:w="11900" w:h="16838" w:orient="portrait"/>
          <w:cols w:equalWidth="0" w:num="1">
            <w:col w:w="10219"/>
          </w:cols>
          <w:pgMar w:left="240" w:top="29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of our report on Waste Management, Inc.'s consolidated financial statements for the year ended December 31, 1998 dated February 25, 1999 (except with respect to the matters discussed in Notes 20 and 21, as to which the date is September 16, 1999) included in Waste Management, Inc.'s Current Report on Form 8-K dated September 16, 1999 in this Registration Statement on Form S-4 and related Prospectus of Waste Management, Inc. and to all references to our Firm included in or incorporated by reference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/s/ 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1999</w:t>
      </w:r>
    </w:p>
    <w:p>
      <w:pPr>
        <w:sectPr>
          <w:pgSz w:w="11900" w:h="16838" w:orient="portrait"/>
          <w:cols w:equalWidth="0" w:num="1">
            <w:col w:w="10219"/>
          </w:cols>
          <w:pgMar w:left="240" w:top="141"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S-4 relating to the exchange of $1.15 billion of Senior Notes of Waste Management, Inc., of our report dated March 16, 1998 relating to the consolidated financial statements of USA Waste Services, Inc. as of December 31, 1997, and for the years ended December 31, 1997 and 1996, which appears in the Waste Management, Inc. Annual Report on Form 10-K for the year ended December 31, 1998 and Current Report on Form 8-K dated September 16, 1999. We also consent to the reference to us under the heading "Experts"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/s/ PricewaterhouseCoopers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1999</w:t>
      </w:r>
    </w:p>
    <w:p>
      <w:pPr>
        <w:sectPr>
          <w:pgSz w:w="11900" w:h="16838" w:orient="portrait"/>
          <w:cols w:equalWidth="0" w:num="1">
            <w:col w:w="10219"/>
          </w:cols>
          <w:pgMar w:left="240" w:top="141"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99.1</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LETTER OF TRANSMITTAL</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$300,000,000 6.500% SENIOR NOTES DUE 2004</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ISSUED FOR</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$300,000,000 6.500% SENIOR NOTES DUE 2004</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THIS EXCHANGE OFFER AND WITHDRAWAL RIGHTS WILL EXPIRE AT</w:t>
      </w:r>
    </w:p>
    <w:p>
      <w:pPr>
        <w:spacing w:after="0" w:line="3" w:lineRule="exact"/>
        <w:rPr>
          <w:sz w:val="20"/>
          <w:szCs w:val="20"/>
          <w:color w:val="auto"/>
        </w:rPr>
      </w:pPr>
    </w:p>
    <w:p>
      <w:pPr>
        <w:ind w:left="1260"/>
        <w:spacing w:after="0"/>
        <w:tabs>
          <w:tab w:leader="none" w:pos="5380" w:val="left"/>
        </w:tabs>
        <w:rPr>
          <w:sz w:val="20"/>
          <w:szCs w:val="20"/>
          <w:color w:val="auto"/>
        </w:rPr>
      </w:pPr>
      <w:r>
        <w:rPr>
          <w:rFonts w:ascii="Courier New" w:cs="Courier New" w:eastAsia="Courier New" w:hAnsi="Courier New"/>
          <w:sz w:val="15"/>
          <w:szCs w:val="15"/>
          <w:color w:val="auto"/>
        </w:rPr>
        <w:t>5:00 P.M., NEW YORK CITY TIME, ON</w:t>
      </w:r>
      <w:r>
        <w:rPr>
          <w:sz w:val="20"/>
          <w:szCs w:val="20"/>
          <w:color w:val="auto"/>
        </w:rPr>
        <w:tab/>
      </w:r>
      <w:r>
        <w:rPr>
          <w:rFonts w:ascii="Courier New" w:cs="Courier New" w:eastAsia="Courier New" w:hAnsi="Courier New"/>
          <w:sz w:val="14"/>
          <w:szCs w:val="14"/>
          <w:color w:val="auto"/>
        </w:rPr>
        <w:t>, 1999</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UNLESS THE OFFER IS EXTENDED</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"EXCHANGE AGENT")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By Mail, (Certified, Registered, Overnight or First Class) or Hand Delivery:</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600 TRAVIS STREET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TELEPHONE NUMBER</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(713) 216-7000</w:t>
      </w:r>
    </w:p>
    <w:p>
      <w:pPr>
        <w:spacing w:after="0" w:line="178" w:lineRule="exact"/>
        <w:rPr>
          <w:sz w:val="20"/>
          <w:szCs w:val="20"/>
          <w:color w:val="auto"/>
        </w:rPr>
      </w:pPr>
    </w:p>
    <w:p>
      <w:pPr>
        <w:jc w:val="center"/>
        <w:ind w:right="3019"/>
        <w:spacing w:after="0" w:line="244" w:lineRule="auto"/>
        <w:rPr>
          <w:sz w:val="20"/>
          <w:szCs w:val="20"/>
          <w:color w:val="auto"/>
        </w:rPr>
      </w:pPr>
      <w:r>
        <w:rPr>
          <w:rFonts w:ascii="Courier New" w:cs="Courier New" w:eastAsia="Courier New" w:hAnsi="Courier New"/>
          <w:sz w:val="15"/>
          <w:szCs w:val="15"/>
          <w:color w:val="auto"/>
        </w:rPr>
        <w:t>DELIVERY OF THIS INSTRUMENT TO AN ADDRESS OTHER THAN AS SET FORTH ABOVE WILL NOT CONSTITUTE A VALID DELIVERY. THE INSTRUCTIONS ACCOMPANYING THIS LETTER OF TRANSMITTAL SHOULD BE READ CAREFULLY BEFORE THIS LETTER OF TRANSMITTAL IS COMPLETED.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hereby acknowledges receipt of the Prospectus dated</w:t>
      </w:r>
    </w:p>
    <w:p>
      <w:pPr>
        <w:spacing w:after="0" w:line="4" w:lineRule="exact"/>
        <w:rPr>
          <w:sz w:val="20"/>
          <w:szCs w:val="20"/>
          <w:color w:val="auto"/>
        </w:rPr>
      </w:pPr>
    </w:p>
    <w:p>
      <w:pPr>
        <w:ind w:right="3019" w:firstLine="1074"/>
        <w:spacing w:after="0" w:line="244" w:lineRule="auto"/>
        <w:tabs>
          <w:tab w:leader="none" w:pos="126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(the "Prospectus") of Waste Management, Inc. (the "Company") and this Letter of Transmittal, which together constitute the Company's offer (the "Exchange Offer") to exchange $1,000 principal amount of its 6.000% Senior Notes due 2001; 6.500% Senior Notes due 2004; 6.875% Senior Notes due 2009; and 7.375% Senior Notes due 2029 (the "Exchange Notes"), which have been registered under the Securities Act of 1933, as amended (the "Securities Act"), pursuant to a Registration Statement of which the Prospectus is a part, for each $1,000 principal amount 6.000% Senior Notes due 2001; 6.500% Senior Notes due 2004; 6.875% Senior Notes due 2009; and 7.375% Senior Notes due 2029 issued by the</w:t>
      </w:r>
    </w:p>
    <w:p>
      <w:pPr>
        <w:spacing w:after="0" w:line="5"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(the "Notes"), respectively. The term "Expiration Date" shall mean 5:00</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p.m., New York City time, on , 1999 unless the Company, in its reasonable judgment, extends the Exchange Offer, in which case the term shall mean the latest date and time to which the Exchange Offer is extended. Capitalized terms used but not defined herein have the meaning given to them in the Prospectus.</w:t>
      </w:r>
    </w:p>
    <w:p>
      <w:pPr>
        <w:spacing w:after="0" w:line="349" w:lineRule="exact"/>
        <w:rPr>
          <w:sz w:val="20"/>
          <w:szCs w:val="20"/>
          <w:color w:val="auto"/>
        </w:rPr>
      </w:pPr>
    </w:p>
    <w:p>
      <w:pPr>
        <w:ind w:right="3819" w:firstLine="451"/>
        <w:spacing w:after="0" w:line="244" w:lineRule="auto"/>
        <w:rPr>
          <w:sz w:val="20"/>
          <w:szCs w:val="20"/>
          <w:color w:val="auto"/>
        </w:rPr>
      </w:pPr>
      <w:r>
        <w:rPr>
          <w:rFonts w:ascii="Courier New" w:cs="Courier New" w:eastAsia="Courier New" w:hAnsi="Courier New"/>
          <w:sz w:val="15"/>
          <w:szCs w:val="15"/>
          <w:color w:val="auto"/>
        </w:rPr>
        <w:t>YOUR BANK OR BROKER CAN ASSIST YOU IN COMPLETING THIS FORM. THE INSTRUCTIONS INCLUDED WITH THIS LETTER OF TRANSMITTAL MUST BE FOLLOWED. QUESTIONS AND REQUESTS FOR ASSISTANCE OR FOR ADDITIONAL COPIES OF THE</w:t>
      </w:r>
    </w:p>
    <w:p>
      <w:pPr>
        <w:sectPr>
          <w:pgSz w:w="11900" w:h="16838" w:orient="portrait"/>
          <w:cols w:equalWidth="0" w:num="1">
            <w:col w:w="10219"/>
          </w:cols>
          <w:pgMar w:left="240" w:top="141" w:right="1440" w:bottom="1440" w:gutter="0" w:footer="0" w:header="0"/>
        </w:sectPr>
      </w:pPr>
    </w:p>
    <w:bookmarkStart w:id="98" w:name="page99"/>
    <w:bookmarkEnd w:id="98"/>
    <w:p>
      <w:pPr>
        <w:ind w:left="268"/>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 AND THIS LETTER OF TRANSMITTAL MAY BE DIRECTED TO THE EXCHANGE AGENT.</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List on the next page the Notes to which this Letter of Transmittal relates. If the space indicated is inadequate, the Certificate of Registration Numbers and Principal Amounts should be listed on a separately signed schedule affixed hereto.</w:t>
      </w:r>
    </w:p>
    <w:p>
      <w:pPr>
        <w:spacing w:after="0" w:line="200" w:lineRule="exact"/>
        <w:rPr>
          <w:sz w:val="20"/>
          <w:szCs w:val="20"/>
          <w:color w:val="auto"/>
        </w:rPr>
      </w:pPr>
    </w:p>
    <w:p>
      <w:pPr>
        <w:spacing w:after="0" w:line="323" w:lineRule="exact"/>
        <w:rPr>
          <w:sz w:val="20"/>
          <w:szCs w:val="20"/>
          <w:color w:val="auto"/>
        </w:rPr>
      </w:pPr>
    </w:p>
    <w:p>
      <w:pPr>
        <w:ind w:left="188" w:hanging="188"/>
        <w:spacing w:after="0"/>
        <w:tabs>
          <w:tab w:leader="none" w:pos="1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32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DESCRIPTION OF NOTES TENDERED HEREBY</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1088"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120" w:type="dxa"/>
            <w:vAlign w:val="bottom"/>
          </w:tcPr>
          <w:p>
            <w:pPr>
              <w:ind w:left="860"/>
              <w:spacing w:after="0"/>
              <w:rPr>
                <w:sz w:val="20"/>
                <w:szCs w:val="20"/>
                <w:color w:val="auto"/>
              </w:rPr>
            </w:pPr>
            <w:r>
              <w:rPr>
                <w:rFonts w:ascii="Courier New" w:cs="Courier New" w:eastAsia="Courier New" w:hAnsi="Courier New"/>
                <w:sz w:val="15"/>
                <w:szCs w:val="15"/>
                <w:color w:val="auto"/>
              </w:rPr>
              <w:t>CERTIFICATE</w:t>
            </w:r>
          </w:p>
        </w:tc>
        <w:tc>
          <w:tcPr>
            <w:tcW w:w="2020" w:type="dxa"/>
            <w:vAlign w:val="bottom"/>
          </w:tcPr>
          <w:p>
            <w:pPr>
              <w:ind w:left="620"/>
              <w:spacing w:after="0"/>
              <w:rPr>
                <w:sz w:val="20"/>
                <w:szCs w:val="20"/>
                <w:color w:val="auto"/>
              </w:rPr>
            </w:pPr>
            <w:r>
              <w:rPr>
                <w:rFonts w:ascii="Courier New" w:cs="Courier New" w:eastAsia="Courier New" w:hAnsi="Courier New"/>
                <w:sz w:val="15"/>
                <w:szCs w:val="15"/>
                <w:color w:val="auto"/>
              </w:rPr>
              <w:t>AGGREGATE</w:t>
            </w:r>
          </w:p>
        </w:tc>
        <w:tc>
          <w:tcPr>
            <w:tcW w:w="1220" w:type="dxa"/>
            <w:vAlign w:val="bottom"/>
          </w:tcPr>
          <w:p>
            <w:pPr>
              <w:spacing w:after="0"/>
              <w:rPr>
                <w:sz w:val="14"/>
                <w:szCs w:val="14"/>
                <w:color w:val="auto"/>
              </w:rPr>
            </w:pPr>
          </w:p>
        </w:tc>
      </w:tr>
      <w:tr>
        <w:trPr>
          <w:trHeight w:val="173"/>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6"/>
              </w:rPr>
              <w:t>NAME(S) AND</w:t>
            </w:r>
          </w:p>
        </w:tc>
        <w:tc>
          <w:tcPr>
            <w:tcW w:w="180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ADDRESS(ES)</w:t>
            </w:r>
          </w:p>
        </w:tc>
        <w:tc>
          <w:tcPr>
            <w:tcW w:w="212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OR</w:t>
            </w:r>
          </w:p>
        </w:tc>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PRINCIPAL AMOUNT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PRINCIPAL</w:t>
            </w:r>
          </w:p>
        </w:tc>
      </w:tr>
      <w:tr>
        <w:trPr>
          <w:trHeight w:val="173"/>
        </w:trPr>
        <w:tc>
          <w:tcPr>
            <w:tcW w:w="2840" w:type="dxa"/>
            <w:vAlign w:val="bottom"/>
            <w:gridSpan w:val="2"/>
          </w:tcPr>
          <w:p>
            <w:pPr>
              <w:jc w:val="right"/>
              <w:ind w:right="705"/>
              <w:spacing w:after="0"/>
              <w:rPr>
                <w:sz w:val="20"/>
                <w:szCs w:val="20"/>
                <w:color w:val="auto"/>
              </w:rPr>
            </w:pPr>
            <w:r>
              <w:rPr>
                <w:rFonts w:ascii="Courier New" w:cs="Courier New" w:eastAsia="Courier New" w:hAnsi="Courier New"/>
                <w:sz w:val="15"/>
                <w:szCs w:val="15"/>
                <w:color w:val="auto"/>
              </w:rPr>
              <w:t>OF REGISTERED OWNER(S)</w:t>
            </w:r>
          </w:p>
        </w:tc>
        <w:tc>
          <w:tcPr>
            <w:tcW w:w="212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REGISTRATION</w:t>
            </w:r>
          </w:p>
        </w:tc>
        <w:tc>
          <w:tcPr>
            <w:tcW w:w="2020" w:type="dxa"/>
            <w:vAlign w:val="bottom"/>
          </w:tcPr>
          <w:p>
            <w:pPr>
              <w:ind w:left="540"/>
              <w:spacing w:after="0"/>
              <w:rPr>
                <w:sz w:val="20"/>
                <w:szCs w:val="20"/>
                <w:color w:val="auto"/>
              </w:rPr>
            </w:pPr>
            <w:r>
              <w:rPr>
                <w:rFonts w:ascii="Courier New" w:cs="Courier New" w:eastAsia="Courier New" w:hAnsi="Courier New"/>
                <w:sz w:val="15"/>
                <w:szCs w:val="15"/>
                <w:color w:val="auto"/>
              </w:rPr>
              <w:t>REPRESENTED</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r>
      <w:tr>
        <w:trPr>
          <w:trHeight w:val="173"/>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(PLEASE</w:t>
            </w:r>
          </w:p>
        </w:tc>
        <w:tc>
          <w:tcPr>
            <w:tcW w:w="180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FILL IN)</w:t>
            </w:r>
          </w:p>
        </w:tc>
        <w:tc>
          <w:tcPr>
            <w:tcW w:w="212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NUMBER(S)*</w:t>
            </w:r>
          </w:p>
        </w:tc>
        <w:tc>
          <w:tcPr>
            <w:tcW w:w="2020" w:type="dxa"/>
            <w:vAlign w:val="bottom"/>
          </w:tcPr>
          <w:p>
            <w:pPr>
              <w:ind w:left="620"/>
              <w:spacing w:after="0"/>
              <w:rPr>
                <w:sz w:val="20"/>
                <w:szCs w:val="20"/>
                <w:color w:val="auto"/>
              </w:rPr>
            </w:pPr>
            <w:r>
              <w:rPr>
                <w:rFonts w:ascii="Courier New" w:cs="Courier New" w:eastAsia="Courier New" w:hAnsi="Courier New"/>
                <w:sz w:val="15"/>
                <w:szCs w:val="15"/>
                <w:color w:val="auto"/>
              </w:rPr>
              <w:t>BY NOTES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TENDERED**</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4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Total</w:t>
      </w:r>
    </w:p>
    <w:p>
      <w:pPr>
        <w:spacing w:after="0" w:line="4" w:lineRule="exact"/>
        <w:rPr>
          <w:sz w:val="20"/>
          <w:szCs w:val="20"/>
          <w:color w:val="auto"/>
        </w:rPr>
      </w:pPr>
    </w:p>
    <w:p>
      <w:pPr>
        <w:ind w:left="188" w:hanging="188"/>
        <w:spacing w:after="0"/>
        <w:tabs>
          <w:tab w:leader="none" w:pos="18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Need not be completed by Book-Entry Holders.</w:t>
      </w:r>
    </w:p>
    <w:p>
      <w:pPr>
        <w:spacing w:after="0" w:line="4" w:lineRule="exact"/>
        <w:rPr>
          <w:rFonts w:ascii="Courier New" w:cs="Courier New" w:eastAsia="Courier New" w:hAnsi="Courier New"/>
          <w:sz w:val="14"/>
          <w:szCs w:val="14"/>
          <w:color w:val="auto"/>
        </w:rPr>
      </w:pPr>
    </w:p>
    <w:p>
      <w:pPr>
        <w:ind w:left="548" w:right="759" w:hanging="277"/>
        <w:spacing w:after="0" w:line="243" w:lineRule="auto"/>
        <w:tabs>
          <w:tab w:leader="none" w:pos="548"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Holder will be deemed to have tendered the Full Aggregate Principal Amount represented by such Notes. All Tenders must be in integral multiples of $1,000.</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62"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This Letter of Transmittal is to be used (i) if certificates of Notes are to be forwarded herewith, (ii) if delivery of Notes is to be made by book-entry transfer to an account maintained by the Exchange Agent at The Depository Trust Company (the "Depository"), pursuant to the procedures set forth in "The Exchange Offer -- Procedures for Tendering Notes" in the Prospectus or (iii) if tender of the Notes is to be made according to the guaranteed delivery procedures described in the Prospectus under the caption "The Exchange</w:t>
      </w:r>
    </w:p>
    <w:p>
      <w:pPr>
        <w:spacing w:after="0" w:line="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Offer -- Guaranteed Delivery Procedures." See Instruction 2. DELIVERY OF DOCUMENTS TO A BOOK-ENTRY TRANSFER FACILITY DOES NOT CONSTITUTE DELIVERY TO THE EXCHANGE AGENT.</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term "Holder" with respect to the Exchange Offer means any person in whose name Notes are registered on the books of the Company or any other person who has obtained a properly completed bond power from the registered holder. The undersigned has completed, executed and delivered this Letter of Transmittal to indicate the action the undersigned desires to take with respect to the Exchange Offer. Holders who wish to tender their Notes must complete this letter in its entirety.</w:t>
      </w:r>
    </w:p>
    <w:p>
      <w:pPr>
        <w:spacing w:after="0" w:line="178" w:lineRule="exact"/>
        <w:rPr>
          <w:sz w:val="20"/>
          <w:szCs w:val="20"/>
          <w:color w:val="auto"/>
        </w:rPr>
      </w:pPr>
    </w:p>
    <w:p>
      <w:pPr>
        <w:ind w:left="368" w:right="3019" w:hanging="368"/>
        <w:spacing w:after="0" w:line="244" w:lineRule="auto"/>
        <w:tabs>
          <w:tab w:leader="none" w:pos="1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HERE IF TENDERED NOTES ARE BEING DELIVERED BY BOOK-ENTRY TRANSFER MADE TO AN ACCOUNT MAINTAINED BY THE EXCHANGE AGENT WITH THE DEPOSITORY AND COMPLETE THE FOLLOWING:</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 ] The Depository Trust Company</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Account Number --------------------------------------------------------------</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Transaction Code Number -----------------------------------------------------</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Holders whose Notes are not immediately available or who cannot deliver their Notes and all other documents required hereby to the Exchange Agent on or prior to the Expiration Date must tender their Notes according to the guaranteed delivery procedure set forth in the Prospectus under the caption "The Exchange Offer -- Guaranteed Delivery Procedures." See Instruction 2.</w:t>
      </w:r>
    </w:p>
    <w:p>
      <w:pPr>
        <w:sectPr>
          <w:pgSz w:w="11900" w:h="16838" w:orient="portrait"/>
          <w:cols w:equalWidth="0" w:num="1">
            <w:col w:w="10227"/>
          </w:cols>
          <w:pgMar w:left="232" w:top="291" w:right="1440" w:bottom="1440" w:gutter="0" w:footer="0" w:header="0"/>
        </w:sectPr>
      </w:pPr>
    </w:p>
    <w:bookmarkStart w:id="99" w:name="page100"/>
    <w:bookmarkEnd w:id="99"/>
    <w:p>
      <w:pPr>
        <w:ind w:left="268"/>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left="268" w:right="3739" w:hanging="268"/>
        <w:spacing w:after="0" w:line="243" w:lineRule="auto"/>
        <w:tabs>
          <w:tab w:leader="none" w:pos="17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IF TENDERED NOTES ARE BEING DELIVERED PURSUANT TO A NOTICE OF GUARANTEED DELIVERY AND COMPLETE THE FOLLOWING:</w:t>
      </w:r>
    </w:p>
    <w:p>
      <w:pPr>
        <w:spacing w:after="0" w:line="1"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Registered</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Holder(s) --------------------------------------------------------------</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Eligible Institution that Guaranteed</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delivery by book-entry transfer:</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 Number --------------------------------------------------------------</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Code Number -----------------------------------------------------</w:t>
      </w:r>
    </w:p>
    <w:p>
      <w:pPr>
        <w:spacing w:after="0" w:line="178" w:lineRule="exact"/>
        <w:rPr>
          <w:sz w:val="20"/>
          <w:szCs w:val="20"/>
          <w:color w:val="auto"/>
        </w:rPr>
      </w:pPr>
    </w:p>
    <w:p>
      <w:pPr>
        <w:ind w:left="268" w:right="3559" w:hanging="268"/>
        <w:spacing w:after="0" w:line="244" w:lineRule="auto"/>
        <w:tabs>
          <w:tab w:leader="none" w:pos="17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HERE IF YOU ARE A BROKER-DEALER AND WISH TO RECEIVE 10 ADDITIONAL COPIES OF THE PROSPECTUS AND 10 COPIES OF ANY AMENDMENTS OR SUPPLEMENTS THERETO.</w:t>
      </w:r>
    </w:p>
    <w:p>
      <w:pPr>
        <w:spacing w:after="0" w:line="175"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Name --------------------------------------------------------------------------</w:t>
      </w:r>
    </w:p>
    <w:p>
      <w:pPr>
        <w:spacing w:after="0" w:line="3"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Address -----------------------------------------------------------------------</w:t>
      </w:r>
    </w:p>
    <w:p>
      <w:pPr>
        <w:sectPr>
          <w:pgSz w:w="11900" w:h="16838" w:orient="portrait"/>
          <w:cols w:equalWidth="0" w:num="1">
            <w:col w:w="10227"/>
          </w:cols>
          <w:pgMar w:left="232" w:top="291"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PLEASE READ THE ACCOMPANYING INSTRUCTIONS CAREFULLY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the terms and subject to the conditions of the Exchange Offer, the undersigned hereby tenders to the Company the principal amount of the Notes indicated above. Subject to, and effective upon, the acceptance for exchange of such Notes tendered hereby, the undersigned hereby exchanges, assigns and transfers to, or upon the order of, the Company all right, title and interest in and to such Notes as are being tendered hereby, including all rights to accrued and unpaid interest thereon as of the Expiration Date. The undersigned hereby irrevocably constitutes and appoints the Exchange Agent the true and lawful agent and attorney-in-fact of the undersigned (with full knowledge that said Exchange Agent acts as the agent of the Company in connection with the Exchange Offer) to cause the Notes to be assigned, transferred and exchanged. The undersigned represents and warrants that it has full power and authority to tender, exchange, assign and transfer the Notes and to acquire Exchange Notes issuable upon the exchange of such tendered Notes, and that when the same are accepted for exchange, the Company will acquire good and unencumbered title to the tendered Notes, free and clear of all liens, restrictions, charges and encumbrances and not subject to any adverse claim.</w:t>
      </w:r>
    </w:p>
    <w:p>
      <w:pPr>
        <w:spacing w:after="0" w:line="18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represents to the Company that (A) it is not an affiliate of the Company, (B) it is not engaged in, and does not intend to engage in, and has no arrangement or understanding with any person to participate in, a distribution of the Exchange Notes to be issued in the Exchange Offer and (C) it is acquiring the Exchange Notes in its ordinary course of business. If the undersigned or the person receiving the Exchange Notes covered hereby is a broker-dealer that is receiving the Exchange Notes for its own account in exchange for Notes that were acquired as a result of market-making activities or other trading activities, the undersigned acknowledges that it or such other person will deliver a prospectus in connection with any resale of such Exchange Notes; however, by so acknowledging and by delivering a prospectus, the undersigned will not be deemed to admit that it is an "underwriter" within the meaning of the Securities Act. The undersigned and any such other person acknowledges that, if they are participating in the Exchange Offer for the purpose of distributing the Exchange Notes, (i) they cannot rely on the position of the staff of the Securities and Exchange Commission enunciated in Exxon Capital Holdings Corporation (available May 13, 1988) as interpreted in the Securities and Exchange Commission's letter to Shearman &amp; Sterling dated July 2, 1993, Morgan Stanley &amp; Co., Incorporated (available June 5, 1991), Warnaco, Inc. (available June 5, 1991), and Epic Properties, Inc. (available October 21, 1991 or similar no-action letters and, in the absence of an exemption therefrom, must comply with the registration and prospectus delivery requirements of the Securities Act in connection with the resale transaction and (ii) failure to comply with such requirements in such instance could result in the undersigned or any such other person incurring liability under the Securities Act for which such persons are not indemnified by the Company. If the undersigned or the person receiving the Exchange Notes covered by this letter is an affiliate (as defined under Rule 405 of the Securities Act) of the Company, the undersigned represents to the Company that the undesigned understands and acknowledges that such Exchange Notes may not be offered for resale, resold or otherwise transferred by the undersigned or such other person without registration under the Securities Act or an exemption therefrom.</w:t>
      </w:r>
    </w:p>
    <w:p>
      <w:pPr>
        <w:spacing w:after="0" w:line="19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also warrants that it will, upon request, execute and deliver any additional documents deemed by the Exchange Agent or the Company to be necessary or desirable to complete the exchange, assignment and transfer of tendered Notes or transfer ownership of such Notes on the account books maintained by a book-entry facility. The undersigned further agrees that acceptance of any tendered Notes by the Company and the issuance of Exchange Notes in exchange therefor shall constitute performance in full by the Company of its obligations under the Registration Rights Agreement and that the Company shall have no further obligations or liabilities thereunder for the registration of the Notes or the Exchange Notes.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Offer is subject to certain conditions set forth in the Prospectus under the caption "The Exchange Offer -- Conditions." The undersigned recognizes that as a result of these conditions (which may be waived, in whole or in part, by the Company), as more particularly set forth in the Prospectus, the Company may not be required to exchange any of the Notes tendered hereby and, in such event, the Notes not exchanged will be returned to the undersigned at the address shown below the signature of the undersigned.</w:t>
      </w:r>
    </w:p>
    <w:p>
      <w:pPr>
        <w:sectPr>
          <w:pgSz w:w="11900" w:h="16838" w:orient="portrait"/>
          <w:cols w:equalWidth="0" w:num="1">
            <w:col w:w="10219"/>
          </w:cols>
          <w:pgMar w:left="240" w:top="291"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 Tendered Notes may be withdrawn at any time prior to the Expiration Date.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Unless otherwise indicated in the box entitled "Special Registration Instructions" or the box entitled "Special Delivery Instructions" in this Letter of Transmittal, certificates for all Exchange Notes delivered in exchange for tendered Notes, and any Notes delivered herewith but not exchanged, will be registered in the name of the undersigned and shall be delivered to the undersigned at the address shown below the signature of the undersigned. If an Exchange Note is to be issued to a person other than the person(s) signing this Letter of Transmittal, or if the Exchange Note is to be mailed to someone other than the person(s) signing this Letter of Transmittal or to the person(s) signing this Letter of Transmittal at an address different than the address shown on this Letter of Transmittal, the appropriate boxes of this Letter of Transmittal should be completed. If Notes are surrendered by Holder(s) that have completed either the box entitled "Special Registration Instructions" or the box entitled "Special Delivery Instructions" in this Letter of Transmittal, signature(s) on this Letter of Transmittal must be Medallion Guaranteed by an Eligible Institution (defined in Instruction 2).</w:t>
      </w:r>
    </w:p>
    <w:p>
      <w:pPr>
        <w:spacing w:after="0" w:line="18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SPECIAL REGISTRATION</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INSTRUCTIONS</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To be completed ONLY if the Exchange Notes are to be issued in the name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someone other than the undersigned.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188" w:hanging="188"/>
        <w:spacing w:after="0"/>
        <w:tabs>
          <w:tab w:leader="none" w:pos="1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Book-Entry Transfer Facility Account:</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Employee Identification or Social Security Number:</w:t>
      </w:r>
    </w:p>
    <w:p>
      <w:pPr>
        <w:spacing w:after="0" w:line="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OR TYPE)</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SPECIAL DELIVERY</w:t>
      </w:r>
    </w:p>
    <w:p>
      <w:pPr>
        <w:spacing w:after="0" w:line="3"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INSTRUCTIONS</w:t>
      </w:r>
    </w:p>
    <w:p>
      <w:pPr>
        <w:spacing w:after="0" w:line="178" w:lineRule="exact"/>
        <w:rPr>
          <w:sz w:val="20"/>
          <w:szCs w:val="20"/>
          <w:color w:val="auto"/>
        </w:rPr>
      </w:pPr>
    </w:p>
    <w:p>
      <w:pPr>
        <w:jc w:val="both"/>
        <w:ind w:left="8" w:right="3099" w:firstLine="451"/>
        <w:spacing w:after="0" w:line="245" w:lineRule="auto"/>
        <w:rPr>
          <w:sz w:val="20"/>
          <w:szCs w:val="20"/>
          <w:color w:val="auto"/>
        </w:rPr>
      </w:pPr>
      <w:r>
        <w:rPr>
          <w:rFonts w:ascii="Courier New" w:cs="Courier New" w:eastAsia="Courier New" w:hAnsi="Courier New"/>
          <w:sz w:val="15"/>
          <w:szCs w:val="15"/>
          <w:color w:val="auto"/>
        </w:rPr>
        <w:t>To be completed ONLY if the Exchange Notes are to be sent to someone other than the undersigned, or to the undersigned at an address other than that shown under "Description of Notes Tendered Hereby." Name:</w:t>
      </w:r>
    </w:p>
    <w:p>
      <w:pPr>
        <w:spacing w:after="0" w:line="173" w:lineRule="exact"/>
        <w:rPr>
          <w:sz w:val="20"/>
          <w:szCs w:val="20"/>
          <w:color w:val="auto"/>
        </w:rPr>
      </w:pPr>
    </w:p>
    <w:p>
      <w:pPr>
        <w:ind w:left="188" w:hanging="188"/>
        <w:spacing w:after="0"/>
        <w:tabs>
          <w:tab w:leader="none" w:pos="18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26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OR TYPE)</w:t>
      </w:r>
    </w:p>
    <w:p>
      <w:pPr>
        <w:sectPr>
          <w:pgSz w:w="11900" w:h="16838" w:orient="portrait"/>
          <w:cols w:equalWidth="0" w:num="1">
            <w:col w:w="10227"/>
          </w:cols>
          <w:pgMar w:left="232" w:top="291" w:right="1440" w:bottom="1440" w:gutter="0" w:footer="0" w:header="0"/>
        </w:sectPr>
      </w:pPr>
    </w:p>
    <w:bookmarkStart w:id="102" w:name="page103"/>
    <w:bookmarkEnd w:id="102"/>
    <w:p>
      <w:pPr>
        <w:ind w:left="268"/>
        <w:spacing w:after="0"/>
        <w:rPr>
          <w:sz w:val="20"/>
          <w:szCs w:val="20"/>
          <w:color w:val="auto"/>
        </w:rPr>
      </w:pPr>
      <w:r>
        <w:rPr>
          <w:rFonts w:ascii="Courier New" w:cs="Courier New" w:eastAsia="Courier New" w:hAnsi="Courier New"/>
          <w:sz w:val="15"/>
          <w:szCs w:val="15"/>
          <w:color w:val="auto"/>
        </w:rPr>
        <w:t>6</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(REGISTERED HOLDER(S) OF NOTES SIGN HERE)</w:t>
      </w:r>
    </w:p>
    <w:p>
      <w:pPr>
        <w:spacing w:after="0" w:line="177"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 ADDITION, COMPLETE SUBSTITUTE FORM W-9 BELOW)</w:t>
      </w:r>
    </w:p>
    <w:p>
      <w:pPr>
        <w:spacing w:after="0" w:line="178" w:lineRule="exact"/>
        <w:rPr>
          <w:sz w:val="20"/>
          <w:szCs w:val="20"/>
          <w:color w:val="auto"/>
        </w:rPr>
      </w:pPr>
    </w:p>
    <w:p>
      <w:pPr>
        <w:ind w:left="188" w:hanging="188"/>
        <w:spacing w:after="0"/>
        <w:tabs>
          <w:tab w:leader="none" w:pos="1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8"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(Signature(s) of Registered Holder(s))</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Must be signed by registered holder(s) exactly as name(s) appear(s) on the Notes or on a security position listing as the owner of the Notes or by person(s) authorized to become registered holder(s) by properly completed bond powers transmitted herewith. If signature is by attorney-in-fact, trustee, executor, administrator, guardian, officer of a corporation or other person acting in a fiduciary capacity, please provide the following information. (Please print or type):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and Capacity (full title):</w:t>
      </w:r>
    </w:p>
    <w:p>
      <w:pPr>
        <w:spacing w:after="0" w:line="3" w:lineRule="exact"/>
        <w:rPr>
          <w:sz w:val="20"/>
          <w:szCs w:val="20"/>
          <w:color w:val="auto"/>
        </w:rPr>
      </w:pPr>
    </w:p>
    <w:p>
      <w:pPr>
        <w:ind w:left="188" w:hanging="188"/>
        <w:spacing w:after="0"/>
        <w:tabs>
          <w:tab w:leader="none" w:pos="18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Address (including zip code):</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Area Code and Telephone Number:</w:t>
      </w:r>
    </w:p>
    <w:p>
      <w:pPr>
        <w:spacing w:after="0" w:line="3"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Taxpayer Identification or Social Security No.:</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MEDALLION GUARANTEE</w:t>
      </w:r>
    </w:p>
    <w:p>
      <w:pPr>
        <w:spacing w:after="0" w:line="3"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(IF REQUIRED -- SEE INSTRUCTION 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Authorized Signature:</w:t>
      </w:r>
    </w:p>
    <w:p>
      <w:pPr>
        <w:spacing w:after="0" w:line="177" w:lineRule="exact"/>
        <w:rPr>
          <w:sz w:val="20"/>
          <w:szCs w:val="20"/>
          <w:color w:val="auto"/>
        </w:rPr>
      </w:pPr>
    </w:p>
    <w:p>
      <w:pPr>
        <w:jc w:val="center"/>
        <w:ind w:right="1392"/>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1392"/>
        <w:spacing w:after="0"/>
        <w:rPr>
          <w:sz w:val="20"/>
          <w:szCs w:val="20"/>
          <w:color w:val="auto"/>
        </w:rPr>
      </w:pPr>
      <w:r>
        <w:rPr>
          <w:rFonts w:ascii="Courier New" w:cs="Courier New" w:eastAsia="Courier New" w:hAnsi="Courier New"/>
          <w:sz w:val="15"/>
          <w:szCs w:val="15"/>
          <w:color w:val="auto"/>
        </w:rPr>
        <w:t>(Signature of Representative of Medallion Guarantor)</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Name and Title:</w:t>
      </w:r>
    </w:p>
    <w:p>
      <w:pPr>
        <w:spacing w:after="0" w:line="4" w:lineRule="exact"/>
        <w:rPr>
          <w:sz w:val="20"/>
          <w:szCs w:val="20"/>
          <w:color w:val="auto"/>
        </w:rPr>
      </w:pPr>
    </w:p>
    <w:p>
      <w:pPr>
        <w:ind w:left="188" w:hanging="188"/>
        <w:spacing w:after="0"/>
        <w:tabs>
          <w:tab w:leader="none" w:pos="188"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Plan:</w:t>
      </w:r>
    </w:p>
    <w:p>
      <w:pPr>
        <w:spacing w:after="0" w:line="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Area Code and Telephone Number:</w:t>
      </w:r>
    </w:p>
    <w:p>
      <w:pPr>
        <w:spacing w:after="0" w:line="177"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2"/>
        <w:spacing w:after="0"/>
        <w:rPr>
          <w:sz w:val="20"/>
          <w:szCs w:val="20"/>
          <w:color w:val="auto"/>
        </w:rPr>
      </w:pPr>
      <w:r>
        <w:rPr>
          <w:rFonts w:ascii="Courier New" w:cs="Courier New" w:eastAsia="Courier New" w:hAnsi="Courier New"/>
          <w:sz w:val="15"/>
          <w:szCs w:val="15"/>
          <w:color w:val="auto"/>
        </w:rPr>
        <w:t>(Please Print or Type)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Dated:</w:t>
      </w:r>
    </w:p>
    <w:p>
      <w:pPr>
        <w:spacing w:after="0" w:line="177"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PAYOR'S NAME: CHASE BANK OF TEXAS, NATIONAL ASSOCIATION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180"/>
        <w:spacing w:after="0"/>
        <w:tabs>
          <w:tab w:leader="none" w:pos="3300" w:val="left"/>
          <w:tab w:leader="none" w:pos="7460" w:val="left"/>
        </w:tabs>
        <w:rPr>
          <w:sz w:val="20"/>
          <w:szCs w:val="20"/>
          <w:color w:val="auto"/>
        </w:rPr>
      </w:pPr>
      <w:r>
        <w:rPr>
          <w:rFonts w:ascii="Courier New" w:cs="Courier New" w:eastAsia="Courier New" w:hAnsi="Courier New"/>
          <w:sz w:val="15"/>
          <w:szCs w:val="15"/>
          <w:color w:val="auto"/>
        </w:rPr>
        <w:t>SUBSTITUTE</w:t>
      </w:r>
      <w:r>
        <w:rPr>
          <w:sz w:val="20"/>
          <w:szCs w:val="20"/>
          <w:color w:val="auto"/>
        </w:rPr>
        <w:tab/>
      </w:r>
      <w:r>
        <w:rPr>
          <w:rFonts w:ascii="Courier New" w:cs="Courier New" w:eastAsia="Courier New" w:hAnsi="Courier New"/>
          <w:sz w:val="15"/>
          <w:szCs w:val="15"/>
          <w:color w:val="auto"/>
        </w:rPr>
        <w:t>PART I -- PLEASE PROVIDE YOUR TIN IN THE</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3300" w:val="left"/>
          <w:tab w:leader="none" w:pos="7460" w:val="left"/>
        </w:tabs>
        <w:rPr>
          <w:sz w:val="20"/>
          <w:szCs w:val="20"/>
          <w:color w:val="auto"/>
        </w:rPr>
      </w:pPr>
      <w:r>
        <w:rPr>
          <w:rFonts w:ascii="Courier New" w:cs="Courier New" w:eastAsia="Courier New" w:hAnsi="Courier New"/>
          <w:sz w:val="15"/>
          <w:szCs w:val="15"/>
          <w:color w:val="auto"/>
        </w:rPr>
        <w:t>FORM W-9</w:t>
      </w:r>
      <w:r>
        <w:rPr>
          <w:sz w:val="20"/>
          <w:szCs w:val="20"/>
          <w:color w:val="auto"/>
        </w:rPr>
        <w:tab/>
      </w:r>
      <w:r>
        <w:rPr>
          <w:rFonts w:ascii="Courier New" w:cs="Courier New" w:eastAsia="Courier New" w:hAnsi="Courier New"/>
          <w:sz w:val="15"/>
          <w:szCs w:val="15"/>
          <w:color w:val="auto"/>
        </w:rPr>
        <w:t>BOX AT RIGHT AND CERTIFY BY SIGNING AND</w:t>
      </w:r>
      <w:r>
        <w:rPr>
          <w:sz w:val="20"/>
          <w:szCs w:val="20"/>
          <w:color w:val="auto"/>
        </w:rPr>
        <w:tab/>
      </w:r>
      <w:r>
        <w:rPr>
          <w:rFonts w:ascii="Courier New" w:cs="Courier New" w:eastAsia="Courier New" w:hAnsi="Courier New"/>
          <w:sz w:val="14"/>
          <w:szCs w:val="14"/>
          <w:color w:val="auto"/>
        </w:rPr>
        <w:t>SOCIAL SECURITY NUMBER</w:t>
      </w:r>
    </w:p>
    <w:p>
      <w:pPr>
        <w:spacing w:after="0" w:line="3" w:lineRule="exact"/>
        <w:rPr>
          <w:sz w:val="20"/>
          <w:szCs w:val="20"/>
          <w:color w:val="auto"/>
        </w:rPr>
      </w:pPr>
    </w:p>
    <w:p>
      <w:pPr>
        <w:ind w:left="3320"/>
        <w:spacing w:after="0"/>
        <w:tabs>
          <w:tab w:leader="none" w:pos="7460" w:val="left"/>
        </w:tabs>
        <w:rPr>
          <w:sz w:val="20"/>
          <w:szCs w:val="20"/>
          <w:color w:val="auto"/>
        </w:rPr>
      </w:pPr>
      <w:r>
        <w:rPr>
          <w:rFonts w:ascii="Courier New" w:cs="Courier New" w:eastAsia="Courier New" w:hAnsi="Courier New"/>
          <w:sz w:val="15"/>
          <w:szCs w:val="15"/>
          <w:color w:val="auto"/>
        </w:rPr>
        <w:t>DATING BELOW.</w:t>
      </w:r>
      <w:r>
        <w:rPr>
          <w:sz w:val="20"/>
          <w:szCs w:val="20"/>
          <w:color w:val="auto"/>
        </w:rPr>
        <w:tab/>
      </w:r>
      <w:r>
        <w:rPr>
          <w:rFonts w:ascii="Courier New" w:cs="Courier New" w:eastAsia="Courier New" w:hAnsi="Courier New"/>
          <w:sz w:val="15"/>
          <w:szCs w:val="15"/>
          <w:color w:val="auto"/>
        </w:rPr>
        <w:t>OR</w:t>
      </w:r>
    </w:p>
    <w:p>
      <w:pPr>
        <w:spacing w:after="0" w:line="3" w:lineRule="exact"/>
        <w:rPr>
          <w:sz w:val="20"/>
          <w:szCs w:val="20"/>
          <w:color w:val="auto"/>
        </w:rPr>
      </w:pPr>
    </w:p>
    <w:p>
      <w:pPr>
        <w:ind w:left="73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480"/>
        <w:spacing w:after="0"/>
        <w:rPr>
          <w:sz w:val="20"/>
          <w:szCs w:val="20"/>
          <w:color w:val="auto"/>
        </w:rPr>
      </w:pPr>
      <w:r>
        <w:rPr>
          <w:rFonts w:ascii="Courier New" w:cs="Courier New" w:eastAsia="Courier New" w:hAnsi="Courier New"/>
          <w:sz w:val="15"/>
          <w:szCs w:val="15"/>
          <w:color w:val="auto"/>
        </w:rPr>
        <w:t>EMPLOYER IDENTIFICATION NUMBER</w:t>
      </w:r>
    </w:p>
    <w:p>
      <w:pPr>
        <w:spacing w:after="0" w:line="3" w:lineRule="exact"/>
        <w:rPr>
          <w:sz w:val="20"/>
          <w:szCs w:val="20"/>
          <w:color w:val="auto"/>
        </w:rPr>
      </w:pPr>
    </w:p>
    <w:p>
      <w:pPr>
        <w:ind w:left="7480"/>
        <w:spacing w:after="0"/>
        <w:rPr>
          <w:sz w:val="20"/>
          <w:szCs w:val="20"/>
          <w:color w:val="auto"/>
        </w:rPr>
      </w:pPr>
      <w:r>
        <w:rPr>
          <w:rFonts w:ascii="Courier New" w:cs="Courier New" w:eastAsia="Courier New" w:hAnsi="Courier New"/>
          <w:sz w:val="15"/>
          <w:szCs w:val="15"/>
          <w:color w:val="auto"/>
        </w:rPr>
        <w:t>(IF AWAITING TIN,</w:t>
      </w:r>
    </w:p>
    <w:p>
      <w:pPr>
        <w:spacing w:after="0" w:line="3" w:lineRule="exact"/>
        <w:rPr>
          <w:sz w:val="20"/>
          <w:szCs w:val="20"/>
          <w:color w:val="auto"/>
        </w:rPr>
      </w:pPr>
    </w:p>
    <w:p>
      <w:pPr>
        <w:ind w:left="7480"/>
        <w:spacing w:after="0"/>
        <w:rPr>
          <w:sz w:val="20"/>
          <w:szCs w:val="20"/>
          <w:color w:val="auto"/>
        </w:rPr>
      </w:pPr>
      <w:r>
        <w:rPr>
          <w:rFonts w:ascii="Courier New" w:cs="Courier New" w:eastAsia="Courier New" w:hAnsi="Courier New"/>
          <w:sz w:val="15"/>
          <w:szCs w:val="15"/>
          <w:color w:val="auto"/>
        </w:rPr>
        <w:t>WRITE "APPLIED FOR")</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tabs>
          <w:tab w:leader="none" w:pos="3300" w:val="left"/>
        </w:tabs>
        <w:rPr>
          <w:sz w:val="20"/>
          <w:szCs w:val="20"/>
          <w:color w:val="auto"/>
        </w:rPr>
      </w:pPr>
      <w:r>
        <w:rPr>
          <w:rFonts w:ascii="Courier New" w:cs="Courier New" w:eastAsia="Courier New" w:hAnsi="Courier New"/>
          <w:sz w:val="15"/>
          <w:szCs w:val="15"/>
          <w:color w:val="auto"/>
        </w:rPr>
        <w:t>DEPARTMENT OF THE TREASURY</w:t>
      </w:r>
      <w:r>
        <w:rPr>
          <w:sz w:val="20"/>
          <w:szCs w:val="20"/>
          <w:color w:val="auto"/>
        </w:rPr>
        <w:tab/>
      </w:r>
      <w:r>
        <w:rPr>
          <w:rFonts w:ascii="Courier New" w:cs="Courier New" w:eastAsia="Courier New" w:hAnsi="Courier New"/>
          <w:sz w:val="15"/>
          <w:szCs w:val="15"/>
          <w:color w:val="auto"/>
        </w:rPr>
        <w:t>PART II -- FOR PAYEES EXEMPT FROM BACKUP WITHHOLDING, SEE THE ENCLOSED GUIDELINES</w:t>
      </w:r>
    </w:p>
    <w:p>
      <w:pPr>
        <w:spacing w:after="0" w:line="3"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INTERNAL REVENUE SERVICE</w:t>
      </w:r>
      <w:r>
        <w:rPr>
          <w:sz w:val="20"/>
          <w:szCs w:val="20"/>
          <w:color w:val="auto"/>
        </w:rPr>
        <w:tab/>
      </w:r>
      <w:r>
        <w:rPr>
          <w:rFonts w:ascii="Courier New" w:cs="Courier New" w:eastAsia="Courier New" w:hAnsi="Courier New"/>
          <w:sz w:val="15"/>
          <w:szCs w:val="15"/>
          <w:color w:val="auto"/>
        </w:rPr>
        <w:t>FOR CERTIFICATION OF TAXPAYER IDENTIFICATION NUMBER ON SUBSTITUTE FORM W-9 AND</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COMPLETE AS INSTRUCTED THEREIN.</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tabs>
          <w:tab w:leader="none" w:pos="3300" w:val="left"/>
        </w:tabs>
        <w:rPr>
          <w:sz w:val="20"/>
          <w:szCs w:val="20"/>
          <w:color w:val="auto"/>
        </w:rPr>
      </w:pPr>
      <w:r>
        <w:rPr>
          <w:rFonts w:ascii="Courier New" w:cs="Courier New" w:eastAsia="Courier New" w:hAnsi="Courier New"/>
          <w:sz w:val="15"/>
          <w:szCs w:val="15"/>
          <w:color w:val="auto"/>
        </w:rPr>
        <w:t>PAYER'S REQUEST FOR TAXPAYER</w:t>
      </w:r>
      <w:r>
        <w:rPr>
          <w:sz w:val="20"/>
          <w:szCs w:val="20"/>
          <w:color w:val="auto"/>
        </w:rPr>
        <w:tab/>
      </w:r>
      <w:r>
        <w:rPr>
          <w:rFonts w:ascii="Courier New" w:cs="Courier New" w:eastAsia="Courier New" w:hAnsi="Courier New"/>
          <w:sz w:val="15"/>
          <w:szCs w:val="15"/>
          <w:color w:val="auto"/>
        </w:rPr>
        <w:t>CERTIFICATION -- Under penalties of perjury, I certify that:</w:t>
      </w:r>
    </w:p>
    <w:p>
      <w:pPr>
        <w:spacing w:after="0" w:line="3"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IDENTIFICATION NUMBER (TIN)</w:t>
      </w:r>
      <w:r>
        <w:rPr>
          <w:sz w:val="20"/>
          <w:szCs w:val="20"/>
          <w:color w:val="auto"/>
        </w:rPr>
        <w:tab/>
      </w:r>
      <w:r>
        <w:rPr>
          <w:rFonts w:ascii="Courier New" w:cs="Courier New" w:eastAsia="Courier New" w:hAnsi="Courier New"/>
          <w:sz w:val="15"/>
          <w:szCs w:val="15"/>
          <w:color w:val="auto"/>
        </w:rPr>
        <w:t>(1) The number shown on this form is my correct Taxpayer Identification Number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(or a Taxpayer Identification Number has not been issued to me) and either (a) I</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have mailed or delivered an application to receive a Taxpayer Identification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Number to the appropriate Internal Revenue Service ("IRS") or Social Security</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Administration office or (b) I intend to mail or deliver an application in</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near future. I understand that if I do not provide a Taxpayer</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Identification Number within 60 days, 31% of all reportable payments made to</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me thereafter will be withheld until I provide a number, and</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 I am not subject to backup withholding either because (a) I am exempt from</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backup withholding, (b) I have not been notified by the IRS that I am subject to</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backup withholding as a result of a failure to report all interest or</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dividends, or (c) the IRS has notified me that I am no longer subject to</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backup withholding.</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CERTIFICATION INSTRUCTIONS -- You must cross out item (2) above if you have been</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notified by the IRS that you are subject to backup withholding because of under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reporting interest or dividends on your tax return. However, if after being</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notified by the IRS that you were subject to backup withholding you received</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another notification from the IRS that you are no longer subject to backup</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withholding, do not cross out item (2). (Also see instructions in the enclosed</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Guidelines.)</w:t>
      </w:r>
    </w:p>
    <w:p>
      <w:pPr>
        <w:spacing w:after="0" w:line="3" w:lineRule="exact"/>
        <w:rPr>
          <w:sz w:val="20"/>
          <w:szCs w:val="20"/>
          <w:color w:val="auto"/>
        </w:rPr>
      </w:pPr>
    </w:p>
    <w:p>
      <w:pPr>
        <w:ind w:left="3320"/>
        <w:spacing w:after="0"/>
        <w:tabs>
          <w:tab w:leader="none" w:pos="5660" w:val="left"/>
        </w:tabs>
        <w:rPr>
          <w:sz w:val="20"/>
          <w:szCs w:val="20"/>
          <w:color w:val="auto"/>
        </w:rPr>
      </w:pPr>
      <w:r>
        <w:rPr>
          <w:rFonts w:ascii="Courier New" w:cs="Courier New" w:eastAsia="Courier New" w:hAnsi="Courier New"/>
          <w:sz w:val="15"/>
          <w:szCs w:val="15"/>
          <w:color w:val="auto"/>
        </w:rPr>
        <w:t>Signature ____________</w:t>
      </w:r>
      <w:r>
        <w:rPr>
          <w:sz w:val="20"/>
          <w:szCs w:val="20"/>
          <w:color w:val="auto"/>
        </w:rPr>
        <w:tab/>
      </w:r>
      <w:r>
        <w:rPr>
          <w:rFonts w:ascii="Courier New" w:cs="Courier New" w:eastAsia="Courier New" w:hAnsi="Courier New"/>
          <w:sz w:val="14"/>
          <w:szCs w:val="14"/>
          <w:color w:val="auto"/>
        </w:rPr>
        <w:t>Date ____________ , 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1" w:lineRule="exact"/>
        <w:rPr>
          <w:sz w:val="20"/>
          <w:szCs w:val="20"/>
          <w:color w:val="auto"/>
        </w:rPr>
      </w:pPr>
    </w:p>
    <w:p>
      <w:pPr>
        <w:ind w:left="540" w:right="3700" w:hanging="539"/>
        <w:spacing w:after="0" w:line="244" w:lineRule="auto"/>
        <w:tabs>
          <w:tab w:leader="none" w:pos="520" w:val="left"/>
        </w:tabs>
        <w:rPr>
          <w:sz w:val="20"/>
          <w:szCs w:val="20"/>
          <w:color w:val="auto"/>
        </w:rPr>
      </w:pPr>
      <w:r>
        <w:rPr>
          <w:rFonts w:ascii="Courier New" w:cs="Courier New" w:eastAsia="Courier New" w:hAnsi="Courier New"/>
          <w:sz w:val="15"/>
          <w:szCs w:val="15"/>
          <w:color w:val="auto"/>
        </w:rPr>
        <w:t>NOTE:</w:t>
        <w:tab/>
        <w:t>FAILURE TO COMPLETE AND RETURN THIS FORM MAY RESULT IN BACKUP WITHHOLDING OF 31% OF ANY PAYMENTS MADE TO YOU PURSUANT TO THE OFFER. PLEASE REVIEW THE ENCLOSED GUIDELINES FOR CERTIFICATION OF TAXPAYER IDENTIFICATION NUMBER ON SUBSTITUTE FORM W-9 FOR ADDITIONAL DETAILS.</w:t>
      </w:r>
    </w:p>
    <w:p>
      <w:pPr>
        <w:sectPr>
          <w:pgSz w:w="11900" w:h="16838" w:orient="portrait"/>
          <w:cols w:equalWidth="0" w:num="1">
            <w:col w:w="10820"/>
          </w:cols>
          <w:pgMar w:left="240" w:top="291" w:right="839"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INSTRUCTIONS</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FORMING PART OF THE TERMS AND</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CONDITIONS OF THE EXCHANGE OFFER</w:t>
      </w:r>
    </w:p>
    <w:p>
      <w:pPr>
        <w:spacing w:after="0" w:line="178" w:lineRule="exact"/>
        <w:rPr>
          <w:sz w:val="20"/>
          <w:szCs w:val="20"/>
          <w:color w:val="auto"/>
        </w:rPr>
      </w:pPr>
    </w:p>
    <w:p>
      <w:pPr>
        <w:ind w:right="3019" w:firstLine="443"/>
        <w:spacing w:after="0" w:line="244" w:lineRule="auto"/>
        <w:tabs>
          <w:tab w:leader="none" w:pos="72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this Letter of Transmittal and Certificates. All physically delivered Notes or confirmations of any book-entry transfer to the Exchange Agent's account at a book-entry transfer facility of Notes tendered by book-entry transfer, as well as a properly completed and duly executed copy of this Letter of Transmittal or facsimile thereof, and any other documents required by this Letter of Transmittal, must be received by the Exchange Agent at the address set forth herein on or prior to the Expiration Date (as defined in the Prospectus). The method of delivery of this Letter of Transmittal, the Notes and any other required documents is at the election and risk of the Holder, and except as otherwise provided below, the delivery will be deemed made only when actually received by the Exchange Agent. If such delivery is by mail, it is suggested that registered mail with return receipt requested, properly insured, be used.</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 alternative, conditional, irregular or contingent tenders will be accepted. All tendering Holders, by execution of this Letter of Transmittal (or facsimile thereof), shall waive any right to receive notice of the acceptance of the Notes for exchange.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Delivery to an address other than as set forth herein, or instructions via a facsimile number other than the ones set forth herein, will not constitute a valid delivery.</w:t>
      </w:r>
    </w:p>
    <w:p>
      <w:pPr>
        <w:spacing w:after="0" w:line="175" w:lineRule="exact"/>
        <w:rPr>
          <w:sz w:val="20"/>
          <w:szCs w:val="20"/>
          <w:color w:val="auto"/>
        </w:rPr>
      </w:pPr>
    </w:p>
    <w:p>
      <w:pPr>
        <w:ind w:right="3019" w:firstLine="443"/>
        <w:spacing w:after="0" w:line="244" w:lineRule="auto"/>
        <w:tabs>
          <w:tab w:leader="none" w:pos="72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Delivery Procedures. Holders who wish to tender their Notes, but whose Notes are not immediately available and thus cannot deliver their Notes, the Letter of Transmittal or any other required documents to the Exchange Agent (or comply with the procedures for book-entry transfer) on or prior to the Expiration Date, may effect a tender if:</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through a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(an "Eligible Institution");</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Expiration Date, the Exchange Agent receives from such Eligible Institution a properly completed and duly executed Notice of Guaranteed Delivery (by facsimile transmission, mail or hand delivery) setting forth the name and address of the Holder, the registration number(s) of such Notes and the principal amount of Notes tendered, stating that the tender is being made thereby and guaranteeing that, within three New York Stock Exchange trading days after the Expiration Date, the Letter of Transmittal (or facsimile thereof), together with the Notes (or a confirmation of book-entry transfer of such Notes into the Exchange Agent's account at the Depository) and any other documents required by the Letter of Transmittal, will be deposited by the Eligible Institution with the Exchange Agent; and</w:t>
      </w:r>
    </w:p>
    <w:p>
      <w:pPr>
        <w:spacing w:after="0" w:line="180"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properly completed and executed Letter of Transmittal (or facsimile thereof), as well as all tendered Notes in proper form for transfer (or a confirmation of book-entry transfer of such Notes into the Exchange Agent's account at the Depository) and all other documents required by the Letter of Transmittal, are received by the Exchange Agent within three New York Stock Exchange trading days after the Expiration Date.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Any Holder who wishes to tender Notes pursuant to the guaranteed delivery procedures described above must ensure that the Exchange Agent receives the Notice of Guaranteed Delivery relating to such Notes prior to the Expiration Date. Failure to complete the guaranteed delivery procedures outlined above will not, of itself, affect the validity or effect a revocation of any Letter of Transmittal form properly completed and executed by a Holder who attempted to use the guaranteed delivery procedures.</w:t>
      </w:r>
    </w:p>
    <w:p>
      <w:pPr>
        <w:spacing w:after="0" w:line="178" w:lineRule="exact"/>
        <w:rPr>
          <w:sz w:val="20"/>
          <w:szCs w:val="20"/>
          <w:color w:val="auto"/>
        </w:rPr>
      </w:pPr>
    </w:p>
    <w:p>
      <w:pPr>
        <w:ind w:right="3099" w:firstLine="443"/>
        <w:spacing w:after="0" w:line="244" w:lineRule="auto"/>
        <w:tabs>
          <w:tab w:leader="none" w:pos="72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Tenders; Withdrawals. If less than the entire principal amount of Notes evidenced by a submitted certificate is tendered, the tendering Holder should fill in the principal amount tendered in the column entitled "Principal Amount Tendered" of the box entitled "Description of Notes Tendered Hereby."</w:t>
      </w:r>
    </w:p>
    <w:p>
      <w:pPr>
        <w:sectPr>
          <w:pgSz w:w="11900" w:h="16838" w:orient="portrait"/>
          <w:cols w:equalWidth="0" w:num="1">
            <w:col w:w="10219"/>
          </w:cols>
          <w:pgMar w:left="240" w:top="291"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newly issued Note for the principal amount of Notes submitted but not tendered will be sent to such Holder as soon as practicable after the Expiration Date. All Notes delivered to the Exchange Agent will be deemed to have been tendered in full unless otherwise indicated.</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Notes tendered pursuant to the Exchange Offer may be withdrawn at any time prior to the Expiration Date, after which tenders of Notes are irrevocable. To be effective, a written telegraphic or facsimile transmission notice of withdrawal must be timely received by the Exchange Agent. Any such notice of withdrawal must (i) specify the name of the person having deposited the Notes to be withdrawn (the "Depositor"), (ii) identify the Notes to be withdrawn (including the registration number(s) and principal amount of such Notes or, in the case of Notes transferred by book-entry transfer, the name and number of the account at the Depository to be credited), (iii) be signed by the Holder in the same manner as the original signature on this Letter of Transmittal (including any required Medallion Guarantees) or be accompanied by documents of transfer sufficient to have the Trustee with respect to the Notes register the transfer of such Notes into the name of the person withdrawing the tender and (iv) specify the name in which any such Notes are to be registered, if different from that of the Depositor. All questions as to the validity, form and eligibility (including time of receipt) of such notices will be determined by the Company, whose determination shall be final and binding on all parties. Any Notes so withdrawn will be deemed not to have been validly tendered for purposes of the Exchange Offer and no Exchange Notes will be issued with respect thereto unless the Notes so withdrawn are validly retendered. Any Notes which have been tendered but which are not accepted for exchange, will be returned to the Holder thereof without cost to such Holder, or will be credited to an account maintained with the Depository, as soon as practicable after withdrawal, rejection of tender or termination of Exchange Offer.</w:t>
      </w:r>
    </w:p>
    <w:p>
      <w:pPr>
        <w:spacing w:after="0" w:line="189" w:lineRule="exact"/>
        <w:rPr>
          <w:sz w:val="20"/>
          <w:szCs w:val="20"/>
          <w:color w:val="auto"/>
        </w:rPr>
      </w:pPr>
    </w:p>
    <w:p>
      <w:pPr>
        <w:ind w:right="3199" w:firstLine="443"/>
        <w:spacing w:after="0" w:line="244" w:lineRule="auto"/>
        <w:tabs>
          <w:tab w:leader="none" w:pos="72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on this Letter of Transmittal; Written Instruments and Endorsements; Medallion Guarantee. If this Letter of Transmittal is signed by the registered Holder(s) of the Notes tendered hereby, the signature must correspond with the name(s) as written on the face of the certificates without alteration or enlargement or any change whatsoever. If this Letter of Transmittal is signed by a participant in the Depository, the signature must correspond with the name as it appears on the security position listing as the owner of the Notes.</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If any of the Notes tendered hereby are owned of record by two or more joint owners, all such owners must sign this Letter of Transmittal.</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If a number of Notes registered in different names is tendered, it will be necessary to complete, sign and submit as many separate copies of this Letter of Transmittal as there are different registrations of Notes.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Signatures on this Letter of Transmittal or on a notice of withdrawal, as the case may be, must be Medallion Guaranteed by an Eligible Institution unless the Notes tendered hereby are tendered (i) by a registered Holder who has not completed the box entitled "Special Registration Instructions" or "Special Delivery Instructions" on the Letter of Transmittal or (ii) for the account of an Eligible Institution.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this Letter of Transmittal is signed by the registered Holder or Holders of Notes (which term, for the purposes described herein, shall include a participant in the Depository whose name appears on a security listing as the owner of the Notes) listed and tendered hereby, no endorsements of the tendered Notes or separate written instruments of transfer or exchange are required. In any other case, the registered Holder (or acting Holder) must either properly endorse the Notes or transmit properly completed bond powers with this Letter of Transmittal (in either case, executed exactly as the name(s) of the registered Holder(s) appear(s) on the Notes, and, with respect to a participant in the Depository whose name appears on a security position listing as the owner of Notes, exactly as the name of the participant appears on such security position listing), with the signature on the Notes or bond power guaranteed by an Eligible Institution (except where the Notes are tendered for the account of an Eligible Institution).</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w:t>
      </w:r>
    </w:p>
    <w:p>
      <w:pPr>
        <w:sectPr>
          <w:pgSz w:w="11900" w:h="16838" w:orient="portrait"/>
          <w:cols w:equalWidth="0" w:num="1">
            <w:col w:w="10219"/>
          </w:cols>
          <w:pgMar w:left="240" w:top="291"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waived by the Company, proper evidence satisfactory to the Company of their authority to so act must be submitted.</w:t>
      </w:r>
    </w:p>
    <w:p>
      <w:pPr>
        <w:spacing w:after="0" w:line="176" w:lineRule="exact"/>
        <w:rPr>
          <w:sz w:val="20"/>
          <w:szCs w:val="20"/>
          <w:color w:val="auto"/>
        </w:rPr>
      </w:pPr>
    </w:p>
    <w:p>
      <w:pPr>
        <w:ind w:right="3019" w:firstLine="443"/>
        <w:spacing w:after="0" w:line="244" w:lineRule="auto"/>
        <w:tabs>
          <w:tab w:leader="none" w:pos="72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Registration and Delivery Instructions. Tendering Holders should indicate, in the applicable box, the name and address (or account at the Depository) in which the Exchange Notes or substitute Notes for principal amounts not tendered or not accepted for exchange are to be issued (or deposited), if different from the names and addresses or accounts of the person signing this Letter of Transmittal. In the case of issuance in a different name, the employer identification number or social security number of the person named must also be indicated and the tendering Holder should complete the applicable box.</w:t>
      </w:r>
    </w:p>
    <w:p>
      <w:pPr>
        <w:spacing w:after="0" w:line="179" w:lineRule="exact"/>
        <w:rPr>
          <w:sz w:val="20"/>
          <w:szCs w:val="20"/>
          <w:color w:val="auto"/>
        </w:rPr>
      </w:pPr>
    </w:p>
    <w:p>
      <w:pPr>
        <w:ind w:right="3199" w:firstLine="451"/>
        <w:spacing w:after="0" w:line="270" w:lineRule="auto"/>
        <w:rPr>
          <w:sz w:val="20"/>
          <w:szCs w:val="20"/>
          <w:color w:val="auto"/>
        </w:rPr>
      </w:pPr>
      <w:r>
        <w:rPr>
          <w:rFonts w:ascii="Courier New" w:cs="Courier New" w:eastAsia="Courier New" w:hAnsi="Courier New"/>
          <w:sz w:val="14"/>
          <w:szCs w:val="14"/>
          <w:color w:val="auto"/>
        </w:rPr>
        <w:t>If no instructions are given, the Exchange Notes (and any Notes not tendered or not accepted) will be issued in the name of and sent to the acting Holder of the Notes or deposited at such Holder's account at the Depository.</w:t>
      </w:r>
    </w:p>
    <w:p>
      <w:pPr>
        <w:spacing w:after="0" w:line="158" w:lineRule="exact"/>
        <w:rPr>
          <w:sz w:val="20"/>
          <w:szCs w:val="20"/>
          <w:color w:val="auto"/>
        </w:rPr>
      </w:pPr>
    </w:p>
    <w:p>
      <w:pPr>
        <w:ind w:right="3019" w:firstLine="443"/>
        <w:spacing w:after="0" w:line="244" w:lineRule="auto"/>
        <w:tabs>
          <w:tab w:leader="none" w:pos="721"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Taxes. The Company shall pay all transfer taxes, if any, applicable to the transfer and exchange of Notes to it or its order pursuant to the Exchange Offer. If a transfer tax is imposed for any other reason other than the transfer and exchange of Notes to the Company or its order pursuant to the Exchange Offer, the amount of any such transfer taxes (whether imposed on the registered Holder or any other person) will be payable by the tendering Holder. If satisfactory evidence of payment of such taxes or exception therefrom is not submitted herewith, the amount of such transfer taxes will be collected from the tendering Holder by the Exchange Agent.</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Except as provided in this Instruction 6, it will not be necessary for</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transfer stamps to be affixed to the Notes listed in this Letter of Transmittal.</w:t>
      </w:r>
    </w:p>
    <w:p>
      <w:pPr>
        <w:spacing w:after="0" w:line="188" w:lineRule="exact"/>
        <w:rPr>
          <w:sz w:val="20"/>
          <w:szCs w:val="20"/>
          <w:color w:val="auto"/>
        </w:rPr>
      </w:pPr>
    </w:p>
    <w:p>
      <w:pPr>
        <w:ind w:right="3099" w:firstLine="443"/>
        <w:spacing w:after="0" w:line="244" w:lineRule="auto"/>
        <w:tabs>
          <w:tab w:leader="none" w:pos="72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Conditions. The Company reserves the right, in its reasonable judgment, to waive, in whole or in part, any of the conditions to the Exchange Offer set forth in the Prospectus.</w:t>
      </w:r>
    </w:p>
    <w:p>
      <w:pPr>
        <w:spacing w:after="0" w:line="175" w:lineRule="exact"/>
        <w:rPr>
          <w:rFonts w:ascii="Courier New" w:cs="Courier New" w:eastAsia="Courier New" w:hAnsi="Courier New"/>
          <w:sz w:val="15"/>
          <w:szCs w:val="15"/>
          <w:color w:val="auto"/>
        </w:rPr>
      </w:pPr>
    </w:p>
    <w:p>
      <w:pPr>
        <w:ind w:right="3099" w:firstLine="443"/>
        <w:spacing w:after="0" w:line="244" w:lineRule="auto"/>
        <w:tabs>
          <w:tab w:leader="none" w:pos="72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Mutilated, Lost, Stolen or Destroyed Notes. Any Holder whose Notes have been mutilated, lost, stolen or destroyed should contact the Exchange Agent at the address indicated above for further instructions.</w:t>
      </w:r>
    </w:p>
    <w:p>
      <w:pPr>
        <w:spacing w:after="0" w:line="175" w:lineRule="exact"/>
        <w:rPr>
          <w:rFonts w:ascii="Courier New" w:cs="Courier New" w:eastAsia="Courier New" w:hAnsi="Courier New"/>
          <w:sz w:val="15"/>
          <w:szCs w:val="15"/>
          <w:color w:val="auto"/>
        </w:rPr>
      </w:pPr>
    </w:p>
    <w:p>
      <w:pPr>
        <w:ind w:right="3019" w:firstLine="443"/>
        <w:spacing w:after="0" w:line="244" w:lineRule="auto"/>
        <w:tabs>
          <w:tab w:leader="none" w:pos="72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Assistance or Additional Copies. Questions relating to the procedure for tendering as well as requests for additional copies of the Prospectus and this Letter of Transmittal, may be directed to the Exchange Agent at the address and telephone number set forth above. In addition, all questions relating to the Exchange Offer, as well as requests for assistance or additional copies of the Prospectus and this Letter of Transmittal, may be directed to Waste Management, Inc., 1001 Fannin Street, Suite 4000, Houston, Texas 77002, Attention: Secretary, telephone (713) 512-6200.</w:t>
      </w:r>
    </w:p>
    <w:p>
      <w:pPr>
        <w:spacing w:after="0" w:line="178" w:lineRule="exact"/>
        <w:rPr>
          <w:rFonts w:ascii="Courier New" w:cs="Courier New" w:eastAsia="Courier New" w:hAnsi="Courier New"/>
          <w:sz w:val="15"/>
          <w:szCs w:val="15"/>
          <w:color w:val="auto"/>
        </w:rPr>
      </w:pPr>
    </w:p>
    <w:p>
      <w:pPr>
        <w:ind w:right="3019" w:firstLine="443"/>
        <w:spacing w:after="0" w:line="244" w:lineRule="auto"/>
        <w:tabs>
          <w:tab w:leader="none" w:pos="811"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Validity and Form. All questions as to the validity, form, eligibility (including time of receipt), acceptance of tendered Notes and withdrawal of tendered Notes will be determined by the Company in its sole discretion, which determination will be final and binding. The Company reserves the absolute right to reject any and all Notes not properly tendered or any Notes the Company's acceptance of which would, in the opinion of counsel for the Company, be unlawful. The Company also reserves the right, in its reasonable judgment, to waive any defects, irregularities or conditions of tender as to particular Notes. The Company's interpretation of the terms and conditions of the Exchange Offer (including the instructions in this Letter of Transmittal) will be final and binding on all parties. Unless waived, any defects or irregularities in connection with tenders of Notes must be cured within such time as the Company shall determine. Although the Company intends to notify Holders of defects or irregularities with respect to tenders of Notes, neither the Company, the Exchange Agent nor any other person shall incur any liability for failure to give such notification. Tenders of Notes will not be deemed to have been made until such defects or irregularities have been cured or waived. Any Notes received by the Exchange Agent that are not properly tendered and as to which the defects or irregularities have not been cured or waived will be returned by the Exchange Agent to the tendering Holder as soon as practicable following the Expiration Date.</w:t>
      </w:r>
    </w:p>
    <w:p>
      <w:pPr>
        <w:sectPr>
          <w:pgSz w:w="11900" w:h="16838" w:orient="portrait"/>
          <w:cols w:equalWidth="0" w:num="1">
            <w:col w:w="10219"/>
          </w:cols>
          <w:pgMar w:left="240" w:top="291"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IMPORTANT TAX INFORMATION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Under federal income tax law, a Holder tendering Notes is required to provide the Exchange Agent with such Holder's correct TIN on Substitute Form W-9 above. If such Holder is an individual, the TIN is the Holder's social security number. The Certificate of Awaiting Taxpayer Identification Number should be completed if the tendering Holder has not been issued a TIN and has applied for a number or intends to apply for a number in the near future. If the Exchange Agent is not provided with the correct TIN, the Holder may be subject to a $50 penalty imposed by the Internal Revenue Service. In addition, payments that are made to such Holder with respect to tendered Notes may be subject to backup withholding of 31%.</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Certain Holders (including, among others, all domestic corporations and certain foreign individuals and foreign entities) are not subject to these backup withholding and reporting requirements. In order for a foreign individual to qualify as an exempt recipient, such individual must submit a statement, signed under penalties of perjury, attesting to such individual's exempt status. Forms of such statements can be obtained from the Depositary. See the enclosed Guidelines for Certification of Taxpayer Identification Number on Substitute Form W-9 for additional instructions.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backup withholding applies, the Exchange Agent is required to withhold 31% of any amounts otherwise payable to the Holder. Backup withholding is not an additional tax. Rather, the tax liability of persons subject to backup withholding will be reduced by the amount of tax withheld. If withholding results in an overpayment of taxes, a refund may be obtained from the Internal Revenue Service.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SUBSTITUTE FORM W-9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prevent backup withholding on payments that are made to a Holder with respect to Notes tendered for exchange, the Holder is required to notify the Exchange Agent of his or her correct TIN by completing the form herein certifying that the TIN provided on Substitute Form W-9 is correct (or that such Holder is awaiting a TIN) and that (i) each Holder is exempt, (ii) such Holder has not been notified by the Internal Revenue Service that he or she is subject to backup withholding as a result of failure to report all interest or dividends or (iii) the Internal Revenue Service has notified such Holder that he or she is no longer subject to backup withholding.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NUMBER TO GIVE THE EXCHANGE AGENT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Holder is required to give the Exchange Agent the social security number or employer identification number of the record Holder(s) of the Notes. If Notes are in more than one name or are not in the name of the actual Holder, consult the enclosed Guidelines for Certification of Taxpayer Identification Number on Substitute Form W-9 for additional guidance on which number to report. If the tendering Holder has not been issued a TIN and has applied for a number or intends to apply for a number in the near future, the stockholder should write "Applied For" in the space provided for in the TIN in Part I, and sign and date the Substitute Form W-9. If "Applied For" is written in Part I and the Depositary is not provided with a TIN within 60 days, the Depositary will withhold 31% of all payments of the purchase price to such stockholder until a TIN is provided to the Depositary.</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IMPORTANT: THIS LETTER OF TRANSMITTAL OR A FACSIMILE THEREOF (TOGETHER WITH NOTES OR CONFIRMATION OF BOOK-ENTRY TRANSFER AND ALL OTHER REQUIRED DOCUMENTS) OR A NOTICE OF GUARANTEED DELIVERY MUST BE RECEIVED BY THE EXCHANGE AGENT ON OR PRIOR TO THE EXPIRATION DATE.</w:t>
      </w:r>
    </w:p>
    <w:p>
      <w:pPr>
        <w:sectPr>
          <w:pgSz w:w="11900" w:h="16838" w:orient="portrait"/>
          <w:cols w:equalWidth="0" w:num="1">
            <w:col w:w="10219"/>
          </w:cols>
          <w:pgMar w:left="240" w:top="291"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99.2</w:t>
      </w:r>
    </w:p>
    <w:p>
      <w:pPr>
        <w:spacing w:after="0" w:line="177" w:lineRule="exact"/>
        <w:rPr>
          <w:sz w:val="20"/>
          <w:szCs w:val="20"/>
          <w:color w:val="auto"/>
        </w:rPr>
      </w:pPr>
    </w:p>
    <w:tbl>
      <w:tblPr>
        <w:tblLayout w:type="fixed"/>
        <w:tblInd w:w="2240" w:type="dxa"/>
        <w:tblCellMar>
          <w:top w:w="0" w:type="dxa"/>
          <w:left w:w="0" w:type="dxa"/>
          <w:bottom w:w="0" w:type="dxa"/>
          <w:right w:w="0" w:type="dxa"/>
        </w:tblCellMar>
      </w:tblPr>
      <w:tr>
        <w:trPr>
          <w:trHeight w:val="170"/>
        </w:trPr>
        <w:tc>
          <w:tcPr>
            <w:tcW w:w="1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NOTICE OF GUARANTEED</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DELIVERY</w:t>
            </w:r>
          </w:p>
        </w:tc>
      </w:tr>
      <w:tr>
        <w:trPr>
          <w:trHeight w:val="173"/>
        </w:trPr>
        <w:tc>
          <w:tcPr>
            <w:tcW w:w="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FOR TENDER OF</w:t>
            </w:r>
          </w:p>
        </w:tc>
        <w:tc>
          <w:tcPr>
            <w:tcW w:w="720" w:type="dxa"/>
            <w:vAlign w:val="bottom"/>
          </w:tcPr>
          <w:p>
            <w:pPr>
              <w:spacing w:after="0"/>
              <w:rPr>
                <w:sz w:val="15"/>
                <w:szCs w:val="15"/>
                <w:color w:val="auto"/>
              </w:rPr>
            </w:pPr>
          </w:p>
        </w:tc>
      </w:tr>
      <w:tr>
        <w:trPr>
          <w:trHeight w:val="173"/>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SENIOR NOTES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DUE 2001</w:t>
            </w:r>
          </w:p>
        </w:tc>
      </w:tr>
      <w:tr>
        <w:trPr>
          <w:trHeight w:val="173"/>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SENIOR NOTES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DUE 2004</w:t>
            </w:r>
          </w:p>
        </w:tc>
      </w:tr>
      <w:tr>
        <w:trPr>
          <w:trHeight w:val="173"/>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SENIOR NOTES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DUE 2009</w:t>
            </w:r>
          </w:p>
        </w:tc>
      </w:tr>
      <w:tr>
        <w:trPr>
          <w:trHeight w:val="173"/>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SENIOR NOTES</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DUE 2029</w:t>
            </w:r>
          </w:p>
        </w:tc>
      </w:tr>
    </w:tbl>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(INCLUDING THOSE IN BOOK-ENTRY FORM)</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WASTE MANAGEMENT, INC.</w:t>
      </w:r>
    </w:p>
    <w:p>
      <w:pPr>
        <w:spacing w:after="0" w:line="178"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This form or one substantially equivalent hereto must be used to accept the Exchange Offer of Waste Management, Inc. (the "Company") made pursuant to the</w:t>
      </w:r>
    </w:p>
    <w:p>
      <w:pPr>
        <w:ind w:right="3019"/>
        <w:spacing w:after="0" w:line="244" w:lineRule="auto"/>
        <w:rPr>
          <w:sz w:val="20"/>
          <w:szCs w:val="20"/>
          <w:color w:val="auto"/>
        </w:rPr>
      </w:pPr>
      <w:r>
        <w:rPr>
          <w:rFonts w:ascii="Courier New" w:cs="Courier New" w:eastAsia="Courier New" w:hAnsi="Courier New"/>
          <w:sz w:val="15"/>
          <w:szCs w:val="15"/>
          <w:color w:val="auto"/>
        </w:rPr>
        <w:t>Prospectus, dated , 1999 (the "Prospectus"), if certificates for the outstanding 6.000% Senior Notes due 2001; 6.500% Senior Notes due 2004; 6.875% Senior Notes due 2009; 7.375% Senior Notes due 2029 issued by Waste Management, Inc. (the "Notes") are not immediately available or if the procedure for book-entry transfer cannot be completed on a timely basis or time will not permit all required documents to reach the Exchange Agent prior to 5:00 p.m., New York time, on the Expiration Date of the Exchange Offer. Such form may be delivered or transmitted by telegram, telex, facsimile transmission, mail or hand delivery to Chase Bank of Texas, National Association (the "Exchange Agent") as set forth below. In addition, in order to utilize the guaranteed delivery procedure to tender Notes pursuant to the Exchange Offer, a completed, signed and dated Letter of Transmittal (or facsimile thereof) as well as all tendered Notes in proper form for transfer (or a confirmation of book-entry transfer of such Notes into the Exchange Agent's account at the Depository Trust Company) and all other documents required by the Letter of Transmittal must also be received by the Exchange Agent within three New York Stock Exchange trading days after the Expiration Date. Capitalized terms not defined herein are defined in the Prospectus.</w:t>
      </w:r>
    </w:p>
    <w:p>
      <w:pPr>
        <w:spacing w:after="0" w:line="18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CHASE BANK OF TEXAS, NATIONAL ASSOCIATION, EXCHANGE AGENT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 Mail, (Certified, Registered, Overnight or First Class) or Hand Delivery:</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600 TRAVIS STREET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TELEPHONE NUMBER</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(713) 216-7000</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DELIVERY OF THIS INSTRUMENT TO AN ADDRESS OTHER THAN AS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SET FORTH ABOVE WILL NOT CONSTITUTE A VALID DELIVERY.</w:t>
      </w:r>
    </w:p>
    <w:p>
      <w:pPr>
        <w:sectPr>
          <w:pgSz w:w="11900" w:h="16838" w:orient="portrait"/>
          <w:cols w:equalWidth="0" w:num="1">
            <w:col w:w="10219"/>
          </w:cols>
          <w:pgMar w:left="240" w:top="141" w:right="1440" w:bottom="1440" w:gutter="0" w:footer="0" w:header="0"/>
        </w:sectPr>
      </w:pPr>
    </w:p>
    <w:bookmarkStart w:id="109" w:name="page110"/>
    <w:bookmarkEnd w:id="109"/>
    <w:p>
      <w:pPr>
        <w:ind w:left="268"/>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left="8" w:right="3279" w:firstLine="451"/>
        <w:spacing w:after="0" w:line="244" w:lineRule="auto"/>
        <w:rPr>
          <w:sz w:val="20"/>
          <w:szCs w:val="20"/>
          <w:color w:val="auto"/>
        </w:rPr>
      </w:pPr>
      <w:r>
        <w:rPr>
          <w:rFonts w:ascii="Courier New" w:cs="Courier New" w:eastAsia="Courier New" w:hAnsi="Courier New"/>
          <w:sz w:val="15"/>
          <w:szCs w:val="15"/>
          <w:color w:val="auto"/>
        </w:rPr>
        <w:t>Upon the terms and conditions set forth in the Prospectus and the accompanying Letter of Transmittal, the undersigned hereby tenders to the Company the principal amount of Notes set forth below, pursuant to the guaranteed delivery procedure described in "The Exchange Offer -- Guaranteed Delivery Procedures" section of the Prospectus.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Amount of Notes Tendered: (1)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3459" w:hanging="8"/>
        <w:spacing w:after="0" w:line="243" w:lineRule="auto"/>
        <w:tabs>
          <w:tab w:leader="none" w:pos="36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in denominations of principal amount of $1,000 and any integral multiple thereof</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Certificate Nos. (if available):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 Principal Amount Represented by Certificate(s):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175"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PLEASE SIGN HERE</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x ----------------------------------------------</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Signature(s) of Owner(s) or 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2">
            <w:col w:w="4508" w:space="0"/>
            <w:col w:w="5719"/>
          </w:cols>
          <w:pgMar w:left="232" w:top="291" w:right="1440" w:bottom="1440" w:gutter="0" w:footer="0" w:header="0"/>
          <w:type w:val="continuous"/>
        </w:sectPr>
      </w:pPr>
    </w:p>
    <w:p>
      <w:pPr>
        <w:spacing w:after="0" w:line="1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Area Code and Telephone Number: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Must be signed by the holder(s) of Notes as their name(s) appear(s) on certificates for Notes or on a security position listing, or by person(s) authorized to become registered holder(s) by endorsement and documents transmitted with this Notice of Guaranteed Delivery. If signature is by a trustee, executor, administrator, guardian, attorney-in-fact, officer or other person acting in a fiduciary or representative capacity, such person must set forth his or her full title below. If Notes will be delivered by book-entry transfer to The Depository Trust Company, provide account number.</w:t>
      </w:r>
    </w:p>
    <w:p>
      <w:pPr>
        <w:spacing w:after="0" w:line="178"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Please print name(s) and address(es)</w:t>
      </w:r>
    </w:p>
    <w:p>
      <w:pPr>
        <w:spacing w:after="0" w:line="3" w:lineRule="exact"/>
        <w:rPr>
          <w:sz w:val="20"/>
          <w:szCs w:val="20"/>
          <w:color w:val="auto"/>
        </w:rPr>
      </w:pPr>
    </w:p>
    <w:p>
      <w:pPr>
        <w:ind w:left="8"/>
        <w:spacing w:after="0"/>
        <w:tabs>
          <w:tab w:leader="none" w:pos="1687" w:val="left"/>
        </w:tabs>
        <w:rPr>
          <w:sz w:val="20"/>
          <w:szCs w:val="20"/>
          <w:color w:val="auto"/>
        </w:rPr>
      </w:pPr>
      <w:r>
        <w:rPr>
          <w:rFonts w:ascii="Courier New" w:cs="Courier New" w:eastAsia="Courier New" w:hAnsi="Courier New"/>
          <w:sz w:val="15"/>
          <w:szCs w:val="15"/>
          <w:color w:val="auto"/>
        </w:rPr>
        <w:t>Name(s):</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1687" w:val="left"/>
        </w:tabs>
        <w:rPr>
          <w:sz w:val="20"/>
          <w:szCs w:val="20"/>
          <w:color w:val="auto"/>
        </w:rPr>
      </w:pPr>
      <w:r>
        <w:rPr>
          <w:rFonts w:ascii="Courier New" w:cs="Courier New" w:eastAsia="Courier New" w:hAnsi="Courier New"/>
          <w:sz w:val="15"/>
          <w:szCs w:val="15"/>
          <w:color w:val="auto"/>
        </w:rPr>
        <w:t>Capacity:</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1687" w:val="left"/>
        </w:tabs>
        <w:rPr>
          <w:sz w:val="20"/>
          <w:szCs w:val="20"/>
          <w:color w:val="auto"/>
        </w:rPr>
      </w:pPr>
      <w:r>
        <w:rPr>
          <w:rFonts w:ascii="Courier New" w:cs="Courier New" w:eastAsia="Courier New" w:hAnsi="Courier New"/>
          <w:sz w:val="15"/>
          <w:szCs w:val="15"/>
          <w:color w:val="auto"/>
        </w:rPr>
        <w:t>Address(es):</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8"/>
        <w:spacing w:after="0"/>
        <w:tabs>
          <w:tab w:leader="none" w:pos="1687" w:val="left"/>
        </w:tabs>
        <w:rPr>
          <w:sz w:val="20"/>
          <w:szCs w:val="20"/>
          <w:color w:val="auto"/>
        </w:rPr>
      </w:pPr>
      <w:r>
        <w:rPr>
          <w:rFonts w:ascii="Courier New" w:cs="Courier New" w:eastAsia="Courier New" w:hAnsi="Courier New"/>
          <w:sz w:val="15"/>
          <w:szCs w:val="15"/>
          <w:color w:val="auto"/>
        </w:rPr>
        <w:t>Account Number:</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91" w:right="1440" w:bottom="1440" w:gutter="0" w:footer="0" w:header="0"/>
          <w:type w:val="continuous"/>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GUARANTEE</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 TO BE USED FOR SIGNATURE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undersigned, a financial institution (including most banks, savings and loan associations and brokerage houses) that is a participant in the Securities Transfer Agents Medallion Program, the New York Stock Exchange Medallion Signature Program or the Stock Exchanges Medallion Program, hereby guarantees that the undersigned will deliver to the Exchange Agent the certificates representing the Notes being tendered hereby or confirmation of book-entry transfer of such Notes into the Exchange Agent's account at The Depository Trust Company, in proper form for transfer, together with any other documents required by the Letter of Transmittal within three New York Stock Exchange trading days after the Expiration Date.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of Firm -------------------------------------</w:t>
            </w: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w w:val="99"/>
              </w:rPr>
              <w:t>Authorized Signature ------------------------------</w:t>
            </w:r>
          </w:p>
        </w:tc>
      </w:tr>
      <w:tr>
        <w:trPr>
          <w:trHeight w:val="173"/>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Address ------------------------------------------</w:t>
            </w: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w w:val="99"/>
              </w:rPr>
              <w:t>Name ----------------------------------------------</w:t>
            </w:r>
          </w:p>
        </w:tc>
      </w:tr>
      <w:tr>
        <w:trPr>
          <w:trHeight w:val="173"/>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960" w:type="dxa"/>
            <w:vAlign w:val="bottom"/>
          </w:tcPr>
          <w:p>
            <w:pPr>
              <w:ind w:left="540"/>
              <w:spacing w:after="0"/>
              <w:rPr>
                <w:sz w:val="20"/>
                <w:szCs w:val="20"/>
                <w:color w:val="auto"/>
              </w:rPr>
            </w:pPr>
            <w:r>
              <w:rPr>
                <w:rFonts w:ascii="Courier New" w:cs="Courier New" w:eastAsia="Courier New" w:hAnsi="Courier New"/>
                <w:sz w:val="15"/>
                <w:szCs w:val="15"/>
                <w:color w:val="auto"/>
              </w:rPr>
              <w:t>(Please Type or Print)</w:t>
            </w:r>
          </w:p>
        </w:tc>
      </w:tr>
      <w:tr>
        <w:trPr>
          <w:trHeight w:val="173"/>
        </w:trPr>
        <w:tc>
          <w:tcPr>
            <w:tcW w:w="440" w:type="dxa"/>
            <w:vAlign w:val="bottom"/>
          </w:tcPr>
          <w:p>
            <w:pPr>
              <w:spacing w:after="0"/>
              <w:rPr>
                <w:sz w:val="20"/>
                <w:szCs w:val="20"/>
                <w:color w:val="auto"/>
              </w:rPr>
            </w:pPr>
            <w:r>
              <w:rPr>
                <w:rFonts w:ascii="Courier New" w:cs="Courier New" w:eastAsia="Courier New" w:hAnsi="Courier New"/>
                <w:sz w:val="15"/>
                <w:szCs w:val="15"/>
                <w:color w:val="auto"/>
              </w:rPr>
              <w:t>Area</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Code and</w:t>
            </w: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w w:val="99"/>
              </w:rPr>
              <w:t>Title ---------------------------------------------</w:t>
            </w:r>
          </w:p>
        </w:tc>
      </w:tr>
      <w:tr>
        <w:trPr>
          <w:trHeight w:val="173"/>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rPr>
              <w:t>Telephone No. ------------------------------------</w:t>
            </w:r>
          </w:p>
        </w:tc>
        <w:tc>
          <w:tcPr>
            <w:tcW w:w="4960" w:type="dxa"/>
            <w:vAlign w:val="bottom"/>
          </w:tcPr>
          <w:p>
            <w:pPr>
              <w:ind w:left="360"/>
              <w:spacing w:after="0"/>
              <w:rPr>
                <w:sz w:val="20"/>
                <w:szCs w:val="20"/>
                <w:color w:val="auto"/>
              </w:rPr>
            </w:pPr>
            <w:r>
              <w:rPr>
                <w:rFonts w:ascii="Courier New" w:cs="Courier New" w:eastAsia="Courier New" w:hAnsi="Courier New"/>
                <w:sz w:val="15"/>
                <w:szCs w:val="15"/>
                <w:color w:val="auto"/>
                <w:w w:val="99"/>
              </w:rPr>
              <w:t>Date ----------------------------------------------</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DO NOT SEND CERTIFICATES OF NOTES WITH THIS FORM. CERTIFICATES OF NOTES</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SHOULD BE SENT ONLY WITH A COPY OF THE PREVIOUSLY EXECUTED LETTER OF</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TRANSMITTAL.</w:t>
      </w: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1)"/>
      <w:numFmt w:val="decimal"/>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lvl w:ilvl="1">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lvl w:ilvl="1">
      <w:lvlJc w:val="left"/>
      <w:lvlText w:val="-"/>
      <w:numFmt w:val="bullet"/>
      <w:start w:val="1"/>
    </w:lvl>
  </w:abstractNum>
  <w:abstractNum w:abstractNumId="9">
    <w:nsid w:val="42C296BD"/>
    <w:multiLevelType w:val="hybridMultilevel"/>
    <w:lvl w:ilvl="0">
      <w:lvlJc w:val="left"/>
      <w:lvlText w:val="(%1)"/>
      <w:numFmt w:val="decimal"/>
      <w:start w:val="713"/>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lvl w:ilvl="1">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1)"/>
      <w:numFmt w:val="decimal"/>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1)"/>
      <w:numFmt w:val="decimal"/>
      <w:start w:val="1"/>
    </w:lvl>
  </w:abstractNum>
  <w:abstractNum w:abstractNumId="26">
    <w:nsid w:val="4962813B"/>
    <w:multiLevelType w:val="hybridMultilevel"/>
    <w:lvl w:ilvl="0">
      <w:lvlJc w:val="left"/>
      <w:lvlText w:val="(%1)"/>
      <w:numFmt w:val="decimal"/>
      <w:start w:val="1"/>
    </w:lvl>
  </w:abstractNum>
  <w:abstractNum w:abstractNumId="27">
    <w:nsid w:val="60B6DF70"/>
    <w:multiLevelType w:val="hybridMultilevel"/>
    <w:lvl w:ilvl="0">
      <w:lvlJc w:val="left"/>
      <w:lvlText w:val="(%1)"/>
      <w:numFmt w:val="lowerRoman"/>
      <w:start w:val="2"/>
    </w:lvl>
  </w:abstractNum>
  <w:abstractNum w:abstractNumId="28">
    <w:nsid w:val="6A5EE64"/>
    <w:multiLevelType w:val="hybridMultilevel"/>
    <w:lvl w:ilvl="0">
      <w:lvlJc w:val="left"/>
      <w:lvlText w:val="(%1)"/>
      <w:numFmt w:val="lowerLetter"/>
      <w:start w:val="1"/>
    </w:lvl>
    <w:lvl w:ilvl="1">
      <w:lvlJc w:val="left"/>
      <w:lvlText w:val="(%2)"/>
      <w:numFmt w:val="lowerRoman"/>
      <w:start w:val="1"/>
    </w:lvl>
  </w:abstractNum>
  <w:abstractNum w:abstractNumId="29">
    <w:nsid w:val="14330624"/>
    <w:multiLevelType w:val="hybridMultilevel"/>
    <w:lvl w:ilvl="0">
      <w:lvlJc w:val="left"/>
      <w:lvlText w:val="(%1)"/>
      <w:numFmt w:val="lowerLetter"/>
      <w:start w:val="1"/>
    </w:lvl>
  </w:abstractNum>
  <w:abstractNum w:abstractNumId="30">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1">
    <w:nsid w:val="1A27709E"/>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2">
    <w:nsid w:val="71EA1109"/>
    <w:multiLevelType w:val="hybridMultilevel"/>
    <w:lvl w:ilvl="0">
      <w:lvlJc w:val="left"/>
      <w:lvlText w:val="(%1)"/>
      <w:numFmt w:val="lowerLetter"/>
      <w:start w:val="2"/>
    </w:lvl>
  </w:abstractNum>
  <w:abstractNum w:abstractNumId="33">
    <w:nsid w:val="100F59DC"/>
    <w:multiLevelType w:val="hybridMultilevel"/>
    <w:lvl w:ilvl="0">
      <w:lvlJc w:val="left"/>
      <w:lvlText w:val="(%1)"/>
      <w:numFmt w:val="decimal"/>
      <w:start w:val="2"/>
    </w:lvl>
  </w:abstractNum>
  <w:abstractNum w:abstractNumId="34">
    <w:nsid w:val="7FB7E0AA"/>
    <w:multiLevelType w:val="hybridMultilevel"/>
    <w:lvl w:ilvl="0">
      <w:lvlJc w:val="left"/>
      <w:lvlText w:val="(%1)"/>
      <w:numFmt w:val="decimal"/>
      <w:start w:val="10"/>
    </w:lvl>
  </w:abstractNum>
  <w:abstractNum w:abstractNumId="35">
    <w:nsid w:val="6EB5BD4"/>
    <w:multiLevelType w:val="hybridMultilevel"/>
    <w:lvl w:ilvl="0">
      <w:lvlJc w:val="left"/>
      <w:lvlText w:val="(%1)"/>
      <w:numFmt w:val="lowerLetter"/>
      <w:start w:val="2"/>
    </w:lvl>
  </w:abstractNum>
  <w:abstractNum w:abstractNumId="36">
    <w:nsid w:val="6F6DD9AC"/>
    <w:multiLevelType w:val="hybridMultilevel"/>
    <w:lvl w:ilvl="0">
      <w:lvlJc w:val="left"/>
      <w:lvlText w:val="(%1)"/>
      <w:numFmt w:val="lowerLetter"/>
      <w:start w:val="1"/>
    </w:lvl>
  </w:abstractNum>
  <w:abstractNum w:abstractNumId="37">
    <w:nsid w:val="94211F2"/>
    <w:multiLevelType w:val="hybridMultilevel"/>
    <w:lvl w:ilvl="0">
      <w:lvlJc w:val="left"/>
      <w:lvlText w:val="(%1)"/>
      <w:numFmt w:val="decimal"/>
      <w:start w:val="12"/>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4"/>
    </w:lvl>
  </w:abstractNum>
  <w:abstractNum w:abstractNumId="40">
    <w:nsid w:val="4C04A8AF"/>
    <w:multiLevelType w:val="hybridMultilevel"/>
    <w:lvl w:ilvl="0">
      <w:lvlJc w:val="left"/>
      <w:lvlText w:val="%1"/>
      <w:numFmt w:val="decimal"/>
      <w:start w:val="1"/>
    </w:lvl>
    <w:lvl w:ilvl="1">
      <w:lvlJc w:val="left"/>
      <w:lvlText w:val="(%2)"/>
      <w:numFmt w:val="upperLetter"/>
      <w:start w:val="1"/>
    </w:lvl>
  </w:abstractNum>
  <w:abstractNum w:abstractNumId="41">
    <w:nsid w:val="1716703B"/>
    <w:multiLevelType w:val="hybridMultilevel"/>
    <w:lvl w:ilvl="0">
      <w:lvlJc w:val="left"/>
      <w:lvlText w:val="(%1)"/>
      <w:numFmt w:val="decimal"/>
      <w:start w:val="2"/>
    </w:lvl>
    <w:lvl w:ilvl="1">
      <w:lvlJc w:val="left"/>
      <w:lvlText w:val="%2"/>
      <w:numFmt w:val="upperLetter"/>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3"/>
    </w:lvl>
  </w:abstractNum>
  <w:abstractNum w:abstractNumId="44">
    <w:nsid w:val="74DE0EE3"/>
    <w:multiLevelType w:val="hybridMultilevel"/>
    <w:lvl w:ilvl="0">
      <w:lvlJc w:val="left"/>
      <w:lvlText w:val="(%1)"/>
      <w:numFmt w:val="lowerLetter"/>
      <w:start w:val="1"/>
    </w:lvl>
  </w:abstractNum>
  <w:abstractNum w:abstractNumId="45">
    <w:nsid w:val="68EBC550"/>
    <w:multiLevelType w:val="hybridMultilevel"/>
    <w:lvl w:ilvl="0">
      <w:lvlJc w:val="left"/>
      <w:lvlText w:val="(%1)"/>
      <w:numFmt w:val="lowerLetter"/>
      <w:start w:val="10"/>
    </w:lvl>
  </w:abstractNum>
  <w:abstractNum w:abstractNumId="46">
    <w:nsid w:val="2DF6D648"/>
    <w:multiLevelType w:val="hybridMultilevel"/>
    <w:lvl w:ilvl="0">
      <w:lvlJc w:val="left"/>
      <w:lvlText w:val="%1"/>
      <w:numFmt w:val="lowerLetter"/>
      <w:start w:val="1"/>
    </w:lvl>
    <w:lvl w:ilvl="1">
      <w:lvlJc w:val="left"/>
      <w:lvlText w:val="(%2)"/>
      <w:numFmt w:val="lowerLetter"/>
      <w:start w:val="1"/>
    </w:lvl>
  </w:abstractNum>
  <w:abstractNum w:abstractNumId="47">
    <w:nsid w:val="46B7D447"/>
    <w:multiLevelType w:val="hybridMultilevel"/>
    <w:lvl w:ilvl="0">
      <w:lvlJc w:val="left"/>
      <w:lvlText w:val="(%1)"/>
      <w:numFmt w:val="lowerLetter"/>
      <w:start w:val="35"/>
    </w:lvl>
    <w:lvl w:ilvl="1">
      <w:lvlJc w:val="left"/>
      <w:lvlText w:val="(%2)"/>
      <w:numFmt w:val="lowerLetter"/>
      <w:start w:val="6"/>
    </w:lvl>
  </w:abstractNum>
  <w:abstractNum w:abstractNumId="48">
    <w:nsid w:val="4A2AC315"/>
    <w:multiLevelType w:val="hybridMultilevel"/>
    <w:lvl w:ilvl="0">
      <w:lvlJc w:val="left"/>
      <w:lvlText w:val="(%1)"/>
      <w:numFmt w:val="decimal"/>
      <w:start w:val="1"/>
    </w:lvl>
    <w:lvl w:ilvl="1">
      <w:lvlJc w:val="left"/>
      <w:lvlText w:val="(%2)"/>
      <w:numFmt w:val="lowerLetter"/>
      <w:start w:val="1"/>
    </w:lvl>
  </w:abstractNum>
  <w:abstractNum w:abstractNumId="49">
    <w:nsid w:val="39EE015C"/>
    <w:multiLevelType w:val="hybridMultilevel"/>
    <w:lvl w:ilvl="0">
      <w:lvlJc w:val="left"/>
      <w:lvlText w:val="(%1)"/>
      <w:numFmt w:val="decimal"/>
      <w:start w:val="1"/>
    </w:lvl>
    <w:lvl w:ilvl="1">
      <w:lvlJc w:val="left"/>
      <w:lvlText w:val="(%2)"/>
      <w:numFmt w:val="lowerLetter"/>
      <w:start w:val="1"/>
    </w:lvl>
  </w:abstractNum>
  <w:abstractNum w:abstractNumId="50">
    <w:nsid w:val="57FC4FBB"/>
    <w:multiLevelType w:val="hybridMultilevel"/>
    <w:lvl w:ilvl="0">
      <w:lvlJc w:val="left"/>
      <w:lvlText w:val="(%1)"/>
      <w:numFmt w:val="decimal"/>
      <w:start w:val="1"/>
    </w:lvl>
    <w:lvl w:ilvl="1">
      <w:lvlJc w:val="left"/>
      <w:lvlText w:val="(%2)"/>
      <w:numFmt w:val="lowerLetter"/>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
      <w:numFmt w:val="bullet"/>
      <w:start w:val="1"/>
    </w:lvl>
  </w:abstractNum>
  <w:abstractNum w:abstractNumId="54">
    <w:nsid w:val="26F324BA"/>
    <w:multiLevelType w:val="hybridMultilevel"/>
    <w:lvl w:ilvl="0">
      <w:lvlJc w:val="left"/>
      <w:lvlText w:val="-"/>
      <w:numFmt w:val="bullet"/>
      <w:start w:val="1"/>
    </w:lvl>
    <w:lvl w:ilvl="1">
      <w:lvlJc w:val="left"/>
      <w:lvlText w:val="%2"/>
      <w:numFmt w:val="upperLetter"/>
      <w:start w:val="1"/>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decimal"/>
      <w:start w:val="1"/>
    </w:lvl>
  </w:abstractNum>
  <w:abstractNum w:abstractNumId="66">
    <w:nsid w:val="7D5E18F8"/>
    <w:multiLevelType w:val="hybridMultilevel"/>
    <w:lvl w:ilvl="0">
      <w:lvlJc w:val="left"/>
      <w:lvlText w:val="%1."/>
      <w:numFmt w:val="decimal"/>
      <w:start w:val="2"/>
    </w:lvl>
  </w:abstractNum>
  <w:abstractNum w:abstractNumId="67">
    <w:nsid w:val="5F3534A4"/>
    <w:multiLevelType w:val="hybridMultilevel"/>
    <w:lvl w:ilvl="0">
      <w:lvlJc w:val="left"/>
      <w:lvlText w:val="%1."/>
      <w:numFmt w:val="decimal"/>
      <w:start w:val="3"/>
    </w:lvl>
  </w:abstractNum>
  <w:abstractNum w:abstractNumId="68">
    <w:nsid w:val="73A1821B"/>
    <w:multiLevelType w:val="hybridMultilevel"/>
    <w:lvl w:ilvl="0">
      <w:lvlJc w:val="left"/>
      <w:lvlText w:val="%1."/>
      <w:numFmt w:val="decimal"/>
      <w:start w:val="4"/>
    </w:lvl>
  </w:abstractNum>
  <w:abstractNum w:abstractNumId="69">
    <w:nsid w:val="7DE67713"/>
    <w:multiLevelType w:val="hybridMultilevel"/>
    <w:lvl w:ilvl="0">
      <w:lvlJc w:val="left"/>
      <w:lvlText w:val="%1."/>
      <w:numFmt w:val="decimal"/>
      <w:start w:val="5"/>
    </w:lvl>
  </w:abstractNum>
  <w:abstractNum w:abstractNumId="70">
    <w:nsid w:val="555C55B5"/>
    <w:multiLevelType w:val="hybridMultilevel"/>
    <w:lvl w:ilvl="0">
      <w:lvlJc w:val="left"/>
      <w:lvlText w:val="%1."/>
      <w:numFmt w:val="decimal"/>
      <w:start w:val="6"/>
    </w:lvl>
  </w:abstractNum>
  <w:abstractNum w:abstractNumId="71">
    <w:nsid w:val="3FA62ACA"/>
    <w:multiLevelType w:val="hybridMultilevel"/>
    <w:lvl w:ilvl="0">
      <w:lvlJc w:val="left"/>
      <w:lvlText w:val="%1."/>
      <w:numFmt w:val="decimal"/>
      <w:start w:val="7"/>
    </w:lvl>
  </w:abstractNum>
  <w:abstractNum w:abstractNumId="72">
    <w:nsid w:val="14FCE74E"/>
    <w:multiLevelType w:val="hybridMultilevel"/>
    <w:lvl w:ilvl="0">
      <w:lvlJc w:val="left"/>
      <w:lvlText w:val="%1."/>
      <w:numFmt w:val="decimal"/>
      <w:start w:val="8"/>
    </w:lvl>
  </w:abstractNum>
  <w:abstractNum w:abstractNumId="73">
    <w:nsid w:val="6A3DD3E8"/>
    <w:multiLevelType w:val="hybridMultilevel"/>
    <w:lvl w:ilvl="0">
      <w:lvlJc w:val="left"/>
      <w:lvlText w:val="%1."/>
      <w:numFmt w:val="decimal"/>
      <w:start w:val="9"/>
    </w:lvl>
  </w:abstractNum>
  <w:abstractNum w:abstractNumId="74">
    <w:nsid w:val="71C91298"/>
    <w:multiLevelType w:val="hybridMultilevel"/>
    <w:lvl w:ilvl="0">
      <w:lvlJc w:val="left"/>
      <w:lvlText w:val="%1."/>
      <w:numFmt w:val="decimal"/>
      <w:start w:val="10"/>
    </w:lvl>
  </w:abstractNum>
  <w:abstractNum w:abstractNumId="75">
    <w:nsid w:val="9DAF632"/>
    <w:multiLevelType w:val="hybridMultilevel"/>
    <w:lvl w:ilvl="0">
      <w:lvlJc w:val="left"/>
      <w:lvlText w:val="%1."/>
      <w:numFmt w:val="decimal"/>
      <w:start w:val="11"/>
    </w:lvl>
  </w:abstractNum>
  <w:abstractNum w:abstractNumId="76">
    <w:nsid w:val="53299938"/>
    <w:multiLevelType w:val="hybridMultilevel"/>
    <w:lvl w:ilvl="0">
      <w:lvlJc w:val="left"/>
      <w:lvlText w:val="%1."/>
      <w:numFmt w:val="decimal"/>
      <w:start w:val="12"/>
    </w:lvl>
  </w:abstractNum>
  <w:abstractNum w:abstractNumId="77">
    <w:nsid w:val="1FBFE8E0"/>
    <w:multiLevelType w:val="hybridMultilevel"/>
    <w:lvl w:ilvl="0">
      <w:lvlJc w:val="left"/>
      <w:lvlText w:val="%1."/>
      <w:numFmt w:val="decimal"/>
      <w:start w:val="13"/>
    </w:lvl>
  </w:abstractNum>
  <w:abstractNum w:abstractNumId="78">
    <w:nsid w:val="5092CA79"/>
    <w:multiLevelType w:val="hybridMultilevel"/>
    <w:lvl w:ilvl="0">
      <w:lvlJc w:val="left"/>
      <w:lvlText w:val="%1."/>
      <w:numFmt w:val="decimal"/>
      <w:start w:val="14"/>
    </w:lvl>
  </w:abstractNum>
  <w:abstractNum w:abstractNumId="79">
    <w:nsid w:val="1D545C4D"/>
    <w:multiLevelType w:val="hybridMultilevel"/>
    <w:lvl w:ilvl="0">
      <w:lvlJc w:val="left"/>
      <w:lvlText w:val="%1."/>
      <w:numFmt w:val="decimal"/>
      <w:start w:val="15"/>
    </w:lvl>
  </w:abstractNum>
  <w:abstractNum w:abstractNumId="80">
    <w:nsid w:val="59ADEA3D"/>
    <w:multiLevelType w:val="hybridMultilevel"/>
    <w:lvl w:ilvl="0">
      <w:lvlJc w:val="left"/>
      <w:lvlText w:val="%1."/>
      <w:numFmt w:val="decimal"/>
      <w:start w:val="16"/>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1)"/>
      <w:numFmt w:val="lowerLetter"/>
      <w:start w:val="3"/>
    </w:lvl>
  </w:abstractNum>
  <w:abstractNum w:abstractNumId="85">
    <w:nsid w:val="51088277"/>
    <w:multiLevelType w:val="hybridMultilevel"/>
    <w:lvl w:ilvl="0">
      <w:lvlJc w:val="left"/>
      <w:lvlText w:val="%1"/>
      <w:numFmt w:val="lowerRoman"/>
      <w:start w:val="1"/>
    </w:lvl>
    <w:lvl w:ilvl="1">
      <w:lvlJc w:val="left"/>
      <w:lvlText w:val="(%2)"/>
      <w:numFmt w:val="lowerLetter"/>
      <w:start w:val="1"/>
    </w:lvl>
  </w:abstractNum>
  <w:abstractNum w:abstractNumId="86">
    <w:nsid w:val="1CA0C5FA"/>
    <w:multiLevelType w:val="hybridMultilevel"/>
    <w:lvl w:ilvl="0">
      <w:lvlJc w:val="left"/>
      <w:lvlText w:val="(%1)"/>
      <w:numFmt w:val="lowerRoman"/>
      <w:start w:val="4"/>
    </w:lvl>
    <w:lvl w:ilvl="1">
      <w:lvlJc w:val="left"/>
      <w:lvlText w:val="(%2)"/>
      <w:numFmt w:val="lowerLetter"/>
      <w:start w:val="2"/>
    </w:lvl>
  </w:abstractNum>
  <w:abstractNum w:abstractNumId="87">
    <w:nsid w:val="53584BCB"/>
    <w:multiLevelType w:val="hybridMultilevel"/>
    <w:lvl w:ilvl="0">
      <w:lvlJc w:val="left"/>
      <w:lvlText w:val="(%1)"/>
      <w:numFmt w:val="lowerLetter"/>
      <w:start w:val="3"/>
    </w:lvl>
  </w:abstractNum>
  <w:abstractNum w:abstractNumId="88">
    <w:nsid w:val="415E286C"/>
    <w:multiLevelType w:val="hybridMultilevel"/>
    <w:lvl w:ilvl="0">
      <w:lvlJc w:val="left"/>
      <w:lvlText w:val="(%1)"/>
      <w:numFmt w:val="lowerLetter"/>
      <w:start w:val="1"/>
    </w:lvl>
    <w:lvl w:ilvl="1">
      <w:lvlJc w:val="left"/>
      <w:lvlText w:val="(%2)"/>
      <w:numFmt w:val="lowerLetter"/>
      <w:start w:val="24"/>
    </w:lvl>
  </w:abstractNum>
  <w:abstractNum w:abstractNumId="89">
    <w:nsid w:val="7C58FD05"/>
    <w:multiLevelType w:val="hybridMultilevel"/>
    <w:lvl w:ilvl="0">
      <w:lvlJc w:val="left"/>
      <w:lvlText w:val="(%1)"/>
      <w:numFmt w:val="lowerLetter"/>
      <w:start w:val="25"/>
    </w:lvl>
  </w:abstractNum>
  <w:abstractNum w:abstractNumId="90">
    <w:nsid w:val="23D86AAC"/>
    <w:multiLevelType w:val="hybridMultilevel"/>
    <w:lvl w:ilvl="0">
      <w:lvlJc w:val="left"/>
      <w:lvlText w:val="(%1)"/>
      <w:numFmt w:val="lowerLetter"/>
      <w:start w:val="2"/>
    </w:lvl>
  </w:abstractNum>
  <w:abstractNum w:abstractNumId="91">
    <w:nsid w:val="45E6D486"/>
    <w:multiLevelType w:val="hybridMultilevel"/>
    <w:lvl w:ilvl="0">
      <w:lvlJc w:val="left"/>
      <w:lvlText w:val="(%1)"/>
      <w:numFmt w:val="lowerLetter"/>
      <w:start w:val="1"/>
    </w:lvl>
    <w:lvl w:ilvl="1">
      <w:lvlJc w:val="left"/>
      <w:lvlText w:val="(%2)"/>
      <w:numFmt w:val="lowerRoman"/>
      <w:start w:val="1"/>
    </w:lvl>
  </w:abstractNum>
  <w:abstractNum w:abstractNumId="92">
    <w:nsid w:val="5C10FE21"/>
    <w:multiLevelType w:val="hybridMultilevel"/>
    <w:lvl w:ilvl="0">
      <w:lvlJc w:val="left"/>
      <w:lvlText w:val="%1"/>
      <w:numFmt w:val="lowerLetter"/>
      <w:start w:val="1"/>
    </w:lvl>
    <w:lvl w:ilvl="1">
      <w:lvlJc w:val="left"/>
      <w:lvlText w:val="(%2)"/>
      <w:numFmt w:val="lowerLetter"/>
      <w:start w:val="61"/>
    </w:lvl>
  </w:abstractNum>
  <w:abstractNum w:abstractNumId="93">
    <w:nsid w:val="E7FFA2B"/>
    <w:multiLevelType w:val="hybridMultilevel"/>
    <w:lvl w:ilvl="0">
      <w:lvlJc w:val="left"/>
      <w:lvlText w:val="(%1)"/>
      <w:numFmt w:val="lowerLetter"/>
      <w:start w:val="2"/>
    </w:lvl>
    <w:lvl w:ilvl="1">
      <w:lvlJc w:val="left"/>
      <w:lvlText w:val="(%2)"/>
      <w:numFmt w:val="lowerLetter"/>
      <w:start w:val="9"/>
    </w:lvl>
  </w:abstractNum>
  <w:abstractNum w:abstractNumId="94">
    <w:nsid w:val="3C5991AA"/>
    <w:multiLevelType w:val="hybridMultilevel"/>
    <w:lvl w:ilvl="0">
      <w:lvlJc w:val="left"/>
      <w:lvlText w:val="(%1)"/>
      <w:numFmt w:val="lowerRoman"/>
      <w:start w:val="2"/>
    </w:lvl>
  </w:abstractNum>
  <w:abstractNum w:abstractNumId="95">
    <w:nsid w:val="4BD8591A"/>
    <w:multiLevelType w:val="hybridMultilevel"/>
    <w:lvl w:ilvl="0">
      <w:lvlJc w:val="left"/>
      <w:lvlText w:val="(%1)"/>
      <w:numFmt w:val="lowerLetter"/>
      <w:start w:val="3"/>
    </w:lvl>
    <w:lvl w:ilvl="1">
      <w:lvlJc w:val="left"/>
      <w:lvlText w:val="(%2)"/>
      <w:numFmt w:val="lowerRoman"/>
      <w:start w:val="1"/>
    </w:lvl>
  </w:abstractNum>
  <w:abstractNum w:abstractNumId="96">
    <w:nsid w:val="78DF6A55"/>
    <w:multiLevelType w:val="hybridMultilevel"/>
    <w:lvl w:ilvl="0">
      <w:lvlJc w:val="left"/>
      <w:lvlText w:val="(%1)"/>
      <w:numFmt w:val="lowerRoman"/>
      <w:start w:val="4"/>
    </w:lvl>
  </w:abstractNum>
  <w:abstractNum w:abstractNumId="97">
    <w:nsid w:val="39B7AAA2"/>
    <w:multiLevelType w:val="hybridMultilevel"/>
    <w:lvl w:ilvl="0">
      <w:lvlJc w:val="left"/>
      <w:lvlText w:val="(%1)"/>
      <w:numFmt w:val="lowerRoman"/>
      <w:start w:val="10"/>
    </w:lvl>
  </w:abstractNum>
  <w:abstractNum w:abstractNumId="98">
    <w:nsid w:val="2B0D8DBE"/>
    <w:multiLevelType w:val="hybridMultilevel"/>
    <w:lvl w:ilvl="0">
      <w:lvlJc w:val="left"/>
      <w:lvlText w:val="(%1)"/>
      <w:numFmt w:val="upperLetter"/>
      <w:start w:val="1"/>
    </w:lvl>
    <w:lvl w:ilvl="1">
      <w:lvlJc w:val="left"/>
      <w:lvlText w:val="(%2)"/>
      <w:numFmt w:val="decimal"/>
      <w:start w:val="1"/>
    </w:lvl>
  </w:abstractNum>
  <w:abstractNum w:abstractNumId="99">
    <w:nsid w:val="6C80EC70"/>
    <w:multiLevelType w:val="hybridMultilevel"/>
    <w:lvl w:ilvl="0">
      <w:lvlJc w:val="left"/>
      <w:lvlText w:val="%1"/>
      <w:numFmt w:val="upperLetter"/>
      <w:start w:val="1"/>
    </w:lvl>
    <w:lvl w:ilvl="1">
      <w:lvlJc w:val="left"/>
      <w:lvlText w:val="(%2)"/>
      <w:numFmt w:val="decimal"/>
      <w:start w:val="3"/>
    </w:lvl>
  </w:abstractNum>
  <w:abstractNum w:abstractNumId="100">
    <w:nsid w:val="379E21B5"/>
    <w:multiLevelType w:val="hybridMultilevel"/>
    <w:lvl w:ilvl="0">
      <w:lvlJc w:val="left"/>
      <w:lvlText w:val="(%1)"/>
      <w:numFmt w:val="upperLetter"/>
      <w:start w:val="2"/>
    </w:lvl>
    <w:lvl w:ilvl="1">
      <w:lvlJc w:val="left"/>
      <w:lvlText w:val="%2"/>
      <w:numFmt w:val="decimal"/>
      <w:start w:val="1"/>
    </w:lvl>
  </w:abstractNum>
  <w:abstractNum w:abstractNumId="101">
    <w:nsid w:val="69E373"/>
    <w:multiLevelType w:val="hybridMultilevel"/>
    <w:lvl w:ilvl="0">
      <w:lvlJc w:val="left"/>
      <w:lvlText w:val="(%1)"/>
      <w:numFmt w:val="lowerRoman"/>
      <w:start w:val="12"/>
    </w:lvl>
  </w:abstractNum>
  <w:abstractNum w:abstractNumId="102">
    <w:nsid w:val="2C27173B"/>
    <w:multiLevelType w:val="hybridMultilevel"/>
    <w:lvl w:ilvl="0">
      <w:lvlJc w:val="left"/>
      <w:lvlText w:val="%1"/>
      <w:numFmt w:val="lowerLetter"/>
      <w:start w:val="1"/>
    </w:lvl>
    <w:lvl w:ilvl="1">
      <w:lvlJc w:val="left"/>
      <w:lvlText w:val="(%2)"/>
      <w:numFmt w:val="lowerRoman"/>
      <w:start w:val="18"/>
    </w:lvl>
  </w:abstractNum>
  <w:abstractNum w:abstractNumId="103">
    <w:nsid w:val="4C9B0904"/>
    <w:multiLevelType w:val="hybridMultilevel"/>
    <w:lvl w:ilvl="0">
      <w:lvlJc w:val="left"/>
      <w:lvlText w:val="(%1)"/>
      <w:numFmt w:val="lowerLetter"/>
      <w:start w:val="4"/>
    </w:lvl>
    <w:lvl w:ilvl="1">
      <w:lvlJc w:val="left"/>
      <w:lvlText w:val="%2"/>
      <w:numFmt w:val="lowerRoman"/>
      <w:start w:val="1"/>
    </w:lvl>
  </w:abstractNum>
  <w:abstractNum w:abstractNumId="104">
    <w:nsid w:val="6AA7B75C"/>
    <w:multiLevelType w:val="hybridMultilevel"/>
    <w:lvl w:ilvl="0">
      <w:lvlJc w:val="left"/>
      <w:lvlText w:val="(%1)"/>
      <w:numFmt w:val="lowerLetter"/>
      <w:start w:val="1"/>
    </w:lvl>
  </w:abstractNum>
  <w:abstractNum w:abstractNumId="105">
    <w:nsid w:val="1DF029D3"/>
    <w:multiLevelType w:val="hybridMultilevel"/>
    <w:lvl w:ilvl="0">
      <w:lvlJc w:val="left"/>
      <w:lvlText w:val="(%1)"/>
      <w:numFmt w:val="lowerLetter"/>
      <w:start w:val="2"/>
    </w:lvl>
  </w:abstractNum>
  <w:abstractNum w:abstractNumId="106">
    <w:nsid w:val="5675FF36"/>
    <w:multiLevelType w:val="hybridMultilevel"/>
    <w:lvl w:ilvl="0">
      <w:lvlJc w:val="left"/>
      <w:lvlText w:val="(%1)"/>
      <w:numFmt w:val="lowerLetter"/>
      <w:start w:val="1"/>
    </w:lvl>
  </w:abstractNum>
  <w:abstractNum w:abstractNumId="107">
    <w:nsid w:val="3DD15094"/>
    <w:multiLevelType w:val="hybridMultilevel"/>
    <w:lvl w:ilvl="0">
      <w:lvlJc w:val="left"/>
      <w:lvlText w:val="(%1)"/>
      <w:numFmt w:val="lowerLetter"/>
      <w:start w:val="4"/>
    </w:lvl>
  </w:abstractNum>
  <w:abstractNum w:abstractNumId="108">
    <w:nsid w:val="3DB012B3"/>
    <w:multiLevelType w:val="hybridMultilevel"/>
    <w:lvl w:ilvl="0">
      <w:lvlJc w:val="left"/>
      <w:lvlText w:val="(%1)"/>
      <w:numFmt w:val="lowerLetter"/>
      <w:start w:val="1"/>
    </w:lvl>
  </w:abstractNum>
  <w:abstractNum w:abstractNumId="109">
    <w:nsid w:val="2708C9AF"/>
    <w:multiLevelType w:val="hybridMultilevel"/>
    <w:lvl w:ilvl="0">
      <w:lvlJc w:val="left"/>
      <w:lvlText w:val="(%1)"/>
      <w:numFmt w:val="lowerLetter"/>
      <w:start w:val="4"/>
    </w:lvl>
    <w:lvl w:ilvl="1">
      <w:lvlJc w:val="left"/>
      <w:lvlText w:val="(%2)"/>
      <w:numFmt w:val="lowerRoman"/>
      <w:start w:val="1"/>
    </w:lvl>
  </w:abstractNum>
  <w:abstractNum w:abstractNumId="110">
    <w:nsid w:val="5B25ACE2"/>
    <w:multiLevelType w:val="hybridMultilevel"/>
    <w:lvl w:ilvl="0">
      <w:lvlJc w:val="left"/>
      <w:lvlText w:val="(%1)"/>
      <w:numFmt w:val="lowerLetter"/>
      <w:start w:val="6"/>
    </w:lvl>
  </w:abstractNum>
  <w:abstractNum w:abstractNumId="111">
    <w:nsid w:val="175DFCF0"/>
    <w:multiLevelType w:val="hybridMultilevel"/>
    <w:lvl w:ilvl="0">
      <w:lvlJc w:val="left"/>
      <w:lvlText w:val="(%1)"/>
      <w:numFmt w:val="lowerLetter"/>
      <w:start w:val="7"/>
    </w:lvl>
  </w:abstractNum>
  <w:abstractNum w:abstractNumId="112">
    <w:nsid w:val="4F97E3E4"/>
    <w:multiLevelType w:val="hybridMultilevel"/>
    <w:lvl w:ilvl="0">
      <w:lvlJc w:val="left"/>
      <w:lvlText w:val="%1"/>
      <w:numFmt w:val="lowerLetter"/>
      <w:start w:val="1"/>
    </w:lvl>
    <w:lvl w:ilvl="1">
      <w:lvlJc w:val="left"/>
      <w:lvlText w:val="(%2)"/>
      <w:numFmt w:val="decimal"/>
      <w:start w:val="1"/>
    </w:lvl>
  </w:abstractNum>
  <w:abstractNum w:abstractNumId="113">
    <w:nsid w:val="53B0A9E"/>
    <w:multiLevelType w:val="hybridMultilevel"/>
    <w:lvl w:ilvl="0">
      <w:lvlJc w:val="left"/>
      <w:lvlText w:val="(%1)"/>
      <w:numFmt w:val="lowerLetter"/>
      <w:start w:val="1"/>
    </w:lvl>
    <w:lvl w:ilvl="1">
      <w:lvlJc w:val="left"/>
      <w:lvlText w:val="(%2)"/>
      <w:numFmt w:val="decimal"/>
      <w:start w:val="5"/>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lvl w:ilvl="1">
      <w:lvlJc w:val="left"/>
      <w:lvlText w:val="*"/>
      <w:numFmt w:val="bullet"/>
      <w:start w:val="1"/>
    </w:lvl>
  </w:abstractNum>
  <w:abstractNum w:abstractNumId="117">
    <w:nsid w:val="519E3149"/>
    <w:multiLevelType w:val="hybridMultilevel"/>
    <w:lvl w:ilvl="0">
      <w:lvlJc w:val="left"/>
      <w:lvlText w:val="-"/>
      <w:numFmt w:val="bullet"/>
      <w:start w:val="1"/>
    </w:lvl>
    <w:lvl w:ilvl="1">
      <w:lvlJc w:val="left"/>
      <w:lvlText w:val="**"/>
      <w:numFmt w:val="bullet"/>
      <w:start w:val="1"/>
    </w:lvl>
  </w:abstractNum>
  <w:abstractNum w:abstractNumId="118">
    <w:nsid w:val="2C6E4AFD"/>
    <w:multiLevelType w:val="hybridMultilevel"/>
    <w:lvl w:ilvl="0">
      <w:lvlJc w:val="left"/>
      <w:lvlText w:val="["/>
      <w:numFmt w:val="bullet"/>
      <w:start w:val="1"/>
    </w:lvl>
  </w:abstractNum>
  <w:abstractNum w:abstractNumId="119">
    <w:nsid w:val="17A1B582"/>
    <w:multiLevelType w:val="hybridMultilevel"/>
    <w:lvl w:ilvl="0">
      <w:lvlJc w:val="left"/>
      <w:lvlText w:val="["/>
      <w:numFmt w:val="bullet"/>
      <w:start w:val="1"/>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1."/>
      <w:numFmt w:val="decimal"/>
      <w:start w:val="1"/>
    </w:lvl>
  </w:abstractNum>
  <w:abstractNum w:abstractNumId="127">
    <w:nsid w:val="57A61A29"/>
    <w:multiLevelType w:val="hybridMultilevel"/>
    <w:lvl w:ilvl="0">
      <w:lvlJc w:val="left"/>
      <w:lvlText w:val="%1."/>
      <w:numFmt w:val="decimal"/>
      <w:start w:val="2"/>
    </w:lvl>
    <w:lvl w:ilvl="1">
      <w:lvlJc w:val="left"/>
      <w:lvlText w:val="(%2)"/>
      <w:numFmt w:val="lowerLetter"/>
      <w:start w:val="1"/>
    </w:lvl>
  </w:abstractNum>
  <w:abstractNum w:abstractNumId="128">
    <w:nsid w:val="5399C654"/>
    <w:multiLevelType w:val="hybridMultilevel"/>
    <w:lvl w:ilvl="0">
      <w:lvlJc w:val="left"/>
      <w:lvlText w:val="%1."/>
      <w:numFmt w:val="decimal"/>
      <w:start w:val="3"/>
    </w:lvl>
  </w:abstractNum>
  <w:abstractNum w:abstractNumId="129">
    <w:nsid w:val="20EE1348"/>
    <w:multiLevelType w:val="hybridMultilevel"/>
    <w:lvl w:ilvl="0">
      <w:lvlJc w:val="left"/>
      <w:lvlText w:val="%1."/>
      <w:numFmt w:val="decimal"/>
      <w:start w:val="4"/>
    </w:lvl>
  </w:abstractNum>
  <w:abstractNum w:abstractNumId="130">
    <w:nsid w:val="4427069A"/>
    <w:multiLevelType w:val="hybridMultilevel"/>
    <w:lvl w:ilvl="0">
      <w:lvlJc w:val="left"/>
      <w:lvlText w:val="%1."/>
      <w:numFmt w:val="decimal"/>
      <w:start w:val="5"/>
    </w:lvl>
  </w:abstractNum>
  <w:abstractNum w:abstractNumId="131">
    <w:nsid w:val="B37E80A"/>
    <w:multiLevelType w:val="hybridMultilevel"/>
    <w:lvl w:ilvl="0">
      <w:lvlJc w:val="left"/>
      <w:lvlText w:val="%1."/>
      <w:numFmt w:val="decimal"/>
      <w:start w:val="6"/>
    </w:lvl>
  </w:abstractNum>
  <w:abstractNum w:abstractNumId="132">
    <w:nsid w:val="2157F6BC"/>
    <w:multiLevelType w:val="hybridMultilevel"/>
    <w:lvl w:ilvl="0">
      <w:lvlJc w:val="left"/>
      <w:lvlText w:val="%1."/>
      <w:numFmt w:val="decimal"/>
      <w:start w:val="7"/>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2020-02-22T02:33:41Z</dcterms:created>
  <dcterms:modified xsi:type="dcterms:W3CDTF">2020-02-22T02:33:41Z</dcterms:modified>
</cp:coreProperties>
</file>