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first quarter of 2025, a copy of which is furnished as Exhibit 99.1 to this Form 8-K. The Company is conducting an audio webcast to discuss these results beginning at 9:00 a.m. Central Time on April 29, 2025. </w:t>
      </w:r>
      <w:r>
        <w:rPr>
          <w:rFonts w:ascii="Times New Roman" w:cs="Times New Roman" w:eastAsia="Times New Roman" w:hAnsi="Times New Roman"/>
          <w:sz w:val="18"/>
          <w:szCs w:val="18"/>
          <w:color w:val="0A0A0A"/>
        </w:rPr>
        <w:t>Listeners can access the live audio webcast by visiting investors.wm.com and selecting “Events &amp; Presentations” from the website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28, 2025</w:t>
      </w:r>
    </w:p>
    <w:p>
      <w:pPr>
        <w:spacing w:after="0" w:line="225" w:lineRule="exact"/>
        <w:rPr>
          <w:sz w:val="20"/>
          <w:szCs w:val="20"/>
          <w:color w:val="auto"/>
        </w:rPr>
      </w:pPr>
    </w:p>
    <w:p>
      <w:pPr>
        <w:ind w:left="5580" w:right="3700" w:hanging="5572"/>
        <w:spacing w:after="0" w:line="783" w:lineRule="auto"/>
        <w:tabs>
          <w:tab w:leader="none" w:pos="102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2025</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432"/>
        </w:trPr>
        <w:tc>
          <w:tcPr>
            <w:tcW w:w="35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color w:val="7AB800"/>
        </w:rPr>
        <w:t>WM Announces First Quarter 2025 Earnings</w:t>
      </w:r>
    </w:p>
    <w:p>
      <w:pPr>
        <w:spacing w:after="0" w:line="220" w:lineRule="exact"/>
        <w:rPr>
          <w:sz w:val="20"/>
          <w:szCs w:val="20"/>
          <w:color w:val="auto"/>
        </w:rPr>
      </w:pPr>
    </w:p>
    <w:p>
      <w:pPr>
        <w:jc w:val="center"/>
        <w:spacing w:after="0" w:line="437" w:lineRule="auto"/>
        <w:rPr>
          <w:sz w:val="20"/>
          <w:szCs w:val="20"/>
          <w:color w:val="auto"/>
        </w:rPr>
      </w:pPr>
      <w:r>
        <w:rPr>
          <w:rFonts w:ascii="Times New Roman" w:cs="Times New Roman" w:eastAsia="Times New Roman" w:hAnsi="Times New Roman"/>
          <w:sz w:val="22"/>
          <w:szCs w:val="22"/>
          <w:color w:val="auto"/>
        </w:rPr>
        <w:t>Strong Operational Performance Combined with WM Healthcare Solutions Results Deliver Outsized Growth WM Adds Two Recycling Automation Projects in Key Markets During the Quarter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HOUSTON — April 28, 2025 </w:t>
      </w:r>
      <w:r>
        <w:rPr>
          <w:rFonts w:ascii="Times New Roman" w:cs="Times New Roman" w:eastAsia="Times New Roman" w:hAnsi="Times New Roman"/>
          <w:sz w:val="18"/>
          <w:szCs w:val="18"/>
          <w:color w:val="auto"/>
        </w:rPr>
        <w:t>— WM (NYSE: WM) today announced financial results for the quarter ended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38"/>
        </w:trPr>
        <w:tc>
          <w:tcPr>
            <w:tcW w:w="4780" w:type="dxa"/>
            <w:vAlign w:val="bottom"/>
          </w:tcPr>
          <w:p>
            <w:pPr>
              <w:spacing w:after="0"/>
              <w:rPr>
                <w:sz w:val="20"/>
                <w:szCs w:val="20"/>
                <w:color w:val="auto"/>
              </w:rPr>
            </w:pPr>
          </w:p>
        </w:tc>
        <w:tc>
          <w:tcPr>
            <w:tcW w:w="32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60" w:type="dxa"/>
            <w:vAlign w:val="bottom"/>
          </w:tcPr>
          <w:p>
            <w:pPr>
              <w:spacing w:after="0"/>
              <w:rPr>
                <w:sz w:val="20"/>
                <w:szCs w:val="20"/>
                <w:color w:val="auto"/>
              </w:rPr>
            </w:pPr>
          </w:p>
        </w:tc>
        <w:tc>
          <w:tcPr>
            <w:tcW w:w="31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r>
      <w:tr>
        <w:trPr>
          <w:trHeight w:val="250"/>
        </w:trPr>
        <w:tc>
          <w:tcPr>
            <w:tcW w:w="47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70"/>
              <w:spacing w:after="0" w:line="250" w:lineRule="exact"/>
              <w:rPr>
                <w:sz w:val="20"/>
                <w:szCs w:val="20"/>
                <w:color w:val="auto"/>
              </w:rPr>
            </w:pPr>
            <w:r>
              <w:rPr>
                <w:rFonts w:ascii="Times New Roman" w:cs="Times New Roman" w:eastAsia="Times New Roman" w:hAnsi="Times New Roman"/>
                <w:sz w:val="17"/>
                <w:szCs w:val="17"/>
                <w:color w:val="auto"/>
              </w:rPr>
              <w:t>As Adjusted</w:t>
            </w:r>
            <w:r>
              <w:rPr>
                <w:rFonts w:ascii="Times New Roman" w:cs="Times New Roman" w:eastAsia="Times New Roman" w:hAnsi="Times New Roman"/>
                <w:sz w:val="28"/>
                <w:szCs w:val="28"/>
                <w:color w:val="auto"/>
                <w:vertAlign w:val="superscript"/>
              </w:rPr>
              <w:t>(a)</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As Reported</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70"/>
              <w:spacing w:after="0" w:line="250" w:lineRule="exact"/>
              <w:rPr>
                <w:sz w:val="20"/>
                <w:szCs w:val="20"/>
                <w:color w:val="auto"/>
              </w:rPr>
            </w:pPr>
            <w:r>
              <w:rPr>
                <w:rFonts w:ascii="Times New Roman" w:cs="Times New Roman" w:eastAsia="Times New Roman" w:hAnsi="Times New Roman"/>
                <w:sz w:val="17"/>
                <w:szCs w:val="17"/>
                <w:color w:val="auto"/>
              </w:rPr>
              <w:t>As Adjusted</w:t>
            </w:r>
            <w:r>
              <w:rPr>
                <w:rFonts w:ascii="Times New Roman" w:cs="Times New Roman" w:eastAsia="Times New Roman" w:hAnsi="Times New Roman"/>
                <w:sz w:val="28"/>
                <w:szCs w:val="28"/>
                <w:color w:val="auto"/>
                <w:vertAlign w:val="superscript"/>
              </w:rPr>
              <w:t>(a)</w:t>
            </w:r>
          </w:p>
        </w:tc>
        <w:tc>
          <w:tcPr>
            <w:tcW w:w="160" w:type="dxa"/>
            <w:vAlign w:val="bottom"/>
          </w:tcPr>
          <w:p>
            <w:pPr>
              <w:spacing w:after="0"/>
              <w:rPr>
                <w:sz w:val="21"/>
                <w:szCs w:val="2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r>
      <w:tr>
        <w:trPr>
          <w:trHeight w:val="257"/>
        </w:trPr>
        <w:tc>
          <w:tcPr>
            <w:tcW w:w="4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Operating EBITDA</w:t>
            </w:r>
            <w:r>
              <w:rPr>
                <w:rFonts w:ascii="Times New Roman" w:cs="Times New Roman" w:eastAsia="Times New Roman" w:hAnsi="Times New Roman"/>
                <w:sz w:val="29"/>
                <w:szCs w:val="29"/>
                <w:color w:val="auto"/>
                <w:vertAlign w:val="superscript"/>
              </w:rPr>
              <w:t>(b)</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EBITDA Margin</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r>
      <w:tr>
        <w:trPr>
          <w:trHeight w:val="257"/>
        </w:trPr>
        <w:tc>
          <w:tcPr>
            <w:tcW w:w="47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9"/>
                <w:szCs w:val="29"/>
                <w:color w:val="auto"/>
                <w:vertAlign w:val="superscript"/>
              </w:rPr>
              <w:t>(c)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w:t>
            </w: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r>
    </w:tbl>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first quarter results reflect the strong track record of the WM team as we started the year delivering on each of our strategic priorities,” said Jim Fish, WM’s President and CEO. “We continue to deliver disciplined revenue growth and cost optimization in our core business, while advancing our sustainability growth investments and driving value from the Stericycle acquisition. This led to first quarter revenue growth of 16.7% and adjusted</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operating EBITDA growth of 12.2% compared to the prior year period.</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These solid first quarter results, as well as the strength and resiliency of our business model, give us confidence we are on pace to achieve our 2025 outlook.”</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Fish continued, “Our new medical waste and secure information destruction businesses, together referred to as WM Healthcare Solutions, performed well in the first full quarter as part of WM. Integration efforts are advancing and keeping us on track to achieve our full year synergy targets.”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 FOR THE FIRST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EBITDA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First Quarter 2025</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First Quarter 2024</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 in millions)</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Total Company</w:t>
            </w:r>
          </w:p>
        </w:tc>
        <w:tc>
          <w:tcPr>
            <w:tcW w:w="160" w:type="dxa"/>
            <w:vAlign w:val="bottom"/>
          </w:tcPr>
          <w:p>
            <w:pPr>
              <w:spacing w:after="0"/>
              <w:rPr>
                <w:sz w:val="16"/>
                <w:szCs w:val="16"/>
                <w:color w:val="auto"/>
              </w:rPr>
            </w:pPr>
          </w:p>
        </w:tc>
        <w:tc>
          <w:tcPr>
            <w:tcW w:w="212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16"/>
                <w:szCs w:val="16"/>
                <w:color w:val="auto"/>
              </w:rPr>
            </w:pPr>
          </w:p>
        </w:tc>
        <w:tc>
          <w:tcPr>
            <w:tcW w:w="2120" w:type="dxa"/>
            <w:vAlign w:val="bottom"/>
            <w:gridSpan w:val="4"/>
          </w:tcPr>
          <w:p>
            <w:pPr>
              <w:jc w:val="right"/>
              <w:ind w:right="74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Pr>
          <w:p>
            <w:pPr>
              <w:spacing w:after="0"/>
              <w:rPr>
                <w:sz w:val="16"/>
                <w:szCs w:val="16"/>
                <w:color w:val="auto"/>
              </w:rPr>
            </w:pPr>
          </w:p>
        </w:tc>
        <w:tc>
          <w:tcPr>
            <w:tcW w:w="202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Breakout</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Breakout</w:t>
            </w:r>
          </w:p>
        </w:tc>
        <w:tc>
          <w:tcPr>
            <w:tcW w:w="140" w:type="dxa"/>
            <w:vAlign w:val="bottom"/>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668"/>
        </w:trPr>
        <w:tc>
          <w:tcPr>
            <w:tcW w:w="2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4" w:name="page5"/>
    <w:bookmarkEnd w:id="4"/>
    <w:p>
      <w:pPr>
        <w:jc w:val="both"/>
        <w:ind w:left="660" w:hanging="328"/>
        <w:spacing w:after="0" w:line="213"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operating EBITDA for the WM Legacy Business grew 6.0% and margin achieved 30% for the fourth consecutive quarter.</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 Company’s Collection and Disposal business led the way, driven by organic revenue growth from price, disciplined cost initiatives, and a continued focus on optimizing business mix. The Company’s Recycling Processing and Sales and WM Renewable Energy businesses together contributed $18 million to operating EBITDA growth, primarily due to sustainability growth projects.</w:t>
      </w:r>
    </w:p>
    <w:p>
      <w:pPr>
        <w:spacing w:after="0" w:line="202" w:lineRule="exact"/>
        <w:rPr>
          <w:rFonts w:ascii="Times New Roman" w:cs="Times New Roman" w:eastAsia="Times New Roman" w:hAnsi="Times New Roman"/>
          <w:sz w:val="36"/>
          <w:szCs w:val="36"/>
          <w:color w:val="auto"/>
          <w:vertAlign w:val="superscript"/>
        </w:rPr>
      </w:pPr>
    </w:p>
    <w:p>
      <w:pPr>
        <w:ind w:left="660" w:hanging="328"/>
        <w:spacing w:after="0" w:line="188"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WM Healthcare Solutions contributed $95 million of adjusted operating EBITDA, in line with expectations.</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 Company is on track to achieve its targeted synergies of $80 to $100 million in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color w:val="auto"/>
              </w:rPr>
              <w:t>First Quarter 2025</w:t>
            </w:r>
          </w:p>
        </w:tc>
        <w:tc>
          <w:tcPr>
            <w:tcW w:w="21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First Quarter 2024</w:t>
            </w:r>
          </w:p>
        </w:tc>
        <w:tc>
          <w:tcPr>
            <w:tcW w:w="0" w:type="dxa"/>
            <w:vAlign w:val="bottom"/>
          </w:tcPr>
          <w:p>
            <w:pPr>
              <w:spacing w:after="0"/>
              <w:rPr>
                <w:sz w:val="1"/>
                <w:szCs w:val="1"/>
                <w:color w:val="auto"/>
              </w:rPr>
            </w:pPr>
          </w:p>
        </w:tc>
      </w:tr>
      <w:tr>
        <w:trPr>
          <w:trHeight w:val="234"/>
        </w:trPr>
        <w:tc>
          <w:tcPr>
            <w:tcW w:w="312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color w:val="auto"/>
              </w:rPr>
              <w:t>($ in millions)</w:t>
            </w:r>
          </w:p>
        </w:tc>
        <w:tc>
          <w:tcPr>
            <w:tcW w:w="21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 in millions)</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Growth</w:t>
            </w:r>
          </w:p>
        </w:tc>
        <w:tc>
          <w:tcPr>
            <w:tcW w:w="2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top w:val="single" w:sz="8" w:color="auto"/>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Growth</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5,399</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5,159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619</w:t>
            </w:r>
          </w:p>
        </w:tc>
        <w:tc>
          <w:tcPr>
            <w:tcW w:w="13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Company</w:t>
            </w:r>
          </w:p>
        </w:tc>
        <w:tc>
          <w:tcPr>
            <w:tcW w:w="1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20" w:hanging="328"/>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4.7% in the WM Legacy Business was driven by core price of 6.5% and Collection and Disposal yield of 4.0% as the Company continues its focus on maximizing customer lifetime value.</w:t>
      </w:r>
      <w:r>
        <w:rPr>
          <w:rFonts w:ascii="Times New Roman" w:cs="Times New Roman" w:eastAsia="Times New Roman" w:hAnsi="Times New Roman"/>
          <w:sz w:val="29"/>
          <w:szCs w:val="29"/>
          <w:color w:val="auto"/>
          <w:vertAlign w:val="superscript"/>
        </w:rPr>
        <w:t>(e)</w:t>
      </w:r>
    </w:p>
    <w:p>
      <w:pPr>
        <w:spacing w:after="0" w:line="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volumes in the Collection and Disposal business were flat in the quarter with growth in landfill volumes offset by the Company’s strategic exit from low-margin residential collection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was negatively impacted by 30 basis points from winter weather events in the Company's Eastern Tier.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First Quarter 2025</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First Quarter 2024</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 in millions)</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jc w:val="center"/>
              <w:ind w:right="420"/>
              <w:spacing w:after="0" w:line="191" w:lineRule="exact"/>
              <w:rPr>
                <w:sz w:val="20"/>
                <w:szCs w:val="20"/>
                <w:color w:val="auto"/>
              </w:rPr>
            </w:pPr>
            <w:r>
              <w:rPr>
                <w:rFonts w:ascii="Times New Roman" w:cs="Times New Roman" w:eastAsia="Times New Roman" w:hAnsi="Times New Roman"/>
                <w:sz w:val="18"/>
                <w:szCs w:val="18"/>
                <w:color w:val="auto"/>
                <w:w w:val="99"/>
              </w:rPr>
              <w:t>Total Company</w:t>
            </w:r>
          </w:p>
        </w:tc>
        <w:tc>
          <w:tcPr>
            <w:tcW w:w="160" w:type="dxa"/>
            <w:vAlign w:val="bottom"/>
          </w:tcPr>
          <w:p>
            <w:pPr>
              <w:spacing w:after="0"/>
              <w:rPr>
                <w:sz w:val="16"/>
                <w:szCs w:val="16"/>
                <w:color w:val="auto"/>
              </w:rPr>
            </w:pPr>
          </w:p>
        </w:tc>
        <w:tc>
          <w:tcPr>
            <w:tcW w:w="212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16"/>
                <w:szCs w:val="16"/>
                <w:color w:val="auto"/>
              </w:rPr>
            </w:pPr>
          </w:p>
        </w:tc>
        <w:tc>
          <w:tcPr>
            <w:tcW w:w="2120" w:type="dxa"/>
            <w:vAlign w:val="bottom"/>
            <w:gridSpan w:val="4"/>
          </w:tcPr>
          <w:p>
            <w:pPr>
              <w:jc w:val="right"/>
              <w:ind w:right="7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Pr>
          <w:p>
            <w:pPr>
              <w:spacing w:after="0"/>
              <w:rPr>
                <w:sz w:val="16"/>
                <w:szCs w:val="16"/>
                <w:color w:val="auto"/>
              </w:rPr>
            </w:pPr>
          </w:p>
        </w:tc>
        <w:tc>
          <w:tcPr>
            <w:tcW w:w="2020" w:type="dxa"/>
            <w:vAlign w:val="bottom"/>
            <w:gridSpan w:val="4"/>
            <w:vMerge w:val="restart"/>
          </w:tcPr>
          <w:p>
            <w:pPr>
              <w:jc w:val="right"/>
              <w:ind w:right="64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9"/>
              </w:rPr>
              <w:t>Breakout</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color w:val="auto"/>
              </w:rPr>
              <w:t>Breakout</w:t>
            </w:r>
          </w:p>
        </w:tc>
        <w:tc>
          <w:tcPr>
            <w:tcW w:w="140" w:type="dxa"/>
            <w:vAlign w:val="bottom"/>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3,262</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3,140</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Company</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9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expenses as a percentage of revenue for the WM Legacy Business improved 50 basis points, reflecting the Company’s disciplined cost focus driven by a people-first culture, technology adoption, and strategic exit from low-margin residential business.</w:t>
      </w:r>
      <w:r>
        <w:rPr>
          <w:rFonts w:ascii="Times New Roman" w:cs="Times New Roman" w:eastAsia="Times New Roman" w:hAnsi="Times New Roman"/>
          <w:sz w:val="29"/>
          <w:szCs w:val="29"/>
          <w:color w:val="auto"/>
          <w:vertAlign w:val="superscript"/>
        </w:rPr>
        <w: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First Quarter 2025</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First Quarter 2024</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2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8"/>
                <w:szCs w:val="18"/>
                <w:color w:val="auto"/>
              </w:rPr>
              <w:t>($ in millions)</w:t>
            </w:r>
          </w:p>
        </w:tc>
        <w:tc>
          <w:tcPr>
            <w:tcW w:w="8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5"/>
          </w:tcPr>
          <w:p>
            <w:pPr>
              <w:ind w:left="3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Pr>
          <w:p>
            <w:pPr>
              <w:spacing w:after="0"/>
              <w:rPr>
                <w:sz w:val="16"/>
                <w:szCs w:val="16"/>
                <w:color w:val="auto"/>
              </w:rPr>
            </w:pPr>
          </w:p>
        </w:tc>
        <w:tc>
          <w:tcPr>
            <w:tcW w:w="210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8"/>
                <w:szCs w:val="18"/>
                <w:color w:val="auto"/>
              </w:rPr>
              <w:t>  As Adjusted</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16"/>
                <w:szCs w:val="16"/>
                <w:color w:val="auto"/>
              </w:rPr>
            </w:pPr>
          </w:p>
        </w:tc>
        <w:tc>
          <w:tcPr>
            <w:tcW w:w="2120" w:type="dxa"/>
            <w:vAlign w:val="bottom"/>
            <w:gridSpan w:val="4"/>
          </w:tcPr>
          <w:p>
            <w:pPr>
              <w:jc w:val="right"/>
              <w:ind w:right="68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40" w:type="dxa"/>
            <w:vAlign w:val="bottom"/>
          </w:tcPr>
          <w:p>
            <w:pPr>
              <w:spacing w:after="0"/>
              <w:rPr>
                <w:sz w:val="16"/>
                <w:szCs w:val="16"/>
                <w:color w:val="auto"/>
              </w:rPr>
            </w:pPr>
          </w:p>
        </w:tc>
        <w:tc>
          <w:tcPr>
            <w:tcW w:w="202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  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Breakout</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color w:val="auto"/>
              </w:rPr>
              <w:t>Breakout</w:t>
            </w:r>
          </w:p>
        </w:tc>
        <w:tc>
          <w:tcPr>
            <w:tcW w:w="140" w:type="dxa"/>
            <w:vAlign w:val="bottom"/>
          </w:tcPr>
          <w:p>
            <w:pPr>
              <w:spacing w:after="0"/>
              <w:rPr>
                <w:sz w:val="20"/>
                <w:szCs w:val="20"/>
                <w:color w:val="auto"/>
              </w:rPr>
            </w:pPr>
          </w:p>
        </w:tc>
        <w:tc>
          <w:tcPr>
            <w:tcW w:w="20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top w:val="single" w:sz="8" w:color="auto"/>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531</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60" w:type="dxa"/>
            <w:vAlign w:val="bottom"/>
          </w:tcPr>
          <w:p>
            <w:pPr>
              <w:spacing w:after="0"/>
              <w:rPr>
                <w:sz w:val="19"/>
                <w:szCs w:val="19"/>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Company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6"/>
              </w:rPr>
              <w:t>687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results in the WM Legacy Business demonstrate the Company’s continued focus on cost discipline and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660" w:hanging="328"/>
        <w:spacing w:after="0" w:line="29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 as a percentage of revenue for WM Healthcare Solutions improved 70 basis points sequentially, reflecting the contribution of synergies from the Company’s efforts to integrate and streamline its sales and back-office processes.</w:t>
      </w:r>
      <w:r>
        <w:rPr>
          <w:rFonts w:ascii="Times New Roman" w:cs="Times New Roman" w:eastAsia="Times New Roman" w:hAnsi="Times New Roman"/>
          <w:sz w:val="29"/>
          <w:szCs w:val="29"/>
          <w:color w:val="auto"/>
          <w:vertAlign w:val="superscript"/>
        </w:rPr>
        <w: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Investments</w:t>
      </w:r>
    </w:p>
    <w:p>
      <w:pPr>
        <w:spacing w:after="0" w:line="229" w:lineRule="exact"/>
        <w:rPr>
          <w:sz w:val="20"/>
          <w:szCs w:val="20"/>
          <w:color w:val="auto"/>
        </w:rPr>
      </w:pPr>
    </w:p>
    <w:p>
      <w:pPr>
        <w:jc w:val="both"/>
        <w:ind w:left="660" w:hanging="328"/>
        <w:spacing w:after="0" w:line="27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generated $1.21 billion of net cash provided by operating activities, with strong operating EBITDA growth more than offset by working capital timing differences and higher cash interest related primarily to the funding of the Stericycle acquisition. Free cash flow was $475 million, which was in line with the Company’s expectations.</w:t>
      </w:r>
      <w:r>
        <w:rPr>
          <w:rFonts w:ascii="Times New Roman" w:cs="Times New Roman" w:eastAsia="Times New Roman" w:hAnsi="Times New Roman"/>
          <w:sz w:val="29"/>
          <w:szCs w:val="29"/>
          <w:color w:val="auto"/>
          <w:vertAlign w:val="superscript"/>
        </w:rPr>
        <w:t>(a)</w:t>
      </w:r>
    </w:p>
    <w:p>
      <w:pPr>
        <w:spacing w:after="0" w:line="44"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continued to progress its investments in sustainability growth projects, investing $128 million in these growth platforms and completing two recycling automation projects in key markets.</w:t>
      </w:r>
      <w:r>
        <w:rPr>
          <w:rFonts w:ascii="Times New Roman" w:cs="Times New Roman" w:eastAsia="Times New Roman" w:hAnsi="Times New Roman"/>
          <w:sz w:val="29"/>
          <w:szCs w:val="29"/>
          <w:color w:val="auto"/>
          <w:vertAlign w:val="superscript"/>
        </w:rPr>
        <w:t>(f)</w:t>
      </w:r>
    </w:p>
    <w:p>
      <w:pPr>
        <w:spacing w:after="0" w:line="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Fish concluded, “2025 is off to a strong start, and our team remains focused on driving further improvements in operational efficiency and maximizing growth opportunities from acquisitions and sustainability investments. Our first quarter performance sets us up for another year of robust financial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9"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operating EBITDA as GAAP income from operations before depreciation, depletion and amortization; this measure may not be comparable to similarly titled measures reported by other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WM Legacy Business as total Company GAAP results excluding the WM Healthcare Solutions segment and net of intercompany eliminations.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blended average price received for single stream recycled commodities sold during the quarter was about $88 per ton compared to about $84 per ton in the prior year period. The average price received for Renewable Fuel Standard credits was $2.59 during the quarter compared to $3.01 in the prior year period. The average price received for natural gas was $3.93 per MMBtu during the quarter compared to $2.27 per MMBtu in the prior year period. The average price received for renewable electricity was about $73 per megawatt hour in the quarter compared to about $62 per megawatt hour in the prior year period.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at 10 a.m. ET on April 29, 2025, to discuss the first quarter 2025 results. Information contained within this press release will be referenced and should be considered in conjunction with the call.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Conference call participants should register to obtain their dial in and passcode details. This streamlined process improves security and eliminates wait times when joining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WM (WM.com)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WM has the largest disposal network and collection fleet in North America, is the largest recycler of post-consumer materials and is a leader in beneficial use of landfill gas, with a growing network of renewable natural gas plants and the most landfill gas-to-electricity plants in North America. WM also has the largest heavy-duty natural gas truck fleet in the industry in North America. WM Healthcare Solutions provides collection and disposal services of regulated medical waste, as well as secure information destruction services, in the U.S., Canada and Western Europe. To learn more about WM and the company's sustainability progress and solutions, visit Sustainability.WM.com.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regarding future performance and results of our business; achievement of targets, financial guidance or outlook; growth and optimization of our business; integration of the Stericycle business and related contributions, results and benefits, including amount and timing of synergies; amount and timing of sustainability investments, upgrades and project completions and related returns, contributions, and benefits; future capital allocation and acquisition spending; drivers of performance, including pricing programs and volume; and assumptions regarding commodity prices, natural gas production, tax credits and renewable fuel programs.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and tariffs; competitive disposal alternatives, diversion of waste from landfills and declining waste volumes; changing conditions in the healthcare industry;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quantitative reconciliations of non-GAAP measures to the most comparable GAAP measures are included in the accompanying schedules. Non-GAAP measures should not be considered a substitute for financial measures presented in accordance with GAAP.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www.wm.com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eegl@wm.com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7584F"/>
        </w:rPr>
        <w:t>media@wm.com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from divestitures, asset impairments and unusual items, net</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68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5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6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402.3</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403.9</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7" w:lineRule="exact"/>
        <w:rPr>
          <w:sz w:val="20"/>
          <w:szCs w:val="20"/>
          <w:color w:val="auto"/>
        </w:rPr>
      </w:pPr>
    </w:p>
    <w:p>
      <w:pPr>
        <w:ind w:left="180" w:right="240"/>
        <w:spacing w:after="0" w:line="253" w:lineRule="auto"/>
        <w:rPr>
          <w:sz w:val="20"/>
          <w:szCs w:val="20"/>
          <w:color w:val="auto"/>
        </w:rPr>
      </w:pPr>
      <w:r>
        <w:rPr>
          <w:rFonts w:ascii="Times New Roman" w:cs="Times New Roman" w:eastAsia="Times New Roman" w:hAnsi="Times New Roman"/>
          <w:sz w:val="18"/>
          <w:szCs w:val="18"/>
          <w:color w:val="auto"/>
        </w:rPr>
        <w:t>Cash and cash equivalents Receivables, net Other</w:t>
      </w:r>
    </w:p>
    <w:p>
      <w:pPr>
        <w:spacing w:after="0" w:line="2" w:lineRule="exact"/>
        <w:rPr>
          <w:sz w:val="20"/>
          <w:szCs w:val="20"/>
          <w:color w:val="auto"/>
        </w:rPr>
      </w:pPr>
    </w:p>
    <w:p>
      <w:pPr>
        <w:ind w:right="260" w:firstLine="324"/>
        <w:spacing w:after="0" w:line="257" w:lineRule="auto"/>
        <w:rPr>
          <w:sz w:val="20"/>
          <w:szCs w:val="20"/>
          <w:color w:val="auto"/>
        </w:rPr>
      </w:pPr>
      <w:r>
        <w:rPr>
          <w:rFonts w:ascii="Times New Roman" w:cs="Times New Roman" w:eastAsia="Times New Roman" w:hAnsi="Times New Roman"/>
          <w:sz w:val="18"/>
          <w:szCs w:val="18"/>
          <w:color w:val="auto"/>
        </w:rPr>
        <w:t>Total current assets Property and equipment, net Goodwill</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Other intangible assets, net Other</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460" w:type="dxa"/>
        <w:tblCellMar>
          <w:top w:w="0" w:type="dxa"/>
          <w:left w:w="0" w:type="dxa"/>
          <w:bottom w:w="0" w:type="dxa"/>
          <w:right w:w="0" w:type="dxa"/>
        </w:tblCellMar>
      </w:tblPr>
      <w:tr>
        <w:trPr>
          <w:trHeight w:val="238"/>
        </w:trPr>
        <w:tc>
          <w:tcPr>
            <w:tcW w:w="51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1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4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191"/>
        </w:trPr>
        <w:tc>
          <w:tcPr>
            <w:tcW w:w="49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4,455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19,340</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13,438</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-1585595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-1302385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-1028065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-736600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-462280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-179705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-116840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2300" w:space="720"/>
            <w:col w:w="8220"/>
          </w:cols>
          <w:pgMar w:left="320" w:top="900"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2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4,393</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4,899</w:t>
            </w:r>
          </w:p>
        </w:tc>
      </w:tr>
      <w:tr>
        <w:trPr>
          <w:trHeight w:val="229"/>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r>
      <w:tr>
        <w:trPr>
          <w:trHeight w:val="209"/>
        </w:trPr>
        <w:tc>
          <w:tcPr>
            <w:tcW w:w="64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22,541</w:t>
            </w:r>
          </w:p>
        </w:tc>
      </w:tr>
      <w:tr>
        <w:trPr>
          <w:trHeight w:val="23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7,514</w:t>
            </w:r>
          </w:p>
        </w:tc>
      </w:tr>
      <w:tr>
        <w:trPr>
          <w:trHeight w:val="210"/>
        </w:trPr>
        <w:tc>
          <w:tcPr>
            <w:tcW w:w="64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0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100" w:type="dxa"/>
            <w:vAlign w:val="bottom"/>
            <w:tcBorders>
              <w:bottom w:val="single" w:sz="8" w:color="CCEEFF"/>
            </w:tcBorders>
          </w:tcPr>
          <w:p>
            <w:pPr>
              <w:spacing w:after="0"/>
              <w:rPr>
                <w:sz w:val="18"/>
                <w:szCs w:val="18"/>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8,252</w:t>
            </w:r>
          </w:p>
        </w:tc>
      </w:tr>
      <w:tr>
        <w:trPr>
          <w:trHeight w:val="230"/>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tcBorders>
              <w:bottom w:val="single" w:sz="8" w:color="CCEEFF"/>
            </w:tcBorders>
          </w:tcPr>
          <w:p>
            <w:pPr>
              <w:spacing w:after="0"/>
              <w:rPr>
                <w:sz w:val="18"/>
                <w:szCs w:val="18"/>
                <w:color w:val="auto"/>
              </w:rPr>
            </w:pPr>
          </w:p>
        </w:tc>
      </w:tr>
      <w:tr>
        <w:trPr>
          <w:trHeight w:val="223"/>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6"/>
        </w:trPr>
        <w:tc>
          <w:tcPr>
            <w:tcW w:w="6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637</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CEEFF"/>
          </w:tcPr>
          <w:p>
            <w:pPr>
              <w:spacing w:after="0"/>
              <w:rPr>
                <w:sz w:val="18"/>
                <w:szCs w:val="18"/>
                <w:color w:val="auto"/>
              </w:rPr>
            </w:pP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(5,163)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(4,570)</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gridSpan w:val="2"/>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gridSpan w:val="9"/>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7"/>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360" w:type="dxa"/>
            <w:vAlign w:val="bottom"/>
            <w:gridSpan w:val="3"/>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4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75"/>
        </w:trPr>
        <w:tc>
          <w:tcPr>
            <w:tcW w:w="3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40" w:type="dxa"/>
            <w:vAlign w:val="bottom"/>
          </w:tcPr>
          <w:p>
            <w:pPr>
              <w:spacing w:after="0"/>
              <w:rPr>
                <w:sz w:val="23"/>
                <w:szCs w:val="2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00" w:type="dxa"/>
            <w:vAlign w:val="bottom"/>
          </w:tcPr>
          <w:p>
            <w:pPr>
              <w:spacing w:after="0"/>
              <w:rPr>
                <w:sz w:val="23"/>
                <w:szCs w:val="23"/>
                <w:color w:val="auto"/>
              </w:rPr>
            </w:pPr>
          </w:p>
        </w:tc>
        <w:tc>
          <w:tcPr>
            <w:tcW w:w="1220" w:type="dxa"/>
            <w:vAlign w:val="bottom"/>
            <w:gridSpan w:val="2"/>
          </w:tcPr>
          <w:p>
            <w:pPr>
              <w:jc w:val="center"/>
              <w:ind w:right="32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00" w:type="dxa"/>
            <w:vAlign w:val="bottom"/>
          </w:tcPr>
          <w:p>
            <w:pPr>
              <w:spacing w:after="0"/>
              <w:rPr>
                <w:sz w:val="23"/>
                <w:szCs w:val="23"/>
                <w:color w:val="auto"/>
              </w:rPr>
            </w:pPr>
          </w:p>
        </w:tc>
        <w:tc>
          <w:tcPr>
            <w:tcW w:w="1220" w:type="dxa"/>
            <w:vAlign w:val="bottom"/>
            <w:gridSpan w:val="2"/>
          </w:tcPr>
          <w:p>
            <w:pPr>
              <w:jc w:val="center"/>
              <w:ind w:right="32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Landfill</w:t>
            </w:r>
            <w:r>
              <w:rPr>
                <w:rFonts w:ascii="Times New Roman" w:cs="Times New Roman" w:eastAsia="Times New Roman" w:hAnsi="Times New Roman"/>
                <w:sz w:val="29"/>
                <w:szCs w:val="29"/>
                <w:color w:val="auto"/>
                <w:vertAlign w:val="superscript"/>
              </w:rPr>
              <w:t>(a)</w:t>
            </w: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180"/>
              <w:spacing w:after="0" w:line="256" w:lineRule="exact"/>
              <w:rPr>
                <w:sz w:val="20"/>
                <w:szCs w:val="20"/>
                <w:color w:val="auto"/>
              </w:rPr>
            </w:pPr>
            <w:r>
              <w:rPr>
                <w:rFonts w:ascii="Times New Roman" w:cs="Times New Roman" w:eastAsia="Times New Roman" w:hAnsi="Times New Roman"/>
                <w:sz w:val="18"/>
                <w:szCs w:val="18"/>
                <w:color w:val="auto"/>
              </w:rPr>
              <w:t>Total Collection and Disposal</w:t>
            </w:r>
            <w:r>
              <w:rPr>
                <w:rFonts w:ascii="Times New Roman" w:cs="Times New Roman" w:eastAsia="Times New Roman" w:hAnsi="Times New Roman"/>
                <w:sz w:val="29"/>
                <w:szCs w:val="29"/>
                <w:color w:val="auto"/>
                <w:vertAlign w:val="superscript"/>
              </w:rPr>
              <w:t>(a)</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2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9"/>
                <w:szCs w:val="29"/>
                <w:color w:val="auto"/>
                <w:vertAlign w:val="superscript"/>
              </w:rPr>
              <w:t>(a)</w:t>
            </w:r>
          </w:p>
        </w:tc>
        <w:tc>
          <w:tcPr>
            <w:tcW w:w="120" w:type="dxa"/>
            <w:vAlign w:val="bottom"/>
          </w:tcPr>
          <w:p>
            <w:pPr>
              <w:spacing w:after="0"/>
              <w:rPr>
                <w:sz w:val="23"/>
                <w:szCs w:val="23"/>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ind w:left="180"/>
              <w:spacing w:after="0" w:line="284"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(a)</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8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7,232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2024, the Company adjusted gross and intercompany operating revenues to reflect the 15% royalty paid by WM Renewable Energy to Collection and Disposal and Corporate and Other businesses for the purchase of landfill gas. There was no change to net operating revenues. Prior periods were recast to conform to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7020" w:type="dxa"/>
            <w:vAlign w:val="bottom"/>
            <w:gridSpan w:val="5"/>
          </w:tcPr>
          <w:p>
            <w:pPr>
              <w:jc w:val="center"/>
              <w:ind w:left="413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560" w:type="dxa"/>
            <w:vAlign w:val="bottom"/>
          </w:tcPr>
          <w:p>
            <w:pPr>
              <w:spacing w:after="0"/>
              <w:rPr>
                <w:sz w:val="24"/>
                <w:szCs w:val="24"/>
                <w:color w:val="auto"/>
              </w:rPr>
            </w:pPr>
          </w:p>
        </w:tc>
        <w:tc>
          <w:tcPr>
            <w:tcW w:w="24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9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9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4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March 31, 2025 vs. 2024</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4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4"/>
          </w:tcPr>
          <w:p>
            <w:pPr>
              <w:jc w:val="center"/>
              <w:ind w:right="354"/>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60" w:type="dxa"/>
            <w:vAlign w:val="bottom"/>
          </w:tcPr>
          <w:p>
            <w:pPr>
              <w:spacing w:after="0"/>
              <w:rPr>
                <w:sz w:val="16"/>
                <w:szCs w:val="16"/>
                <w:color w:val="auto"/>
              </w:rPr>
            </w:pPr>
          </w:p>
        </w:tc>
      </w:tr>
      <w:tr>
        <w:trPr>
          <w:trHeight w:val="220"/>
        </w:trPr>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4"/>
          </w:tcPr>
          <w:p>
            <w:pPr>
              <w:jc w:val="center"/>
              <w:ind w:right="354"/>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5"/>
        </w:trPr>
        <w:tc>
          <w:tcPr>
            <w:tcW w:w="456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Business</w:t>
            </w:r>
            <w:r>
              <w:rPr>
                <w:rFonts w:ascii="Times New Roman" w:cs="Times New Roman" w:eastAsia="Times New Roman" w:hAnsi="Times New Roman"/>
                <w:sz w:val="29"/>
                <w:szCs w:val="29"/>
                <w:b w:val="1"/>
                <w:bCs w:val="1"/>
                <w:color w:val="auto"/>
                <w:w w:val="92"/>
                <w:vertAlign w:val="superscript"/>
              </w:rPr>
              <w:t>(a)</w:t>
            </w:r>
          </w:p>
        </w:tc>
        <w:tc>
          <w:tcPr>
            <w:tcW w:w="280" w:type="dxa"/>
            <w:vAlign w:val="bottom"/>
            <w:tcBorders>
              <w:bottom w:val="single" w:sz="8" w:color="CCEEFF"/>
            </w:tcBorders>
            <w:gridSpan w:val="2"/>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gridSpan w:val="2"/>
          </w:tcPr>
          <w:p>
            <w:pPr>
              <w:spacing w:after="0"/>
              <w:rPr>
                <w:sz w:val="23"/>
                <w:szCs w:val="23"/>
                <w:color w:val="auto"/>
              </w:rPr>
            </w:pPr>
          </w:p>
        </w:tc>
        <w:tc>
          <w:tcPr>
            <w:tcW w:w="112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3"/>
              </w:rPr>
              <w:t>Company</w:t>
            </w:r>
            <w:r>
              <w:rPr>
                <w:rFonts w:ascii="Times New Roman" w:cs="Times New Roman" w:eastAsia="Times New Roman" w:hAnsi="Times New Roman"/>
                <w:sz w:val="29"/>
                <w:szCs w:val="29"/>
                <w:b w:val="1"/>
                <w:bCs w:val="1"/>
                <w:color w:val="auto"/>
                <w:w w:val="93"/>
                <w:vertAlign w:val="superscript"/>
              </w:rPr>
              <w:t>(b)</w:t>
            </w:r>
          </w:p>
        </w:tc>
        <w:tc>
          <w:tcPr>
            <w:tcW w:w="160" w:type="dxa"/>
            <w:vAlign w:val="bottom"/>
            <w:tcBorders>
              <w:bottom w:val="single" w:sz="8" w:color="CCEEFF"/>
            </w:tcBorders>
          </w:tcPr>
          <w:p>
            <w:pPr>
              <w:spacing w:after="0"/>
              <w:rPr>
                <w:sz w:val="23"/>
                <w:szCs w:val="23"/>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w:t>
            </w:r>
          </w:p>
        </w:tc>
        <w:tc>
          <w:tcPr>
            <w:tcW w:w="2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6"/>
        </w:trPr>
        <w:tc>
          <w:tcPr>
            <w:tcW w:w="45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w w:val="98"/>
              </w:rPr>
              <w:t>Recycling Processing and Sales and WM Renewable Energy</w:t>
            </w:r>
            <w:r>
              <w:rPr>
                <w:rFonts w:ascii="Times New Roman" w:cs="Times New Roman" w:eastAsia="Times New Roman" w:hAnsi="Times New Roman"/>
                <w:sz w:val="29"/>
                <w:szCs w:val="29"/>
                <w:color w:val="auto"/>
                <w:w w:val="98"/>
                <w:vertAlign w:val="superscript"/>
              </w:rPr>
              <w:t>(c)</w:t>
            </w:r>
          </w:p>
        </w:tc>
        <w:tc>
          <w:tcPr>
            <w:tcW w:w="1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surcharges and mandated fees</w:t>
            </w: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7"/>
        </w:trPr>
        <w:tc>
          <w:tcPr>
            <w:tcW w:w="4560" w:type="dxa"/>
            <w:vAlign w:val="bottom"/>
          </w:tcPr>
          <w:p>
            <w:pPr>
              <w:ind w:left="180"/>
              <w:spacing w:after="0" w:line="236" w:lineRule="exact"/>
              <w:rPr>
                <w:sz w:val="20"/>
                <w:szCs w:val="20"/>
                <w:color w:val="auto"/>
              </w:rPr>
            </w:pPr>
            <w:r>
              <w:rPr>
                <w:rFonts w:ascii="Times New Roman" w:cs="Times New Roman" w:eastAsia="Times New Roman" w:hAnsi="Times New Roman"/>
                <w:sz w:val="17"/>
                <w:szCs w:val="17"/>
                <w:color w:val="auto"/>
              </w:rPr>
              <w:t>Total average yield</w:t>
            </w:r>
            <w:r>
              <w:rPr>
                <w:rFonts w:ascii="Times New Roman" w:cs="Times New Roman" w:eastAsia="Times New Roman" w:hAnsi="Times New Roman"/>
                <w:sz w:val="27"/>
                <w:szCs w:val="27"/>
                <w:color w:val="auto"/>
                <w:vertAlign w:val="superscript"/>
              </w:rPr>
              <w:t>(d)</w:t>
            </w:r>
          </w:p>
        </w:tc>
        <w:tc>
          <w:tcPr>
            <w:tcW w:w="10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0"/>
        </w:trPr>
        <w:tc>
          <w:tcPr>
            <w:tcW w:w="456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Volume</w:t>
            </w:r>
            <w:r>
              <w:rPr>
                <w:rFonts w:ascii="Times New Roman" w:cs="Times New Roman" w:eastAsia="Times New Roman" w:hAnsi="Times New Roman"/>
                <w:sz w:val="29"/>
                <w:szCs w:val="29"/>
                <w:color w:val="auto"/>
                <w:vertAlign w:val="superscript"/>
              </w:rPr>
              <w:t>(e)</w:t>
            </w:r>
          </w:p>
        </w:tc>
        <w:tc>
          <w:tcPr>
            <w:tcW w:w="10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09"/>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revenue growth</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0"/>
        </w:trPr>
        <w:tc>
          <w:tcPr>
            <w:tcW w:w="4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8"/>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r>
      <w:tr>
        <w:trPr>
          <w:trHeight w:val="230"/>
        </w:trPr>
        <w:tc>
          <w:tcPr>
            <w:tcW w:w="4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60" w:type="dxa"/>
            <w:vAlign w:val="bottom"/>
            <w:gridSpan w:val="6"/>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March 31, 2025 vs. 2024</w:t>
            </w:r>
          </w:p>
        </w:tc>
      </w:tr>
      <w:tr>
        <w:trPr>
          <w:trHeight w:val="250"/>
        </w:trPr>
        <w:tc>
          <w:tcPr>
            <w:tcW w:w="4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560" w:type="dxa"/>
            <w:vAlign w:val="bottom"/>
            <w:tcBorders>
              <w:top w:val="single" w:sz="8" w:color="auto"/>
              <w:bottom w:val="single" w:sz="8" w:color="auto"/>
            </w:tcBorders>
            <w:gridSpan w:val="6"/>
          </w:tcPr>
          <w:p>
            <w:pPr>
              <w:jc w:val="center"/>
              <w:ind w:right="90"/>
              <w:spacing w:after="0" w:line="250" w:lineRule="exact"/>
              <w:rPr>
                <w:sz w:val="20"/>
                <w:szCs w:val="20"/>
                <w:color w:val="auto"/>
              </w:rPr>
            </w:pPr>
            <w:r>
              <w:rPr>
                <w:rFonts w:ascii="Times New Roman" w:cs="Times New Roman" w:eastAsia="Times New Roman" w:hAnsi="Times New Roman"/>
                <w:sz w:val="17"/>
                <w:szCs w:val="17"/>
                <w:b w:val="1"/>
                <w:bCs w:val="1"/>
                <w:color w:val="auto"/>
              </w:rPr>
              <w:t>As a % of Related Business</w:t>
            </w:r>
            <w:r>
              <w:rPr>
                <w:rFonts w:ascii="Times New Roman" w:cs="Times New Roman" w:eastAsia="Times New Roman" w:hAnsi="Times New Roman"/>
                <w:sz w:val="28"/>
                <w:szCs w:val="28"/>
                <w:b w:val="1"/>
                <w:bCs w:val="1"/>
                <w:color w:val="auto"/>
                <w:vertAlign w:val="superscript"/>
              </w:rPr>
              <w:t>(a)</w:t>
            </w:r>
          </w:p>
        </w:tc>
        <w:tc>
          <w:tcPr>
            <w:tcW w:w="160" w:type="dxa"/>
            <w:vAlign w:val="bottom"/>
          </w:tcPr>
          <w:p>
            <w:pPr>
              <w:spacing w:after="0"/>
              <w:rPr>
                <w:sz w:val="21"/>
                <w:szCs w:val="21"/>
                <w:color w:val="auto"/>
              </w:rPr>
            </w:pPr>
          </w:p>
        </w:tc>
      </w:tr>
      <w:tr>
        <w:trPr>
          <w:trHeight w:val="250"/>
        </w:trPr>
        <w:tc>
          <w:tcPr>
            <w:tcW w:w="45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Yield</w:t>
            </w:r>
          </w:p>
        </w:tc>
        <w:tc>
          <w:tcPr>
            <w:tcW w:w="260" w:type="dxa"/>
            <w:vAlign w:val="bottom"/>
            <w:tcBorders>
              <w:bottom w:val="single" w:sz="8" w:color="CCEEFF"/>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line="250" w:lineRule="exact"/>
              <w:rPr>
                <w:sz w:val="20"/>
                <w:szCs w:val="20"/>
                <w:color w:val="auto"/>
              </w:rPr>
            </w:pPr>
            <w:r>
              <w:rPr>
                <w:rFonts w:ascii="Times New Roman" w:cs="Times New Roman" w:eastAsia="Times New Roman" w:hAnsi="Times New Roman"/>
                <w:sz w:val="17"/>
                <w:szCs w:val="17"/>
                <w:b w:val="1"/>
                <w:bCs w:val="1"/>
                <w:color w:val="auto"/>
              </w:rPr>
              <w:t>Volume</w:t>
            </w:r>
            <w:r>
              <w:rPr>
                <w:rFonts w:ascii="Times New Roman" w:cs="Times New Roman" w:eastAsia="Times New Roman" w:hAnsi="Times New Roman"/>
                <w:sz w:val="28"/>
                <w:szCs w:val="28"/>
                <w:b w:val="1"/>
                <w:bCs w:val="1"/>
                <w:color w:val="auto"/>
                <w:vertAlign w:val="superscript"/>
              </w:rPr>
              <w:t>(f)</w:t>
            </w:r>
          </w:p>
        </w:tc>
        <w:tc>
          <w:tcPr>
            <w:tcW w:w="160" w:type="dxa"/>
            <w:vAlign w:val="bottom"/>
            <w:tcBorders>
              <w:bottom w:val="single" w:sz="8" w:color="CCEEFF"/>
            </w:tcBorders>
          </w:tcPr>
          <w:p>
            <w:pPr>
              <w:spacing w:after="0"/>
              <w:rPr>
                <w:sz w:val="21"/>
                <w:szCs w:val="21"/>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 adjusted to exclude the impacts of divestitures for the current period.</w:t>
      </w:r>
    </w:p>
    <w:p>
      <w:pPr>
        <w:ind w:left="340" w:right="20" w:hanging="332"/>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revenues attributable to average yield for the total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60" w:type="dxa"/>
            <w:vAlign w:val="bottom"/>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8"/>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7"/>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1,208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before sustainability growth investments</w:t>
            </w: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8"/>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7"/>
          </w:tcPr>
          <w:p>
            <w:pPr>
              <w:jc w:val="right"/>
              <w:ind w:right="5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4"/>
              </w:rPr>
              <w:t>70.7%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29.3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3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920" w:type="dxa"/>
            <w:vAlign w:val="bottom"/>
            <w:gridSpan w:val="4"/>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acquisitions consummated during the period, net of cash acquired</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 items from prior periods, net of cash</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Amortization and Accretion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8"/>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7"/>
          </w:tcPr>
          <w:p>
            <w:pPr>
              <w:jc w:val="center"/>
              <w:ind w:right="316"/>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9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920" w:type="dxa"/>
            <w:vAlign w:val="bottom"/>
            <w:gridSpan w:val="4"/>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costs</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340"/>
              <w:spacing w:after="0" w:line="256" w:lineRule="exact"/>
              <w:rPr>
                <w:sz w:val="20"/>
                <w:szCs w:val="20"/>
                <w:color w:val="auto"/>
              </w:rPr>
            </w:pPr>
            <w:r>
              <w:rPr>
                <w:rFonts w:ascii="Times New Roman" w:cs="Times New Roman" w:eastAsia="Times New Roman" w:hAnsi="Times New Roman"/>
                <w:sz w:val="18"/>
                <w:szCs w:val="18"/>
                <w:color w:val="auto"/>
              </w:rPr>
              <w:t>Total landfill depletion expense</w:t>
            </w:r>
            <w:r>
              <w:rPr>
                <w:rFonts w:ascii="Times New Roman" w:cs="Times New Roman" w:eastAsia="Times New Roman" w:hAnsi="Times New Roman"/>
                <w:sz w:val="29"/>
                <w:szCs w:val="29"/>
                <w:color w:val="auto"/>
                <w:vertAlign w:val="superscript"/>
              </w:rPr>
              <w:t>(c)</w:t>
            </w: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120" w:type="dxa"/>
            <w:vAlign w:val="bottom"/>
            <w:gridSpan w:val="3"/>
          </w:tcPr>
          <w:p>
            <w:pPr>
              <w:spacing w:after="0"/>
              <w:rPr>
                <w:sz w:val="19"/>
                <w:szCs w:val="19"/>
                <w:color w:val="auto"/>
              </w:rPr>
            </w:pPr>
          </w:p>
        </w:tc>
        <w:tc>
          <w:tcPr>
            <w:tcW w:w="80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9" w:lineRule="exact"/>
        <w:rPr>
          <w:rFonts w:ascii="Times New Roman" w:cs="Times New Roman" w:eastAsia="Times New Roman" w:hAnsi="Times New Roman"/>
          <w:sz w:val="18"/>
          <w:szCs w:val="18"/>
          <w:color w:val="auto"/>
        </w:rPr>
      </w:pPr>
    </w:p>
    <w:p>
      <w:pPr>
        <w:ind w:left="340" w:right="360" w:hanging="332"/>
        <w:spacing w:after="0" w:line="260"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landfill depletion cost for the three months ended March 31, 2025 as compared to the quarter ended March 31, 2024 was driven by increased volumes, particularly at higher cost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40" w:type="dxa"/>
            <w:vAlign w:val="bottom"/>
          </w:tcPr>
          <w:p>
            <w:pPr>
              <w:spacing w:after="0"/>
              <w:rPr>
                <w:sz w:val="16"/>
                <w:szCs w:val="16"/>
                <w:color w:val="auto"/>
              </w:rPr>
            </w:pPr>
          </w:p>
        </w:tc>
        <w:tc>
          <w:tcPr>
            <w:tcW w:w="980" w:type="dxa"/>
            <w:vAlign w:val="bottom"/>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0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b w:val="1"/>
                <w:bCs w:val="1"/>
                <w:color w:val="auto"/>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000" w:type="dxa"/>
            <w:vAlign w:val="bottom"/>
          </w:tcPr>
          <w:p>
            <w:pPr>
              <w:spacing w:after="0"/>
              <w:rPr>
                <w:sz w:val="23"/>
                <w:szCs w:val="23"/>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 w:type="dxa"/>
            <w:vAlign w:val="bottom"/>
          </w:tcPr>
          <w:p>
            <w:pPr>
              <w:spacing w:after="0"/>
              <w:rPr>
                <w:sz w:val="23"/>
                <w:szCs w:val="2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Stericycle acquisition and integration-related costs</w:t>
            </w:r>
            <w:r>
              <w:rPr>
                <w:rFonts w:ascii="Times New Roman" w:cs="Times New Roman" w:eastAsia="Times New Roman" w:hAnsi="Times New Roman"/>
                <w:sz w:val="29"/>
                <w:szCs w:val="29"/>
                <w:color w:val="auto"/>
                <w:vertAlign w:val="superscript"/>
              </w:rPr>
              <w:t>(b)</w:t>
            </w:r>
          </w:p>
        </w:tc>
        <w:tc>
          <w:tcPr>
            <w:tcW w:w="3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Loss from asset impairments, unusual items and other, net</w:t>
            </w:r>
            <w:r>
              <w:rPr>
                <w:rFonts w:ascii="Times New Roman" w:cs="Times New Roman" w:eastAsia="Times New Roman" w:hAnsi="Times New Roman"/>
                <w:sz w:val="29"/>
                <w:szCs w:val="29"/>
                <w:color w:val="auto"/>
                <w:vertAlign w:val="superscript"/>
              </w:rPr>
              <w:t>(c)</w:t>
            </w:r>
          </w:p>
        </w:tc>
        <w:tc>
          <w:tcPr>
            <w:tcW w:w="340" w:type="dxa"/>
            <w:vAlign w:val="bottom"/>
          </w:tcPr>
          <w:p>
            <w:pPr>
              <w:spacing w:after="0"/>
              <w:rPr>
                <w:sz w:val="23"/>
                <w:szCs w:val="23"/>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3"/>
                <w:szCs w:val="2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w:t>
            </w:r>
          </w:p>
        </w:tc>
        <w:tc>
          <w:tcPr>
            <w:tcW w:w="3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197"/>
        </w:trPr>
        <w:tc>
          <w:tcPr>
            <w:tcW w:w="5000" w:type="dxa"/>
            <w:vAlign w:val="bottom"/>
            <w:tcBorders>
              <w:top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gridSpan w:val="2"/>
            <w:shd w:val="clear" w:color="auto" w:fill="CCEEFF"/>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656</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3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5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0"/>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140" w:type="dxa"/>
            <w:vAlign w:val="bottom"/>
          </w:tcPr>
          <w:p>
            <w:pPr>
              <w:spacing w:after="0"/>
              <w:rPr>
                <w:sz w:val="16"/>
                <w:szCs w:val="16"/>
                <w:color w:val="auto"/>
              </w:rPr>
            </w:pPr>
          </w:p>
        </w:tc>
        <w:tc>
          <w:tcPr>
            <w:tcW w:w="980" w:type="dxa"/>
            <w:vAlign w:val="bottom"/>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0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b w:val="1"/>
                <w:bCs w:val="1"/>
                <w:color w:val="auto"/>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5000" w:type="dxa"/>
            <w:vAlign w:val="bottom"/>
          </w:tcPr>
          <w:p>
            <w:pPr>
              <w:spacing w:after="0"/>
              <w:rPr>
                <w:sz w:val="23"/>
                <w:szCs w:val="23"/>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140" w:type="dxa"/>
            <w:vAlign w:val="bottom"/>
          </w:tcPr>
          <w:p>
            <w:pPr>
              <w:spacing w:after="0"/>
              <w:rPr>
                <w:sz w:val="23"/>
                <w:szCs w:val="23"/>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30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center"/>
              <w:ind w:right="26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Share Amount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from asset impairments, unusual items and other, net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(d)</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0" w:type="dxa"/>
            <w:vAlign w:val="bottom"/>
            <w:vMerge w:val="continue"/>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1,014</w:t>
            </w:r>
          </w:p>
        </w:tc>
        <w:tc>
          <w:tcPr>
            <w:tcW w:w="3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40" w:type="dxa"/>
            <w:vAlign w:val="bottom"/>
            <w:vMerge w:val="continue"/>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1.75</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gridSpan w:val="2"/>
            <w:shd w:val="clear" w:color="auto" w:fill="CCEEFF"/>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3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2" w:lineRule="exact"/>
        <w:rPr>
          <w:sz w:val="20"/>
          <w:szCs w:val="20"/>
          <w:color w:val="auto"/>
        </w:rPr>
      </w:pPr>
    </w:p>
    <w:p>
      <w:pPr>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ind w:left="340" w:hanging="332"/>
        <w:spacing w:after="0" w:line="250"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integration related costs, severance and retention, and WM Healthcare Solutions Enterprise Resource Planning (ERP) system costs.</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due to a legacy loss contingency reserve adjustment and other restructuring costs.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first quarter 2025 and 2024 adjusted effective tax rates were 19.2% and 18.6%,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11"/>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2025</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Total WM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6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Processing</w:t>
            </w:r>
          </w:p>
        </w:tc>
        <w:tc>
          <w:tcPr>
            <w:tcW w:w="6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Legacy</w:t>
            </w:r>
          </w:p>
        </w:tc>
        <w:tc>
          <w:tcPr>
            <w:tcW w:w="10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40" w:type="dxa"/>
            <w:vAlign w:val="bottom"/>
          </w:tcPr>
          <w:p>
            <w:pPr>
              <w:spacing w:after="0"/>
              <w:rPr>
                <w:sz w:val="23"/>
                <w:szCs w:val="23"/>
                <w:color w:val="auto"/>
              </w:rPr>
            </w:pPr>
          </w:p>
        </w:tc>
        <w:tc>
          <w:tcPr>
            <w:tcW w:w="1680" w:type="dxa"/>
            <w:vAlign w:val="bottom"/>
            <w:gridSpan w:val="4"/>
          </w:tcPr>
          <w:p>
            <w:pPr>
              <w:ind w:left="120"/>
              <w:spacing w:after="0" w:line="276" w:lineRule="exact"/>
              <w:rPr>
                <w:sz w:val="20"/>
                <w:szCs w:val="20"/>
                <w:color w:val="auto"/>
              </w:rPr>
            </w:pPr>
            <w:r>
              <w:rPr>
                <w:rFonts w:ascii="Times New Roman" w:cs="Times New Roman" w:eastAsia="Times New Roman" w:hAnsi="Times New Roman"/>
                <w:sz w:val="18"/>
                <w:szCs w:val="18"/>
                <w:b w:val="1"/>
                <w:bCs w:val="1"/>
                <w:color w:val="auto"/>
              </w:rPr>
              <w:t>and Disposal</w:t>
            </w:r>
            <w:r>
              <w:rPr>
                <w:rFonts w:ascii="Times New Roman" w:cs="Times New Roman" w:eastAsia="Times New Roman" w:hAnsi="Times New Roman"/>
                <w:sz w:val="29"/>
                <w:szCs w:val="29"/>
                <w:b w:val="1"/>
                <w:bCs w:val="1"/>
                <w:color w:val="auto"/>
                <w:vertAlign w:val="superscript"/>
              </w:rPr>
              <w:t>(a)(b)</w:t>
            </w:r>
          </w:p>
        </w:tc>
        <w:tc>
          <w:tcPr>
            <w:tcW w:w="1160" w:type="dxa"/>
            <w:vAlign w:val="bottom"/>
            <w:gridSpan w:val="4"/>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and Sales</w:t>
            </w:r>
            <w:r>
              <w:rPr>
                <w:rFonts w:ascii="Times New Roman" w:cs="Times New Roman" w:eastAsia="Times New Roman" w:hAnsi="Times New Roman"/>
                <w:sz w:val="29"/>
                <w:szCs w:val="29"/>
                <w:b w:val="1"/>
                <w:bCs w:val="1"/>
                <w:color w:val="auto"/>
                <w:vertAlign w:val="superscript"/>
              </w:rPr>
              <w:t>(a)</w:t>
            </w:r>
          </w:p>
        </w:tc>
        <w:tc>
          <w:tcPr>
            <w:tcW w:w="60" w:type="dxa"/>
            <w:vAlign w:val="bottom"/>
          </w:tcPr>
          <w:p>
            <w:pPr>
              <w:spacing w:after="0"/>
              <w:rPr>
                <w:sz w:val="23"/>
                <w:szCs w:val="23"/>
                <w:color w:val="auto"/>
              </w:rPr>
            </w:pPr>
          </w:p>
        </w:tc>
        <w:tc>
          <w:tcPr>
            <w:tcW w:w="1140" w:type="dxa"/>
            <w:vAlign w:val="bottom"/>
            <w:gridSpan w:val="3"/>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Energy</w:t>
            </w:r>
            <w:r>
              <w:rPr>
                <w:rFonts w:ascii="Times New Roman" w:cs="Times New Roman" w:eastAsia="Times New Roman" w:hAnsi="Times New Roman"/>
                <w:sz w:val="29"/>
                <w:szCs w:val="29"/>
                <w:b w:val="1"/>
                <w:bCs w:val="1"/>
                <w:color w:val="auto"/>
                <w:w w:val="92"/>
                <w:vertAlign w:val="superscript"/>
              </w:rPr>
              <w:t>(b)</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60" w:type="dxa"/>
            <w:vAlign w:val="bottom"/>
          </w:tcPr>
          <w:p>
            <w:pPr>
              <w:spacing w:after="0"/>
              <w:rPr>
                <w:sz w:val="23"/>
                <w:szCs w:val="23"/>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10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0" w:type="dxa"/>
            <w:vAlign w:val="bottom"/>
          </w:tcPr>
          <w:p>
            <w:pPr>
              <w:spacing w:after="0"/>
              <w:rPr>
                <w:sz w:val="1"/>
                <w:szCs w:val="1"/>
                <w:color w:val="auto"/>
              </w:rPr>
            </w:pPr>
          </w:p>
        </w:tc>
      </w:tr>
      <w:tr>
        <w:trPr>
          <w:trHeight w:val="174"/>
        </w:trPr>
        <w:tc>
          <w:tcPr>
            <w:tcW w:w="30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EBITDA and</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EBITDA Margin</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4,922</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384</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5,399</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6,018</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1,328</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1,038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1,013</w:t>
            </w:r>
          </w:p>
        </w:tc>
        <w:tc>
          <w:tcPr>
            <w:tcW w:w="0" w:type="dxa"/>
            <w:vAlign w:val="bottom"/>
          </w:tcPr>
          <w:p>
            <w:pPr>
              <w:spacing w:after="0"/>
              <w:rPr>
                <w:sz w:val="1"/>
                <w:szCs w:val="1"/>
                <w:color w:val="auto"/>
              </w:rPr>
            </w:pPr>
          </w:p>
        </w:tc>
      </w:tr>
      <w:tr>
        <w:trPr>
          <w:trHeight w:val="198"/>
        </w:trPr>
        <w:tc>
          <w:tcPr>
            <w:tcW w:w="3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depletion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1"/>
                <w:szCs w:val="21"/>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as reported</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040" w:type="dxa"/>
            <w:vAlign w:val="bottom"/>
          </w:tcPr>
          <w:p>
            <w:pPr>
              <w:ind w:left="180"/>
              <w:spacing w:after="0" w:line="201" w:lineRule="exact"/>
              <w:rPr>
                <w:sz w:val="20"/>
                <w:szCs w:val="20"/>
                <w:color w:val="auto"/>
              </w:rPr>
            </w:pPr>
            <w:r>
              <w:rPr>
                <w:rFonts w:ascii="Times New Roman" w:cs="Times New Roman" w:eastAsia="Times New Roman" w:hAnsi="Times New Roman"/>
                <w:sz w:val="18"/>
                <w:szCs w:val="18"/>
                <w:color w:val="auto"/>
              </w:rPr>
              <w:t>Stericycle acquisition and integration-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040" w:type="dxa"/>
            <w:vAlign w:val="bottom"/>
          </w:tcPr>
          <w:p>
            <w:pPr>
              <w:ind w:left="340"/>
              <w:spacing w:after="0" w:line="271" w:lineRule="exact"/>
              <w:rPr>
                <w:sz w:val="20"/>
                <w:szCs w:val="20"/>
                <w:color w:val="auto"/>
              </w:rPr>
            </w:pPr>
            <w:r>
              <w:rPr>
                <w:rFonts w:ascii="Times New Roman" w:cs="Times New Roman" w:eastAsia="Times New Roman" w:hAnsi="Times New Roman"/>
                <w:sz w:val="18"/>
                <w:szCs w:val="18"/>
                <w:color w:val="auto"/>
              </w:rPr>
              <w:t>related costs</w:t>
            </w:r>
            <w:r>
              <w:rPr>
                <w:rFonts w:ascii="Times New Roman" w:cs="Times New Roman" w:eastAsia="Times New Roman" w:hAnsi="Times New Roman"/>
                <w:sz w:val="29"/>
                <w:szCs w:val="29"/>
                <w:color w:val="auto"/>
                <w:vertAlign w:val="superscript"/>
              </w:rPr>
              <w:t>(c)</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180"/>
              <w:spacing w:after="0" w:line="201" w:lineRule="exact"/>
              <w:rPr>
                <w:sz w:val="20"/>
                <w:szCs w:val="20"/>
                <w:color w:val="auto"/>
              </w:rPr>
            </w:pPr>
            <w:r>
              <w:rPr>
                <w:rFonts w:ascii="Times New Roman" w:cs="Times New Roman" w:eastAsia="Times New Roman" w:hAnsi="Times New Roman"/>
                <w:sz w:val="18"/>
                <w:szCs w:val="18"/>
                <w:color w:val="auto"/>
              </w:rPr>
              <w:t>Loss from asset impairments, unusual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3040" w:type="dxa"/>
            <w:vAlign w:val="bottom"/>
            <w:shd w:val="clear" w:color="auto" w:fill="CCEEFF"/>
          </w:tcPr>
          <w:p>
            <w:pPr>
              <w:ind w:left="340"/>
              <w:spacing w:after="0" w:line="284" w:lineRule="exact"/>
              <w:rPr>
                <w:sz w:val="20"/>
                <w:szCs w:val="20"/>
                <w:color w:val="auto"/>
              </w:rPr>
            </w:pPr>
            <w:r>
              <w:rPr>
                <w:rFonts w:ascii="Times New Roman" w:cs="Times New Roman" w:eastAsia="Times New Roman" w:hAnsi="Times New Roman"/>
                <w:sz w:val="18"/>
                <w:szCs w:val="18"/>
                <w:color w:val="auto"/>
              </w:rPr>
              <w:t>items and other, net</w:t>
            </w:r>
            <w:r>
              <w:rPr>
                <w:rFonts w:ascii="Times New Roman" w:cs="Times New Roman" w:eastAsia="Times New Roman" w:hAnsi="Times New Roman"/>
                <w:sz w:val="29"/>
                <w:szCs w:val="29"/>
                <w:color w:val="auto"/>
                <w:vertAlign w:val="superscript"/>
              </w:rPr>
              <w:t>(d)</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w:t>
            </w:r>
          </w:p>
        </w:tc>
        <w:tc>
          <w:tcPr>
            <w:tcW w:w="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EBITDA margin, as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w:t>
            </w: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37.4%</w:t>
            </w:r>
          </w:p>
        </w:tc>
        <w:tc>
          <w:tcPr>
            <w:tcW w:w="320" w:type="dxa"/>
            <w:vAlign w:val="bottom"/>
          </w:tcPr>
          <w:p>
            <w:pPr>
              <w:spacing w:after="0"/>
              <w:rPr>
                <w:sz w:val="20"/>
                <w:szCs w:val="20"/>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w:t>
            </w:r>
          </w:p>
        </w:tc>
        <w:tc>
          <w:tcPr>
            <w:tcW w:w="2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0" w:type="dxa"/>
            <w:vAlign w:val="bottom"/>
          </w:tcPr>
          <w:p>
            <w:pPr>
              <w:spacing w:after="0"/>
              <w:rPr>
                <w:sz w:val="1"/>
                <w:szCs w:val="1"/>
                <w:color w:val="auto"/>
              </w:rPr>
            </w:pPr>
          </w:p>
        </w:tc>
      </w:tr>
      <w:tr>
        <w:trPr>
          <w:trHeight w:val="410"/>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Quarter Ended March 31, 2024</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Recycling</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Collection</w:t>
            </w:r>
          </w:p>
        </w:tc>
        <w:tc>
          <w:tcPr>
            <w:tcW w:w="60" w:type="dxa"/>
            <w:vAlign w:val="bottom"/>
          </w:tcPr>
          <w:p>
            <w:pPr>
              <w:spacing w:after="0"/>
              <w:rPr>
                <w:sz w:val="19"/>
                <w:szCs w:val="19"/>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Processing</w:t>
            </w:r>
          </w:p>
        </w:tc>
        <w:tc>
          <w:tcPr>
            <w:tcW w:w="6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40" w:type="dxa"/>
            <w:vAlign w:val="bottom"/>
          </w:tcPr>
          <w:p>
            <w:pPr>
              <w:spacing w:after="0"/>
              <w:rPr>
                <w:sz w:val="23"/>
                <w:szCs w:val="23"/>
                <w:color w:val="auto"/>
              </w:rPr>
            </w:pPr>
          </w:p>
        </w:tc>
        <w:tc>
          <w:tcPr>
            <w:tcW w:w="1680" w:type="dxa"/>
            <w:vAlign w:val="bottom"/>
            <w:gridSpan w:val="4"/>
          </w:tcPr>
          <w:p>
            <w:pPr>
              <w:ind w:left="120"/>
              <w:spacing w:after="0" w:line="276" w:lineRule="exact"/>
              <w:rPr>
                <w:sz w:val="20"/>
                <w:szCs w:val="20"/>
                <w:color w:val="auto"/>
              </w:rPr>
            </w:pPr>
            <w:r>
              <w:rPr>
                <w:rFonts w:ascii="Times New Roman" w:cs="Times New Roman" w:eastAsia="Times New Roman" w:hAnsi="Times New Roman"/>
                <w:sz w:val="18"/>
                <w:szCs w:val="18"/>
                <w:b w:val="1"/>
                <w:bCs w:val="1"/>
                <w:color w:val="auto"/>
              </w:rPr>
              <w:t>and Disposal</w:t>
            </w:r>
            <w:r>
              <w:rPr>
                <w:rFonts w:ascii="Times New Roman" w:cs="Times New Roman" w:eastAsia="Times New Roman" w:hAnsi="Times New Roman"/>
                <w:sz w:val="29"/>
                <w:szCs w:val="29"/>
                <w:b w:val="1"/>
                <w:bCs w:val="1"/>
                <w:color w:val="auto"/>
                <w:vertAlign w:val="superscript"/>
              </w:rPr>
              <w:t>(a)(b)</w:t>
            </w:r>
          </w:p>
        </w:tc>
        <w:tc>
          <w:tcPr>
            <w:tcW w:w="1160" w:type="dxa"/>
            <w:vAlign w:val="bottom"/>
            <w:gridSpan w:val="4"/>
          </w:tcPr>
          <w:p>
            <w:pPr>
              <w:ind w:left="60"/>
              <w:spacing w:after="0" w:line="276" w:lineRule="exact"/>
              <w:rPr>
                <w:sz w:val="20"/>
                <w:szCs w:val="20"/>
                <w:color w:val="auto"/>
              </w:rPr>
            </w:pPr>
            <w:r>
              <w:rPr>
                <w:rFonts w:ascii="Times New Roman" w:cs="Times New Roman" w:eastAsia="Times New Roman" w:hAnsi="Times New Roman"/>
                <w:sz w:val="18"/>
                <w:szCs w:val="18"/>
                <w:b w:val="1"/>
                <w:bCs w:val="1"/>
                <w:color w:val="auto"/>
              </w:rPr>
              <w:t>and Sales</w:t>
            </w:r>
            <w:r>
              <w:rPr>
                <w:rFonts w:ascii="Times New Roman" w:cs="Times New Roman" w:eastAsia="Times New Roman" w:hAnsi="Times New Roman"/>
                <w:sz w:val="29"/>
                <w:szCs w:val="29"/>
                <w:b w:val="1"/>
                <w:bCs w:val="1"/>
                <w:color w:val="auto"/>
                <w:vertAlign w:val="superscript"/>
              </w:rPr>
              <w:t>(a)</w:t>
            </w:r>
          </w:p>
        </w:tc>
        <w:tc>
          <w:tcPr>
            <w:tcW w:w="60" w:type="dxa"/>
            <w:vAlign w:val="bottom"/>
          </w:tcPr>
          <w:p>
            <w:pPr>
              <w:spacing w:after="0"/>
              <w:rPr>
                <w:sz w:val="23"/>
                <w:szCs w:val="23"/>
                <w:color w:val="auto"/>
              </w:rPr>
            </w:pPr>
          </w:p>
        </w:tc>
        <w:tc>
          <w:tcPr>
            <w:tcW w:w="1140" w:type="dxa"/>
            <w:vAlign w:val="bottom"/>
            <w:gridSpan w:val="3"/>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2"/>
              </w:rPr>
              <w:t>Energy</w:t>
            </w:r>
            <w:r>
              <w:rPr>
                <w:rFonts w:ascii="Times New Roman" w:cs="Times New Roman" w:eastAsia="Times New Roman" w:hAnsi="Times New Roman"/>
                <w:sz w:val="29"/>
                <w:szCs w:val="29"/>
                <w:b w:val="1"/>
                <w:bCs w:val="1"/>
                <w:color w:val="auto"/>
                <w:w w:val="92"/>
                <w:vertAlign w:val="superscript"/>
              </w:rPr>
              <w:t>(b)</w:t>
            </w: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0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EBITDA and</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EBITDA Margin</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4,716</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368</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69</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1,279</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Depreciation, depletion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0"/>
                <w:szCs w:val="20"/>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EBITDA, as reported</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from asset impairments, unusual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items and other, net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Operating EBITDA margin, as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42.0%</w:t>
            </w: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42.0%</w:t>
            </w:r>
          </w:p>
        </w:tc>
        <w:tc>
          <w:tcPr>
            <w:tcW w:w="320" w:type="dxa"/>
            <w:vAlign w:val="bottom"/>
          </w:tcPr>
          <w:p>
            <w:pPr>
              <w:spacing w:after="0"/>
              <w:rPr>
                <w:sz w:val="20"/>
                <w:szCs w:val="20"/>
                <w:color w:val="auto"/>
              </w:rPr>
            </w:pPr>
          </w:p>
        </w:tc>
        <w:tc>
          <w:tcPr>
            <w:tcW w:w="6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N/A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-2696845</wp:posOffset>
            </wp:positionV>
            <wp:extent cx="1397000" cy="436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97000" cy="43688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-2122170</wp:posOffset>
            </wp:positionV>
            <wp:extent cx="139700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000" cy="13716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-1847850</wp:posOffset>
            </wp:positionV>
            <wp:extent cx="139700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7000" cy="13716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-1436370</wp:posOffset>
            </wp:positionV>
            <wp:extent cx="139700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97000" cy="1460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-1153795</wp:posOffset>
            </wp:positionV>
            <wp:extent cx="139700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7000" cy="13716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-742315</wp:posOffset>
            </wp:positionV>
            <wp:extent cx="139700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97000" cy="16256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-424815</wp:posOffset>
            </wp:positionV>
            <wp:extent cx="139700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700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2" w:lineRule="exact"/>
        <w:rPr>
          <w:sz w:val="20"/>
          <w:szCs w:val="20"/>
          <w:color w:val="auto"/>
        </w:rPr>
      </w:pPr>
    </w:p>
    <w:p>
      <w:pPr>
        <w:ind w:left="340" w:hanging="332"/>
        <w:spacing w:after="0" w:line="261"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total amount of such fees in income from operations for the three months ended March 31, 2025 and 2024 is $20 million and $22 million, respectively.</w:t>
      </w:r>
    </w:p>
    <w:p>
      <w:pPr>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businesses for landfill gas. The total amount of royalties in income from operations for the three months ended March 31, 2025 and 2024 is $14 million and $10 million, respectively.</w:t>
      </w:r>
    </w:p>
    <w:p>
      <w:pPr>
        <w:ind w:left="340" w:hanging="332"/>
        <w:spacing w:after="0" w:line="25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acquisition and integration related costs, severance and retention, and WM Healthcare Solutions Enterprise Resource Planning (ERP) system costs.</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due to a legacy loss contingency reserve adjustment and other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Legacy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WM</w:t>
            </w:r>
          </w:p>
        </w:tc>
        <w:tc>
          <w:tcPr>
            <w:tcW w:w="0" w:type="dxa"/>
            <w:vAlign w:val="bottom"/>
          </w:tcPr>
          <w:p>
            <w:pPr>
              <w:spacing w:after="0"/>
              <w:rPr>
                <w:sz w:val="1"/>
                <w:szCs w:val="1"/>
                <w:color w:val="auto"/>
              </w:rPr>
            </w:pPr>
          </w:p>
        </w:tc>
      </w:tr>
      <w:tr>
        <w:trPr>
          <w:trHeight w:val="174"/>
        </w:trPr>
        <w:tc>
          <w:tcPr>
            <w:tcW w:w="50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w:t>
            </w:r>
          </w:p>
        </w:tc>
        <w:tc>
          <w:tcPr>
            <w:tcW w:w="2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5,399</w:t>
            </w:r>
          </w:p>
        </w:tc>
        <w:tc>
          <w:tcPr>
            <w:tcW w:w="2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619</w:t>
            </w: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6,018</w:t>
            </w: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5,159</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3,269</w:t>
            </w:r>
          </w:p>
        </w:tc>
        <w:tc>
          <w:tcPr>
            <w:tcW w:w="22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378</w:t>
            </w: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3,647</w:t>
            </w: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3,140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Legacy loss contingency reserve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adjusted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0" w:type="dxa"/>
            <w:vAlign w:val="bottom"/>
          </w:tcPr>
          <w:p>
            <w:pPr>
              <w:spacing w:after="0"/>
              <w:rPr>
                <w:sz w:val="1"/>
                <w:szCs w:val="1"/>
                <w:color w:val="auto"/>
              </w:rPr>
            </w:pPr>
          </w:p>
        </w:tc>
      </w:tr>
      <w:tr>
        <w:trPr>
          <w:trHeight w:val="187"/>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WM</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Legacy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Total WM</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 Margin</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5,399</w:t>
            </w:r>
          </w:p>
        </w:tc>
        <w:tc>
          <w:tcPr>
            <w:tcW w:w="2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619</w:t>
            </w:r>
          </w:p>
        </w:tc>
        <w:tc>
          <w:tcPr>
            <w:tcW w:w="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6,018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5,159</w:t>
            </w:r>
          </w:p>
        </w:tc>
        <w:tc>
          <w:tcPr>
            <w:tcW w:w="0" w:type="dxa"/>
            <w:vAlign w:val="bottom"/>
          </w:tcPr>
          <w:p>
            <w:pPr>
              <w:spacing w:after="0"/>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 of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w:t>
      </w:r>
    </w:p>
    <w:p>
      <w:pPr>
        <w:spacing w:after="0" w:line="9" w:lineRule="exact"/>
        <w:rPr>
          <w:sz w:val="20"/>
          <w:szCs w:val="20"/>
          <w:color w:val="auto"/>
        </w:rPr>
      </w:pPr>
    </w:p>
    <w:p>
      <w:pPr>
        <w:ind w:right="840" w:firstLine="108"/>
        <w:spacing w:after="0" w:line="276" w:lineRule="auto"/>
        <w:rPr>
          <w:sz w:val="20"/>
          <w:szCs w:val="20"/>
          <w:color w:val="auto"/>
        </w:rPr>
      </w:pPr>
      <w:r>
        <w:rPr>
          <w:rFonts w:ascii="Times New Roman" w:cs="Times New Roman" w:eastAsia="Times New Roman" w:hAnsi="Times New Roman"/>
          <w:sz w:val="18"/>
          <w:szCs w:val="18"/>
          <w:color w:val="auto"/>
        </w:rPr>
        <w:t xml:space="preserve">Stericycle acquisition and integration-related costs </w:t>
      </w:r>
      <w:r>
        <w:rPr>
          <w:rFonts w:ascii="Times New Roman" w:cs="Times New Roman" w:eastAsia="Times New Roman" w:hAnsi="Times New Roman"/>
          <w:sz w:val="18"/>
          <w:szCs w:val="18"/>
          <w:b w:val="1"/>
          <w:bCs w:val="1"/>
          <w:color w:val="auto"/>
        </w:rPr>
        <w:t>As adjusted SG&amp;A expenses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Projected Free Cash Flow Reconciliation</w:t>
      </w:r>
      <w:r>
        <w:rPr>
          <w:rFonts w:ascii="Times New Roman" w:cs="Times New Roman" w:eastAsia="Times New Roman" w:hAnsi="Times New Roman"/>
          <w:sz w:val="29"/>
          <w:szCs w:val="29"/>
          <w:b w:val="1"/>
          <w:bCs w:val="1"/>
          <w:i w:val="1"/>
          <w:iCs w:val="1"/>
          <w:color w:val="auto"/>
          <w:vertAlign w:val="superscript"/>
        </w:rPr>
        <w: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156</w:t>
            </w:r>
          </w:p>
        </w:tc>
        <w:tc>
          <w:tcPr>
            <w:tcW w:w="56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687</w:t>
            </w:r>
          </w:p>
        </w:tc>
        <w:tc>
          <w:tcPr>
            <w:tcW w:w="220" w:type="dxa"/>
            <w:vAlign w:val="bottom"/>
          </w:tcPr>
          <w:p>
            <w:pPr>
              <w:spacing w:after="0"/>
              <w:rPr>
                <w:sz w:val="18"/>
                <w:szCs w:val="18"/>
                <w:color w:val="auto"/>
              </w:rPr>
            </w:pP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491</w:t>
            </w:r>
          </w:p>
        </w:tc>
      </w:t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11.4%</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44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23.6%</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Scenario</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-1285240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-1010920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-728345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1847215</wp:posOffset>
            </wp:positionH>
            <wp:positionV relativeFrom="paragraph">
              <wp:posOffset>0</wp:posOffset>
            </wp:positionV>
            <wp:extent cx="191135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1135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00" w:space="720"/>
            <w:col w:w="59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r>
      <w:tr>
        <w:trPr>
          <w:trHeight w:val="190"/>
        </w:trPr>
        <w:tc>
          <w:tcPr>
            <w:tcW w:w="5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5,750</w:t>
            </w:r>
          </w:p>
        </w:tc>
        <w:tc>
          <w:tcPr>
            <w:tcW w:w="400" w:type="dxa"/>
            <w:vAlign w:val="bottom"/>
            <w:shd w:val="clear" w:color="auto" w:fill="CCEEFF"/>
          </w:tcPr>
          <w:p>
            <w:pPr>
              <w:jc w:val="right"/>
              <w:ind w:right="2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5,900</w:t>
            </w:r>
          </w:p>
        </w:tc>
        <w:tc>
          <w:tcPr>
            <w:tcW w:w="3180" w:type="dxa"/>
            <w:vAlign w:val="bottom"/>
            <w:shd w:val="clear" w:color="auto" w:fill="CCEEFF"/>
          </w:tcPr>
          <w:p>
            <w:pPr>
              <w:spacing w:after="0"/>
              <w:rPr>
                <w:sz w:val="16"/>
                <w:szCs w:val="16"/>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(2,575)</w:t>
            </w:r>
          </w:p>
        </w:tc>
        <w:tc>
          <w:tcPr>
            <w:tcW w:w="400" w:type="dxa"/>
            <w:vAlign w:val="bottom"/>
          </w:tcPr>
          <w:p>
            <w:pPr>
              <w:spacing w:after="0"/>
              <w:rPr>
                <w:sz w:val="18"/>
                <w:szCs w:val="18"/>
                <w:color w:val="auto"/>
              </w:rPr>
            </w:pPr>
          </w:p>
        </w:tc>
        <w:tc>
          <w:tcPr>
            <w:tcW w:w="4000" w:type="dxa"/>
            <w:vAlign w:val="bottom"/>
            <w:gridSpan w:val="2"/>
          </w:tcPr>
          <w:p>
            <w:pPr>
              <w:jc w:val="right"/>
              <w:ind w:right="3140"/>
              <w:spacing w:after="0"/>
              <w:rPr>
                <w:sz w:val="20"/>
                <w:szCs w:val="20"/>
                <w:color w:val="auto"/>
              </w:rPr>
            </w:pPr>
            <w:r>
              <w:rPr>
                <w:rFonts w:ascii="Times New Roman" w:cs="Times New Roman" w:eastAsia="Times New Roman" w:hAnsi="Times New Roman"/>
                <w:sz w:val="18"/>
                <w:szCs w:val="18"/>
                <w:color w:val="auto"/>
              </w:rPr>
              <w:t>(2,625)</w:t>
            </w:r>
          </w:p>
        </w:tc>
      </w:tr>
      <w:tr>
        <w:trPr>
          <w:trHeight w:val="198"/>
        </w:trPr>
        <w:tc>
          <w:tcPr>
            <w:tcW w:w="5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r>
      <w:tr>
        <w:trPr>
          <w:trHeight w:val="248"/>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180" w:type="dxa"/>
            <w:vAlign w:val="bottom"/>
            <w:shd w:val="clear" w:color="auto" w:fill="CCEEFF"/>
          </w:tcPr>
          <w:p>
            <w:pPr>
              <w:spacing w:after="0"/>
              <w:rPr>
                <w:sz w:val="21"/>
                <w:szCs w:val="21"/>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before sustainability growth investments</w:t>
            </w:r>
          </w:p>
        </w:tc>
        <w:tc>
          <w:tcPr>
            <w:tcW w:w="180" w:type="dxa"/>
            <w:vAlign w:val="bottom"/>
          </w:tcPr>
          <w:p>
            <w:pPr>
              <w:spacing w:after="0"/>
              <w:rPr>
                <w:sz w:val="18"/>
                <w:szCs w:val="18"/>
                <w:color w:val="auto"/>
              </w:rPr>
            </w:pP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3,275</w:t>
            </w:r>
          </w:p>
        </w:tc>
        <w:tc>
          <w:tcPr>
            <w:tcW w:w="320" w:type="dxa"/>
            <w:vAlign w:val="bottom"/>
          </w:tcPr>
          <w:p>
            <w:pPr>
              <w:spacing w:after="0"/>
              <w:rPr>
                <w:sz w:val="18"/>
                <w:szCs w:val="18"/>
                <w:color w:val="auto"/>
              </w:rPr>
            </w:pP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3,425</w:t>
            </w:r>
          </w:p>
        </w:tc>
        <w:tc>
          <w:tcPr>
            <w:tcW w:w="3180" w:type="dxa"/>
            <w:vAlign w:val="bottom"/>
          </w:tcPr>
          <w:p>
            <w:pPr>
              <w:spacing w:after="0"/>
              <w:rPr>
                <w:sz w:val="18"/>
                <w:szCs w:val="18"/>
                <w:color w:val="auto"/>
              </w:rPr>
            </w:pPr>
          </w:p>
        </w:tc>
      </w:tr>
      <w:tr>
        <w:trPr>
          <w:trHeight w:val="23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40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jc w:val="right"/>
              <w:ind w:right="3140"/>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2,675</w:t>
            </w:r>
          </w:p>
        </w:tc>
        <w:tc>
          <w:tcPr>
            <w:tcW w:w="3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2,775</w:t>
            </w:r>
          </w:p>
        </w:tc>
        <w:tc>
          <w:tcPr>
            <w:tcW w:w="318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-753745</wp:posOffset>
            </wp:positionV>
            <wp:extent cx="1911350" cy="2825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11350" cy="28257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-325120</wp:posOffset>
            </wp:positionV>
            <wp:extent cx="191135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1135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right="100" w:hanging="332"/>
        <w:spacing w:after="0" w:line="282" w:lineRule="auto"/>
        <w:tabs>
          <w:tab w:leader="none" w:pos="3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2025.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38"/>
        </w:trPr>
        <w:tc>
          <w:tcPr>
            <w:tcW w:w="5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18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EBITDA Margin</w:t>
            </w: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w:t>
            </w:r>
          </w:p>
        </w:tc>
        <w:tc>
          <w:tcPr>
            <w:tcW w:w="220" w:type="dxa"/>
            <w:vAlign w:val="bottom"/>
            <w:vMerge w:val="continue"/>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657"/>
        </w:trPr>
        <w:tc>
          <w:tcPr>
            <w:tcW w:w="5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0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2025-04-28T16:23:41Z</dcterms:created>
  <dcterms:modified xsi:type="dcterms:W3CDTF">2025-04-28T16:23:41Z</dcterms:modified>
</cp:coreProperties>
</file>