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jc w:val="center"/>
        <w:ind w:right="2099"/>
        <w:spacing w:after="0"/>
        <w:rPr>
          <w:sz w:val="20"/>
          <w:szCs w:val="20"/>
          <w:color w:val="auto"/>
        </w:rPr>
      </w:pPr>
      <w:r>
        <w:rPr>
          <w:rFonts w:ascii="Arial" w:cs="Arial" w:eastAsia="Arial" w:hAnsi="Arial"/>
          <w:sz w:val="22"/>
          <w:szCs w:val="22"/>
          <w:color w:val="auto"/>
        </w:rPr>
        <w:t>SCHEDULE 13G</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(Amendment No.____)</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Waste Management, Inc.</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(Name of Issuer)</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Common Stock</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(Title of Class of Securities)</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94106L109</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2099"/>
        <w:spacing w:after="0"/>
        <w:rPr>
          <w:sz w:val="20"/>
          <w:szCs w:val="20"/>
          <w:color w:val="auto"/>
        </w:rPr>
      </w:pPr>
      <w:r>
        <w:rPr>
          <w:rFonts w:ascii="Arial" w:cs="Arial" w:eastAsia="Arial" w:hAnsi="Arial"/>
          <w:sz w:val="15"/>
          <w:szCs w:val="15"/>
          <w:b w:val="1"/>
          <w:bCs w:val="1"/>
          <w:color w:val="auto"/>
        </w:rPr>
        <w:t>(Name, Address and Telephone Number of Person Authorized to Receive Notices and Communications)</w:t>
      </w:r>
    </w:p>
    <w:p>
      <w:pPr>
        <w:spacing w:after="0" w:line="266" w:lineRule="exact"/>
        <w:rPr>
          <w:sz w:val="24"/>
          <w:szCs w:val="24"/>
          <w:color w:val="auto"/>
        </w:rPr>
      </w:pPr>
    </w:p>
    <w:p>
      <w:pPr>
        <w:ind w:left="2380"/>
        <w:spacing w:after="0"/>
        <w:rPr>
          <w:sz w:val="20"/>
          <w:szCs w:val="20"/>
          <w:color w:val="auto"/>
        </w:rPr>
      </w:pPr>
      <w:r>
        <w:rPr>
          <w:rFonts w:ascii="Arial" w:cs="Arial" w:eastAsia="Arial" w:hAnsi="Arial"/>
          <w:sz w:val="18"/>
          <w:szCs w:val="18"/>
          <w:color w:val="auto"/>
        </w:rPr>
        <w:t>_____________</w:t>
      </w:r>
      <w:r>
        <w:rPr>
          <w:rFonts w:ascii="Arial" w:cs="Arial" w:eastAsia="Arial" w:hAnsi="Arial"/>
          <w:sz w:val="18"/>
          <w:szCs w:val="18"/>
          <w:u w:val="single" w:color="auto"/>
          <w:color w:val="auto"/>
        </w:rPr>
        <w:t>June 18, 2008</w:t>
      </w:r>
      <w:r>
        <w:rPr>
          <w:rFonts w:ascii="Arial" w:cs="Arial" w:eastAsia="Arial" w:hAnsi="Arial"/>
          <w:sz w:val="18"/>
          <w:szCs w:val="18"/>
          <w:color w:val="auto"/>
        </w:rPr>
        <w:t>______________</w:t>
      </w:r>
    </w:p>
    <w:p>
      <w:pPr>
        <w:spacing w:after="0" w:line="15"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spacing w:after="0"/>
        <w:rPr>
          <w:sz w:val="20"/>
          <w:szCs w:val="20"/>
          <w:color w:val="auto"/>
        </w:rPr>
      </w:pPr>
      <w:r>
        <w:rPr>
          <w:sz w:val="1"/>
          <w:szCs w:val="1"/>
          <w:color w:val="auto"/>
        </w:rPr>
        <w:drawing>
          <wp:inline distT="0" distB="0" distL="0" distR="0">
            <wp:extent cx="94615" cy="10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r>
        <w:rPr>
          <w:rFonts w:ascii="Arial" w:cs="Arial" w:eastAsia="Arial" w:hAnsi="Arial"/>
          <w:sz w:val="18"/>
          <w:szCs w:val="18"/>
          <w:color w:val="auto"/>
        </w:rPr>
        <w:t xml:space="preserve"> Rule 13d-1(b)</w:t>
      </w:r>
    </w:p>
    <w:p>
      <w:pPr>
        <w:spacing w:after="0" w:line="36"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-125730</wp:posOffset>
            </wp:positionV>
            <wp:extent cx="94615"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ind w:left="660"/>
        <w:spacing w:after="0"/>
        <w:rPr>
          <w:sz w:val="20"/>
          <w:szCs w:val="20"/>
          <w:color w:val="auto"/>
        </w:rPr>
      </w:pPr>
      <w:r>
        <w:rPr>
          <w:sz w:val="1"/>
          <w:szCs w:val="1"/>
          <w:color w:val="auto"/>
        </w:rPr>
        <w:drawing>
          <wp:inline distT="0" distB="0" distL="0" distR="0">
            <wp:extent cx="94615"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r>
        <w:rPr>
          <w:rFonts w:ascii="Arial" w:cs="Arial" w:eastAsia="Arial" w:hAnsi="Arial"/>
          <w:sz w:val="18"/>
          <w:szCs w:val="18"/>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bookmarkStart w:id="1" w:name="page2"/>
    <w:bookmarkEnd w:id="1"/>
    <w:p>
      <w:pPr>
        <w:ind w:left="3420"/>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ind w:left="920" w:right="6579" w:hanging="815"/>
        <w:spacing w:after="0" w:line="501"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 Riofisa Holding, S.L.</w:t>
      </w:r>
    </w:p>
    <w:p>
      <w:pPr>
        <w:ind w:left="920"/>
        <w:spacing w:after="0"/>
        <w:rPr>
          <w:rFonts w:ascii="Arial" w:cs="Arial" w:eastAsia="Arial" w:hAnsi="Arial"/>
          <w:sz w:val="18"/>
          <w:szCs w:val="18"/>
          <w:color w:val="auto"/>
        </w:rPr>
      </w:pPr>
      <w:r>
        <w:rPr>
          <w:rFonts w:ascii="Arial" w:cs="Arial" w:eastAsia="Arial" w:hAnsi="Arial"/>
          <w:sz w:val="18"/>
          <w:szCs w:val="18"/>
          <w:color w:val="auto"/>
        </w:rPr>
        <w:t>I.R.S. IDENFICICATION NOS. OF ABOVE PERSONS (ENTITIES ONLY)</w:t>
      </w:r>
    </w:p>
    <w:p>
      <w:pPr>
        <w:spacing w:after="0" w:line="157" w:lineRule="exact"/>
        <w:rPr>
          <w:rFonts w:ascii="Arial" w:cs="Arial" w:eastAsia="Arial" w:hAnsi="Arial"/>
          <w:sz w:val="18"/>
          <w:szCs w:val="18"/>
          <w:color w:val="auto"/>
        </w:rPr>
      </w:pPr>
    </w:p>
    <w:p>
      <w:pPr>
        <w:ind w:left="920" w:hanging="81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8" w:lineRule="exact"/>
        <w:rPr>
          <w:rFonts w:ascii="Arial" w:cs="Arial" w:eastAsia="Arial" w:hAnsi="Arial"/>
          <w:sz w:val="18"/>
          <w:szCs w:val="18"/>
          <w:color w:val="auto"/>
        </w:rPr>
      </w:pPr>
    </w:p>
    <w:p>
      <w:pPr>
        <w:ind w:left="1600" w:hanging="671"/>
        <w:spacing w:after="0"/>
        <w:tabs>
          <w:tab w:leader="none" w:pos="1600" w:val="left"/>
        </w:tabs>
        <w:numPr>
          <w:ilvl w:val="1"/>
          <w:numId w:val="1"/>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94615"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51" w:lineRule="exact"/>
        <w:rPr>
          <w:rFonts w:ascii="Arial" w:cs="Arial" w:eastAsia="Arial" w:hAnsi="Arial"/>
          <w:sz w:val="18"/>
          <w:szCs w:val="18"/>
          <w:color w:val="auto"/>
        </w:rPr>
      </w:pPr>
    </w:p>
    <w:p>
      <w:pPr>
        <w:ind w:left="1620" w:hanging="691"/>
        <w:spacing w:after="0" w:line="190"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94615"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94" w:lineRule="exact"/>
        <w:rPr>
          <w:rFonts w:ascii="Arial" w:cs="Arial" w:eastAsia="Arial" w:hAnsi="Arial"/>
          <w:sz w:val="18"/>
          <w:szCs w:val="18"/>
          <w:color w:val="auto"/>
        </w:rPr>
      </w:pPr>
    </w:p>
    <w:p>
      <w:pPr>
        <w:ind w:left="920" w:hanging="81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920" w:right="5719" w:hanging="815"/>
        <w:spacing w:after="0" w:line="461"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Spain</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NUMBER OF SHARES BENEFICIALLY OWNED BY EACH REPORTING PERSON WITH</w:t>
      </w:r>
    </w:p>
    <w:p>
      <w:pPr>
        <w:spacing w:after="0" w:line="180" w:lineRule="exact"/>
        <w:rPr>
          <w:rFonts w:ascii="Arial" w:cs="Arial" w:eastAsia="Arial" w:hAnsi="Arial"/>
          <w:sz w:val="18"/>
          <w:szCs w:val="18"/>
          <w:color w:val="auto"/>
        </w:rPr>
      </w:pPr>
    </w:p>
    <w:p>
      <w:pPr>
        <w:ind w:left="920" w:hanging="81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32,653,680</w:t>
      </w:r>
    </w:p>
    <w:p>
      <w:pPr>
        <w:spacing w:after="0" w:line="158" w:lineRule="exact"/>
        <w:rPr>
          <w:sz w:val="20"/>
          <w:szCs w:val="20"/>
          <w:color w:val="auto"/>
        </w:rPr>
      </w:pPr>
    </w:p>
    <w:p>
      <w:pPr>
        <w:ind w:left="920" w:hanging="81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0</w:t>
      </w:r>
    </w:p>
    <w:p>
      <w:pPr>
        <w:spacing w:after="0" w:line="158" w:lineRule="exact"/>
        <w:rPr>
          <w:sz w:val="20"/>
          <w:szCs w:val="20"/>
          <w:color w:val="auto"/>
        </w:rPr>
      </w:pPr>
    </w:p>
    <w:p>
      <w:pPr>
        <w:ind w:left="920" w:hanging="81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32,653,680</w:t>
      </w:r>
    </w:p>
    <w:p>
      <w:pPr>
        <w:spacing w:after="0" w:line="158" w:lineRule="exact"/>
        <w:rPr>
          <w:sz w:val="20"/>
          <w:szCs w:val="20"/>
          <w:color w:val="auto"/>
        </w:rPr>
      </w:pPr>
    </w:p>
    <w:p>
      <w:pPr>
        <w:ind w:left="920" w:hanging="81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0</w:t>
      </w:r>
    </w:p>
    <w:p>
      <w:pPr>
        <w:spacing w:after="0" w:line="158" w:lineRule="exact"/>
        <w:rPr>
          <w:sz w:val="20"/>
          <w:szCs w:val="20"/>
          <w:color w:val="auto"/>
        </w:rPr>
      </w:pPr>
    </w:p>
    <w:p>
      <w:pPr>
        <w:ind w:left="920" w:hanging="815"/>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32,653,680</w:t>
      </w:r>
    </w:p>
    <w:p>
      <w:pPr>
        <w:spacing w:after="0" w:line="158" w:lineRule="exact"/>
        <w:rPr>
          <w:sz w:val="20"/>
          <w:szCs w:val="20"/>
          <w:color w:val="auto"/>
        </w:rPr>
      </w:pPr>
    </w:p>
    <w:p>
      <w:pPr>
        <w:ind w:left="920" w:hanging="815"/>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w:t>
      </w:r>
      <w:r>
        <w:rPr>
          <w:rFonts w:ascii="Arial" w:cs="Arial" w:eastAsia="Arial" w:hAnsi="Arial"/>
          <w:sz w:val="1"/>
          <w:szCs w:val="1"/>
          <w:color w:val="auto"/>
        </w:rPr>
        <w:drawing>
          <wp:inline distT="0" distB="0" distL="0" distR="0">
            <wp:extent cx="94615"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384" w:lineRule="exact"/>
        <w:rPr>
          <w:rFonts w:ascii="Arial" w:cs="Arial" w:eastAsia="Arial" w:hAnsi="Arial"/>
          <w:sz w:val="16"/>
          <w:szCs w:val="16"/>
          <w:color w:val="auto"/>
        </w:rPr>
      </w:pPr>
    </w:p>
    <w:p>
      <w:pPr>
        <w:ind w:left="920" w:hanging="81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6.65%</w:t>
      </w:r>
    </w:p>
    <w:p>
      <w:pPr>
        <w:spacing w:after="0" w:line="158" w:lineRule="exact"/>
        <w:rPr>
          <w:sz w:val="20"/>
          <w:szCs w:val="20"/>
          <w:color w:val="auto"/>
        </w:rPr>
      </w:pPr>
    </w:p>
    <w:p>
      <w:pPr>
        <w:ind w:left="2220" w:right="6759" w:hanging="2115"/>
        <w:spacing w:after="0" w:line="519" w:lineRule="auto"/>
        <w:tabs>
          <w:tab w:leader="none" w:pos="9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Name of Issuer:</w:t>
      </w:r>
    </w:p>
    <w:p>
      <w:pPr>
        <w:spacing w:after="0" w:line="23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Waste Management, Inc.</w:t>
      </w:r>
    </w:p>
    <w:p>
      <w:pPr>
        <w:spacing w:after="0" w:line="21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Address of Issuer’s Principal Executive Offices:</w:t>
      </w:r>
    </w:p>
    <w:p>
      <w:pPr>
        <w:spacing w:after="0" w:line="231" w:lineRule="exact"/>
        <w:rPr>
          <w:rFonts w:ascii="Arial" w:cs="Arial" w:eastAsia="Arial" w:hAnsi="Arial"/>
          <w:sz w:val="18"/>
          <w:szCs w:val="18"/>
          <w:color w:val="auto"/>
        </w:rPr>
      </w:pPr>
    </w:p>
    <w:p>
      <w:pPr>
        <w:ind w:left="1300" w:right="7339"/>
        <w:spacing w:after="0" w:line="306" w:lineRule="auto"/>
        <w:rPr>
          <w:rFonts w:ascii="Arial" w:cs="Arial" w:eastAsia="Arial" w:hAnsi="Arial"/>
          <w:sz w:val="18"/>
          <w:szCs w:val="18"/>
          <w:color w:val="auto"/>
        </w:rPr>
      </w:pPr>
      <w:r>
        <w:rPr>
          <w:rFonts w:ascii="Arial" w:cs="Arial" w:eastAsia="Arial" w:hAnsi="Arial"/>
          <w:sz w:val="16"/>
          <w:szCs w:val="16"/>
          <w:color w:val="auto"/>
        </w:rPr>
        <w:t>1001 Fannin Street Suite 4000 Houston, Texas 77002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1300" w:right="7239" w:hanging="644"/>
        <w:spacing w:after="0" w:line="601" w:lineRule="auto"/>
        <w:tabs>
          <w:tab w:leader="none" w:pos="130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 xml:space="preserve">Name of person filing: </w:t>
      </w:r>
      <w:r>
        <w:rPr>
          <w:rFonts w:ascii="Arial" w:cs="Arial" w:eastAsia="Arial" w:hAnsi="Arial"/>
          <w:sz w:val="15"/>
          <w:szCs w:val="15"/>
          <w:color w:val="auto"/>
        </w:rPr>
        <w:t>Riofisa Holding, S.L.</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Address or principal business office or, if none, residence:</w:t>
      </w:r>
    </w:p>
    <w:p>
      <w:pPr>
        <w:spacing w:after="0" w:line="231" w:lineRule="exact"/>
        <w:rPr>
          <w:rFonts w:ascii="Arial" w:cs="Arial" w:eastAsia="Arial" w:hAnsi="Arial"/>
          <w:sz w:val="18"/>
          <w:szCs w:val="18"/>
          <w:color w:val="auto"/>
        </w:rPr>
      </w:pPr>
    </w:p>
    <w:p>
      <w:pPr>
        <w:ind w:left="1300" w:right="6979"/>
        <w:spacing w:after="0" w:line="254" w:lineRule="auto"/>
        <w:rPr>
          <w:rFonts w:ascii="Arial" w:cs="Arial" w:eastAsia="Arial" w:hAnsi="Arial"/>
          <w:sz w:val="18"/>
          <w:szCs w:val="18"/>
          <w:color w:val="auto"/>
        </w:rPr>
      </w:pPr>
      <w:r>
        <w:rPr>
          <w:rFonts w:ascii="Arial" w:cs="Arial" w:eastAsia="Arial" w:hAnsi="Arial"/>
          <w:sz w:val="18"/>
          <w:szCs w:val="18"/>
          <w:color w:val="auto"/>
        </w:rPr>
        <w:t>Arbea Campus Empresarial Edificio 5</w:t>
      </w:r>
    </w:p>
    <w:p>
      <w:pPr>
        <w:ind w:left="1300" w:right="5759"/>
        <w:spacing w:after="0" w:line="250" w:lineRule="auto"/>
        <w:rPr>
          <w:rFonts w:ascii="Arial" w:cs="Arial" w:eastAsia="Arial" w:hAnsi="Arial"/>
          <w:sz w:val="18"/>
          <w:szCs w:val="18"/>
          <w:color w:val="auto"/>
        </w:rPr>
      </w:pPr>
      <w:r>
        <w:rPr>
          <w:rFonts w:ascii="Arial" w:cs="Arial" w:eastAsia="Arial" w:hAnsi="Arial"/>
          <w:sz w:val="18"/>
          <w:szCs w:val="18"/>
          <w:color w:val="auto"/>
        </w:rPr>
        <w:t>Carretera de Fuencarral a Alcobendas M 603 Km 3’800 Alcobendas (Madrid)</w:t>
      </w:r>
    </w:p>
    <w:p>
      <w:pPr>
        <w:ind w:left="1300"/>
        <w:spacing w:after="0"/>
        <w:rPr>
          <w:rFonts w:ascii="Arial" w:cs="Arial" w:eastAsia="Arial" w:hAnsi="Arial"/>
          <w:sz w:val="18"/>
          <w:szCs w:val="18"/>
          <w:color w:val="auto"/>
        </w:rPr>
      </w:pPr>
      <w:r>
        <w:rPr>
          <w:rFonts w:ascii="Arial" w:cs="Arial" w:eastAsia="Arial" w:hAnsi="Arial"/>
          <w:sz w:val="18"/>
          <w:szCs w:val="18"/>
          <w:color w:val="auto"/>
        </w:rPr>
        <w:t>Spain</w:t>
      </w:r>
    </w:p>
    <w:p>
      <w:pPr>
        <w:spacing w:after="0" w:line="212" w:lineRule="exact"/>
        <w:rPr>
          <w:rFonts w:ascii="Arial" w:cs="Arial" w:eastAsia="Arial" w:hAnsi="Arial"/>
          <w:sz w:val="18"/>
          <w:szCs w:val="18"/>
          <w:color w:val="auto"/>
        </w:rPr>
      </w:pPr>
    </w:p>
    <w:p>
      <w:pPr>
        <w:ind w:left="1300" w:right="6179" w:hanging="644"/>
        <w:spacing w:after="0" w:line="50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Spain</w:t>
      </w:r>
    </w:p>
    <w:p>
      <w:pPr>
        <w:ind w:left="1300" w:right="6919" w:hanging="644"/>
        <w:spacing w:after="0" w:line="563"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Title of Class of Securities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CUSIP No.:</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94106L109</w:t>
      </w:r>
    </w:p>
    <w:p>
      <w:pPr>
        <w:spacing w:after="0" w:line="219" w:lineRule="exact"/>
        <w:rPr>
          <w:sz w:val="20"/>
          <w:szCs w:val="20"/>
          <w:color w:val="auto"/>
        </w:rPr>
      </w:pPr>
    </w:p>
    <w:p>
      <w:pPr>
        <w:ind w:right="2119"/>
        <w:spacing w:after="0" w:line="275" w:lineRule="auto"/>
        <w:rPr>
          <w:sz w:val="20"/>
          <w:szCs w:val="20"/>
          <w:color w:val="auto"/>
        </w:rPr>
      </w:pPr>
      <w:r>
        <w:rPr>
          <w:rFonts w:ascii="Arial" w:cs="Arial" w:eastAsia="Arial" w:hAnsi="Arial"/>
          <w:sz w:val="18"/>
          <w:szCs w:val="18"/>
          <w:b w:val="1"/>
          <w:bCs w:val="1"/>
          <w:color w:val="auto"/>
        </w:rPr>
        <w:t>Item 3. If this statement is filed pursuant to sections 240.13d-1(b), or 240.13d-2(b) or (c), check whether the person filing is 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00" w:type="dxa"/>
            <w:vAlign w:val="bottom"/>
          </w:tcPr>
          <w:p>
            <w:pPr>
              <w:ind w:left="660"/>
              <w:spacing w:after="0"/>
              <w:rPr>
                <w:sz w:val="20"/>
                <w:szCs w:val="20"/>
                <w:color w:val="auto"/>
              </w:rPr>
            </w:pPr>
            <w:r>
              <w:rPr>
                <w:rFonts w:ascii="Arial" w:cs="Arial" w:eastAsia="Arial" w:hAnsi="Arial"/>
                <w:sz w:val="18"/>
                <w:szCs w:val="18"/>
                <w:color w:val="auto"/>
              </w:rPr>
              <w:t>(a)</w:t>
            </w:r>
          </w:p>
        </w:tc>
        <w:tc>
          <w:tcPr>
            <w:tcW w:w="6740" w:type="dxa"/>
            <w:vAlign w:val="bottom"/>
          </w:tcPr>
          <w:p>
            <w:pPr>
              <w:ind w:left="560"/>
              <w:spacing w:after="0"/>
              <w:rPr>
                <w:sz w:val="20"/>
                <w:szCs w:val="20"/>
                <w:color w:val="auto"/>
              </w:rPr>
            </w:pPr>
            <w:r>
              <w:rPr>
                <w:rFonts w:ascii="Arial" w:cs="Arial" w:eastAsia="Arial" w:hAnsi="Arial"/>
                <w:sz w:val="18"/>
                <w:szCs w:val="18"/>
                <w:color w:val="auto"/>
              </w:rPr>
              <w:t>Broker or dealer registered under section 15 of the Act.</w:t>
            </w:r>
          </w:p>
        </w:tc>
      </w:tr>
      <w:tr>
        <w:trPr>
          <w:trHeight w:val="432"/>
        </w:trPr>
        <w:tc>
          <w:tcPr>
            <w:tcW w:w="1400" w:type="dxa"/>
            <w:vAlign w:val="bottom"/>
          </w:tcPr>
          <w:p>
            <w:pPr>
              <w:ind w:left="660"/>
              <w:spacing w:after="0"/>
              <w:rPr>
                <w:sz w:val="20"/>
                <w:szCs w:val="20"/>
                <w:color w:val="auto"/>
              </w:rPr>
            </w:pPr>
            <w:r>
              <w:rPr>
                <w:rFonts w:ascii="Arial" w:cs="Arial" w:eastAsia="Arial" w:hAnsi="Arial"/>
                <w:sz w:val="18"/>
                <w:szCs w:val="18"/>
                <w:color w:val="auto"/>
              </w:rPr>
              <w:t>(b)</w:t>
            </w:r>
          </w:p>
        </w:tc>
        <w:tc>
          <w:tcPr>
            <w:tcW w:w="6740" w:type="dxa"/>
            <w:vAlign w:val="bottom"/>
          </w:tcPr>
          <w:p>
            <w:pPr>
              <w:ind w:left="560"/>
              <w:spacing w:after="0"/>
              <w:rPr>
                <w:sz w:val="20"/>
                <w:szCs w:val="20"/>
                <w:color w:val="auto"/>
              </w:rPr>
            </w:pPr>
            <w:r>
              <w:rPr>
                <w:rFonts w:ascii="Arial" w:cs="Arial" w:eastAsia="Arial" w:hAnsi="Arial"/>
                <w:sz w:val="18"/>
                <w:szCs w:val="18"/>
                <w:color w:val="auto"/>
              </w:rPr>
              <w:t>Bank as defined in section 3(a)(6) of the Act.</w:t>
            </w:r>
          </w:p>
        </w:tc>
      </w:tr>
      <w:tr>
        <w:trPr>
          <w:trHeight w:val="432"/>
        </w:trPr>
        <w:tc>
          <w:tcPr>
            <w:tcW w:w="1400" w:type="dxa"/>
            <w:vAlign w:val="bottom"/>
          </w:tcPr>
          <w:p>
            <w:pPr>
              <w:ind w:left="660"/>
              <w:spacing w:after="0"/>
              <w:rPr>
                <w:sz w:val="20"/>
                <w:szCs w:val="20"/>
                <w:color w:val="auto"/>
              </w:rPr>
            </w:pPr>
            <w:r>
              <w:rPr>
                <w:rFonts w:ascii="Arial" w:cs="Arial" w:eastAsia="Arial" w:hAnsi="Arial"/>
                <w:sz w:val="18"/>
                <w:szCs w:val="18"/>
                <w:color w:val="auto"/>
              </w:rPr>
              <w:t>(c)</w:t>
            </w:r>
          </w:p>
        </w:tc>
        <w:tc>
          <w:tcPr>
            <w:tcW w:w="6740" w:type="dxa"/>
            <w:vAlign w:val="bottom"/>
          </w:tcPr>
          <w:p>
            <w:pPr>
              <w:ind w:left="560"/>
              <w:spacing w:after="0"/>
              <w:rPr>
                <w:sz w:val="20"/>
                <w:szCs w:val="20"/>
                <w:color w:val="auto"/>
              </w:rPr>
            </w:pPr>
            <w:r>
              <w:rPr>
                <w:rFonts w:ascii="Arial" w:cs="Arial" w:eastAsia="Arial" w:hAnsi="Arial"/>
                <w:sz w:val="18"/>
                <w:szCs w:val="18"/>
                <w:color w:val="auto"/>
              </w:rPr>
              <w:t>Insurance company as defined in section 3(a)(19) of the Act.</w:t>
            </w:r>
          </w:p>
        </w:tc>
      </w:tr>
      <w:tr>
        <w:trPr>
          <w:trHeight w:val="552"/>
        </w:trPr>
        <w:tc>
          <w:tcPr>
            <w:tcW w:w="1400" w:type="dxa"/>
            <w:vAlign w:val="bottom"/>
            <w:tcBorders>
              <w:bottom w:val="single" w:sz="8" w:color="808080"/>
            </w:tcBorders>
          </w:tcPr>
          <w:p>
            <w:pPr>
              <w:spacing w:after="0"/>
              <w:rPr>
                <w:sz w:val="24"/>
                <w:szCs w:val="24"/>
                <w:color w:val="auto"/>
              </w:rPr>
            </w:pPr>
          </w:p>
        </w:tc>
        <w:tc>
          <w:tcPr>
            <w:tcW w:w="6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-1047750</wp:posOffset>
            </wp:positionV>
            <wp:extent cx="94615"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-773430</wp:posOffset>
            </wp:positionV>
            <wp:extent cx="9461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-499110</wp:posOffset>
            </wp:positionV>
            <wp:extent cx="9461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tbl>
      <w:tblPr>
        <w:tblLayout w:type="fixed"/>
        <w:tblInd w:w="66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7040" w:type="dxa"/>
            <w:vAlign w:val="bottom"/>
          </w:tcPr>
          <w:p>
            <w:pPr>
              <w:ind w:left="720"/>
              <w:spacing w:after="0"/>
              <w:rPr>
                <w:sz w:val="20"/>
                <w:szCs w:val="20"/>
                <w:color w:val="auto"/>
              </w:rPr>
            </w:pPr>
            <w:r>
              <w:rPr>
                <w:rFonts w:ascii="Arial" w:cs="Arial" w:eastAsia="Arial" w:hAnsi="Arial"/>
                <w:sz w:val="18"/>
                <w:szCs w:val="18"/>
                <w:color w:val="auto"/>
                <w:w w:val="89"/>
              </w:rPr>
              <w:t>Investment company registered under section 8 of the Investment Company Act of 1940.</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7040" w:type="dxa"/>
            <w:vAlign w:val="bottom"/>
          </w:tcPr>
          <w:p>
            <w:pPr>
              <w:ind w:left="880"/>
              <w:spacing w:after="0"/>
              <w:rPr>
                <w:sz w:val="20"/>
                <w:szCs w:val="20"/>
                <w:color w:val="auto"/>
              </w:rPr>
            </w:pPr>
            <w:r>
              <w:rPr>
                <w:rFonts w:ascii="Arial" w:cs="Arial" w:eastAsia="Arial" w:hAnsi="Arial"/>
                <w:sz w:val="18"/>
                <w:szCs w:val="18"/>
                <w:color w:val="auto"/>
              </w:rPr>
              <w:t>An investment advisor in accordance with section 240.13d-1(b)(1)(ii)(E).</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7040" w:type="dxa"/>
            <w:vAlign w:val="bottom"/>
          </w:tcPr>
          <w:p>
            <w:pPr>
              <w:ind w:left="800"/>
              <w:spacing w:after="0"/>
              <w:rPr>
                <w:sz w:val="20"/>
                <w:szCs w:val="20"/>
                <w:color w:val="auto"/>
              </w:rPr>
            </w:pPr>
            <w:r>
              <w:rPr>
                <w:rFonts w:ascii="Arial" w:cs="Arial" w:eastAsia="Arial" w:hAnsi="Arial"/>
                <w:sz w:val="18"/>
                <w:szCs w:val="18"/>
                <w:color w:val="auto"/>
                <w:w w:val="90"/>
              </w:rPr>
              <w:t>An employee benefit plan or endowment fund in accordance with section 240.13d-1(b)</w:t>
            </w:r>
          </w:p>
        </w:tc>
      </w:tr>
      <w:tr>
        <w:trPr>
          <w:trHeight w:val="222"/>
        </w:trPr>
        <w:tc>
          <w:tcPr>
            <w:tcW w:w="420" w:type="dxa"/>
            <w:vAlign w:val="bottom"/>
          </w:tcPr>
          <w:p>
            <w:pPr>
              <w:spacing w:after="0"/>
              <w:rPr>
                <w:sz w:val="19"/>
                <w:szCs w:val="19"/>
                <w:color w:val="auto"/>
              </w:rPr>
            </w:pPr>
          </w:p>
        </w:tc>
        <w:tc>
          <w:tcPr>
            <w:tcW w:w="7040" w:type="dxa"/>
            <w:vAlign w:val="bottom"/>
          </w:tcPr>
          <w:p>
            <w:pPr>
              <w:ind w:left="220"/>
              <w:spacing w:after="0"/>
              <w:rPr>
                <w:sz w:val="20"/>
                <w:szCs w:val="20"/>
                <w:color w:val="auto"/>
              </w:rPr>
            </w:pPr>
            <w:r>
              <w:rPr>
                <w:rFonts w:ascii="Arial" w:cs="Arial" w:eastAsia="Arial" w:hAnsi="Arial"/>
                <w:sz w:val="18"/>
                <w:szCs w:val="18"/>
                <w:color w:val="auto"/>
              </w:rPr>
              <w:t>(1)(ii)(F).</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7040" w:type="dxa"/>
            <w:vAlign w:val="bottom"/>
          </w:tcPr>
          <w:p>
            <w:pPr>
              <w:ind w:left="760"/>
              <w:spacing w:after="0"/>
              <w:rPr>
                <w:sz w:val="20"/>
                <w:szCs w:val="20"/>
                <w:color w:val="auto"/>
              </w:rPr>
            </w:pPr>
            <w:r>
              <w:rPr>
                <w:rFonts w:ascii="Arial" w:cs="Arial" w:eastAsia="Arial" w:hAnsi="Arial"/>
                <w:sz w:val="18"/>
                <w:szCs w:val="18"/>
                <w:color w:val="auto"/>
                <w:w w:val="90"/>
              </w:rPr>
              <w:t>A parent holding company or control person in accordance with section 240.13d-1(b)(ii)</w:t>
            </w:r>
          </w:p>
        </w:tc>
      </w:tr>
      <w:tr>
        <w:trPr>
          <w:trHeight w:val="222"/>
        </w:trPr>
        <w:tc>
          <w:tcPr>
            <w:tcW w:w="420" w:type="dxa"/>
            <w:vAlign w:val="bottom"/>
          </w:tcPr>
          <w:p>
            <w:pPr>
              <w:spacing w:after="0"/>
              <w:rPr>
                <w:sz w:val="19"/>
                <w:szCs w:val="19"/>
                <w:color w:val="auto"/>
              </w:rPr>
            </w:pPr>
          </w:p>
        </w:tc>
        <w:tc>
          <w:tcPr>
            <w:tcW w:w="7040" w:type="dxa"/>
            <w:vAlign w:val="bottom"/>
          </w:tcPr>
          <w:p>
            <w:pPr>
              <w:ind w:left="220"/>
              <w:spacing w:after="0"/>
              <w:rPr>
                <w:sz w:val="20"/>
                <w:szCs w:val="20"/>
                <w:color w:val="auto"/>
              </w:rPr>
            </w:pPr>
            <w:r>
              <w:rPr>
                <w:rFonts w:ascii="Arial" w:cs="Arial" w:eastAsia="Arial" w:hAnsi="Arial"/>
                <w:sz w:val="18"/>
                <w:szCs w:val="18"/>
                <w:color w:val="auto"/>
              </w:rPr>
              <w:t>(G).</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7040" w:type="dxa"/>
            <w:vAlign w:val="bottom"/>
          </w:tcPr>
          <w:p>
            <w:pPr>
              <w:ind w:left="720"/>
              <w:spacing w:after="0"/>
              <w:rPr>
                <w:sz w:val="20"/>
                <w:szCs w:val="20"/>
                <w:color w:val="auto"/>
              </w:rPr>
            </w:pPr>
            <w:r>
              <w:rPr>
                <w:rFonts w:ascii="Arial" w:cs="Arial" w:eastAsia="Arial" w:hAnsi="Arial"/>
                <w:sz w:val="18"/>
                <w:szCs w:val="18"/>
                <w:color w:val="auto"/>
                <w:w w:val="92"/>
              </w:rPr>
              <w:t>A savings association as defined in section 3(b) of the Federal Deposit Insurance Act.</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7040" w:type="dxa"/>
            <w:vAlign w:val="bottom"/>
          </w:tcPr>
          <w:p>
            <w:pPr>
              <w:ind w:left="880"/>
              <w:spacing w:after="0"/>
              <w:rPr>
                <w:sz w:val="20"/>
                <w:szCs w:val="20"/>
                <w:color w:val="auto"/>
              </w:rPr>
            </w:pPr>
            <w:r>
              <w:rPr>
                <w:rFonts w:ascii="Arial" w:cs="Arial" w:eastAsia="Arial" w:hAnsi="Arial"/>
                <w:sz w:val="18"/>
                <w:szCs w:val="18"/>
                <w:color w:val="auto"/>
                <w:w w:val="93"/>
              </w:rPr>
              <w:t>A church plan that is excluded from the definition of an investment company under</w:t>
            </w:r>
          </w:p>
        </w:tc>
      </w:tr>
      <w:tr>
        <w:trPr>
          <w:trHeight w:val="222"/>
        </w:trPr>
        <w:tc>
          <w:tcPr>
            <w:tcW w:w="420" w:type="dxa"/>
            <w:vAlign w:val="bottom"/>
          </w:tcPr>
          <w:p>
            <w:pPr>
              <w:spacing w:after="0"/>
              <w:rPr>
                <w:sz w:val="19"/>
                <w:szCs w:val="19"/>
                <w:color w:val="auto"/>
              </w:rPr>
            </w:pPr>
          </w:p>
        </w:tc>
        <w:tc>
          <w:tcPr>
            <w:tcW w:w="7040" w:type="dxa"/>
            <w:vAlign w:val="bottom"/>
          </w:tcPr>
          <w:p>
            <w:pPr>
              <w:ind w:left="220"/>
              <w:spacing w:after="0"/>
              <w:rPr>
                <w:sz w:val="20"/>
                <w:szCs w:val="20"/>
                <w:color w:val="auto"/>
              </w:rPr>
            </w:pPr>
            <w:r>
              <w:rPr>
                <w:rFonts w:ascii="Arial" w:cs="Arial" w:eastAsia="Arial" w:hAnsi="Arial"/>
                <w:sz w:val="18"/>
                <w:szCs w:val="18"/>
                <w:color w:val="auto"/>
              </w:rPr>
              <w:t>section 3(c)(14) of the Investment Company Act of 1940.</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7040" w:type="dxa"/>
            <w:vAlign w:val="bottom"/>
          </w:tcPr>
          <w:p>
            <w:pPr>
              <w:ind w:left="880"/>
              <w:spacing w:after="0"/>
              <w:rPr>
                <w:sz w:val="20"/>
                <w:szCs w:val="20"/>
                <w:color w:val="auto"/>
              </w:rPr>
            </w:pPr>
            <w:r>
              <w:rPr>
                <w:rFonts w:ascii="Arial" w:cs="Arial" w:eastAsia="Arial" w:hAnsi="Arial"/>
                <w:sz w:val="18"/>
                <w:szCs w:val="18"/>
                <w:color w:val="auto"/>
              </w:rPr>
              <w:t>Group, in accordance with section 240.13d-1(b)(1)(ii)(J).</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-2193290</wp:posOffset>
            </wp:positionV>
            <wp:extent cx="9461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-1918970</wp:posOffset>
            </wp:positionV>
            <wp:extent cx="9461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-1644650</wp:posOffset>
            </wp:positionV>
            <wp:extent cx="9461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-1233170</wp:posOffset>
            </wp:positionV>
            <wp:extent cx="9461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-821055</wp:posOffset>
            </wp:positionV>
            <wp:extent cx="9461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-546735</wp:posOffset>
            </wp:positionV>
            <wp:extent cx="9461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-135255</wp:posOffset>
            </wp:positionV>
            <wp:extent cx="9461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this statement is filed pursuant to section 240.13d-1(c), check this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-125730</wp:posOffset>
            </wp:positionV>
            <wp:extent cx="9461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9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32,653,680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6.65%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32,653,680</w:t>
      </w:r>
    </w:p>
    <w:p>
      <w:pPr>
        <w:spacing w:after="0" w:line="1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-0-</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32,653,680</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-0-</w:t>
      </w:r>
    </w:p>
    <w:p>
      <w:pPr>
        <w:spacing w:after="0" w:line="21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31" w:lineRule="exact"/>
        <w:rPr>
          <w:sz w:val="20"/>
          <w:szCs w:val="20"/>
          <w:color w:val="auto"/>
        </w:rPr>
      </w:pPr>
    </w:p>
    <w:p>
      <w:pPr>
        <w:ind w:right="2119" w:firstLine="1374"/>
        <w:spacing w:after="0" w:line="314" w:lineRule="auto"/>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5 percent of the class of securities, check the following: </w:t>
      </w:r>
      <w:r>
        <w:rPr>
          <w:sz w:val="1"/>
          <w:szCs w:val="1"/>
          <w:color w:val="auto"/>
        </w:rPr>
        <w:drawing>
          <wp:inline distT="0" distB="0" distL="0" distR="0">
            <wp:extent cx="94615" cy="1028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4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5 Percent on Behalf of Another Person.</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820" w:right="2099" w:hanging="809"/>
        <w:spacing w:after="0" w:line="275" w:lineRule="auto"/>
        <w:tabs>
          <w:tab w:leader="none" w:pos="8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tabs>
          <w:tab w:leader="none" w:pos="7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31" w:lineRule="exact"/>
        <w:rPr>
          <w:sz w:val="20"/>
          <w:szCs w:val="20"/>
          <w:color w:val="auto"/>
        </w:rPr>
      </w:pPr>
    </w:p>
    <w:p>
      <w:pPr>
        <w:jc w:val="both"/>
        <w:ind w:right="2119" w:firstLine="1374"/>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540"/>
        <w:spacing w:after="0"/>
        <w:rPr>
          <w:sz w:val="20"/>
          <w:szCs w:val="20"/>
          <w:color w:val="auto"/>
        </w:rPr>
      </w:pPr>
      <w:r>
        <w:rPr>
          <w:rFonts w:ascii="Arial" w:cs="Arial" w:eastAsia="Arial" w:hAnsi="Arial"/>
          <w:sz w:val="18"/>
          <w:szCs w:val="18"/>
          <w:b w:val="1"/>
          <w:bCs w:val="1"/>
          <w:u w:val="single" w:color="auto"/>
          <w:color w:val="auto"/>
        </w:rPr>
        <w:t>SIGNATURE</w:t>
      </w:r>
    </w:p>
    <w:p>
      <w:pPr>
        <w:spacing w:after="0" w:line="231" w:lineRule="exact"/>
        <w:rPr>
          <w:sz w:val="20"/>
          <w:szCs w:val="20"/>
          <w:color w:val="auto"/>
        </w:rPr>
      </w:pPr>
    </w:p>
    <w:p>
      <w:pPr>
        <w:jc w:val="both"/>
        <w:ind w:right="2119" w:firstLine="1374"/>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Dated as of June 30, 2008.</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Riofisa Holding, S.L.</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Oscar Merino</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Oscar Merino, Secretary</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lowerLetter"/>
      <w:start w:val="1"/>
    </w:lvl>
  </w:abstractNum>
  <w:abstractNum w:abstractNumId="1">
    <w:nsid w:val="507ED7AB"/>
    <w:multiLevelType w:val="hybridMultilevel"/>
    <w:lvl w:ilvl="0">
      <w:lvlJc w:val="left"/>
      <w:lvlText w:val="%1."/>
      <w:numFmt w:val="decimal"/>
      <w:start w:val="6"/>
    </w:lvl>
  </w:abstractNum>
  <w:abstractNum w:abstractNumId="2">
    <w:nsid w:val="2EB141F2"/>
    <w:multiLevelType w:val="hybridMultilevel"/>
    <w:lvl w:ilvl="0">
      <w:lvlJc w:val="left"/>
      <w:lvlText w:val="%1."/>
      <w:numFmt w:val="decimal"/>
      <w:start w:val="7"/>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2019-12-20T00:38:54Z</dcterms:created>
  <dcterms:modified xsi:type="dcterms:W3CDTF">2019-12-20T00:38:54Z</dcterms:modified>
</cp:coreProperties>
</file>