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color w:val="auto"/>
        </w:rPr>
        <w:t>April 29,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73-1309529</w:t>
      </w:r>
    </w:p>
    <w:p>
      <w:pPr>
        <w:spacing w:after="0" w:line="50" w:lineRule="exact"/>
        <w:rPr>
          <w:sz w:val="24"/>
          <w:szCs w:val="24"/>
          <w:color w:val="auto"/>
        </w:rPr>
      </w:pPr>
    </w:p>
    <w:p>
      <w:pPr>
        <w:sectPr>
          <w:pgSz w:w="11900" w:h="16838" w:orient="portrait"/>
          <w:cols w:equalWidth="0" w:num="3">
            <w:col w:w="4820" w:space="720"/>
            <w:col w:w="2900" w:space="720"/>
            <w:col w:w="2140"/>
          </w:cols>
          <w:pgMar w:left="240" w:top="449" w:right="35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3">
            <w:col w:w="4280" w:space="720"/>
            <w:col w:w="2820" w:space="720"/>
            <w:col w:w="2760"/>
          </w:cols>
          <w:pgMar w:left="240" w:top="449" w:right="359" w:bottom="1440" w:gutter="0" w:footer="0" w:header="0"/>
          <w:type w:val="continuous"/>
        </w:sectPr>
      </w:pPr>
    </w:p>
    <w:p>
      <w:pPr>
        <w:ind w:left="2300"/>
        <w:spacing w:after="0"/>
        <w:rPr>
          <w:sz w:val="20"/>
          <w:szCs w:val="20"/>
          <w:color w:val="auto"/>
        </w:rPr>
      </w:pPr>
      <w:r>
        <w:rPr>
          <w:rFonts w:ascii="Arial" w:cs="Arial" w:eastAsia="Arial" w:hAnsi="Arial"/>
          <w:sz w:val="16"/>
          <w:szCs w:val="16"/>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61" w:lineRule="exact"/>
        <w:rPr>
          <w:sz w:val="24"/>
          <w:szCs w:val="24"/>
          <w:color w:val="auto"/>
        </w:rPr>
      </w:pPr>
    </w:p>
    <w:p>
      <w:pPr>
        <w:sectPr>
          <w:pgSz w:w="11900" w:h="16838" w:orient="portrait"/>
          <w:cols w:equalWidth="0" w:num="2">
            <w:col w:w="8660" w:space="720"/>
            <w:col w:w="1920"/>
          </w:cols>
          <w:pgMar w:left="240" w:top="449" w:right="359" w:bottom="1440" w:gutter="0" w:footer="0" w:header="0"/>
          <w:type w:val="continuous"/>
        </w:sectPr>
      </w:pPr>
    </w:p>
    <w:p>
      <w:pPr>
        <w:ind w:left="26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540" w:space="720"/>
            <w:col w:w="2040"/>
          </w:cols>
          <w:pgMar w:left="240" w:top="449"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first quarter of 2015,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16632898. To access a replay telephonically, please dial (855) 859-2056 and use the replay conference ID number 16632898.</w:t>
      </w:r>
    </w:p>
    <w:p>
      <w:pPr>
        <w:spacing w:after="0" w:line="188" w:lineRule="exact"/>
        <w:rPr>
          <w:sz w:val="20"/>
          <w:szCs w:val="20"/>
          <w:color w:val="auto"/>
        </w:rPr>
      </w:pPr>
    </w:p>
    <w:p>
      <w:pPr>
        <w:jc w:val="both"/>
        <w:ind w:right="520" w:firstLine="456"/>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addition to the non-GAAP measures contained and reconciled in the press release, management is also expected to discuss adjusted income from operations, adjusted income from operations as a percent of revenues, adjusted operating EBITDA, adjusted operating EBITDA as a percent of revenues, and adjusted operating expenses as a percent of revenues. Each of these non-GAAP measures excludes certain items noted in the tables below. Management believes these non-GAAP measures are helpful to investors evaluating the Company’s performance because certain non-cash costs or other items that management believes are not representative of our performance or indicative of our results of operations are excluded. Reconciliations of these non-GAAP measures to the most comparable GAAP measures are shown below.</w:t>
      </w:r>
    </w:p>
    <w:p>
      <w:pPr>
        <w:spacing w:after="0" w:line="178"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Company defines operating EBITDA as income from operations before depreciation and amortization; this measure may not be comparable to similarly titled measures reported by other companies. Management uses this non-GAAP measure as an indicator of the Company’s operating performance and ability to pay dividends, fund acquisitions, capital expenditures and other investments and, in the absence of refinancing, to repay debt obligations. Adjusted operating EBTIDA should not be considered an alternative to net income, income from operations or net cash provided by operating activities.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Quarter Ended</w:t>
      </w:r>
    </w:p>
    <w:p>
      <w:pPr>
        <w:ind w:left="9500"/>
        <w:spacing w:after="0" w:line="236"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Adjusted Operating EBITDA and each as a Percent of Revenues</w:t>
            </w:r>
          </w:p>
        </w:tc>
        <w:tc>
          <w:tcPr>
            <w:tcW w:w="460" w:type="dxa"/>
            <w:vAlign w:val="bottom"/>
          </w:tcPr>
          <w:p>
            <w:pPr>
              <w:spacing w:after="0"/>
              <w:rPr>
                <w:sz w:val="10"/>
                <w:szCs w:val="10"/>
                <w:color w:val="auto"/>
              </w:rPr>
            </w:pPr>
          </w:p>
        </w:tc>
        <w:tc>
          <w:tcPr>
            <w:tcW w:w="12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As a % of</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88"/>
        </w:trPr>
        <w:tc>
          <w:tcPr>
            <w:tcW w:w="8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174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$3,040</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440</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Adjustment to income from operations: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(a)</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8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income from operations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454 (b)</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14.9% (b)</w:t>
            </w:r>
          </w:p>
        </w:tc>
        <w:tc>
          <w:tcPr>
            <w:tcW w:w="0" w:type="dxa"/>
            <w:vAlign w:val="bottom"/>
          </w:tcPr>
          <w:p>
            <w:pPr>
              <w:spacing w:after="0"/>
              <w:rPr>
                <w:sz w:val="1"/>
                <w:szCs w:val="1"/>
                <w:color w:val="auto"/>
              </w:rPr>
            </w:pPr>
          </w:p>
        </w:tc>
      </w:tr>
      <w:tr>
        <w:trPr>
          <w:trHeight w:val="216"/>
        </w:trPr>
        <w:tc>
          <w:tcPr>
            <w:tcW w:w="85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760"/>
              <w:spacing w:after="0"/>
              <w:rPr>
                <w:sz w:val="20"/>
                <w:szCs w:val="20"/>
                <w:color w:val="auto"/>
              </w:rPr>
            </w:pPr>
            <w:r>
              <w:rPr>
                <w:rFonts w:ascii="Arial" w:cs="Arial" w:eastAsia="Arial" w:hAnsi="Arial"/>
                <w:sz w:val="18"/>
                <w:szCs w:val="18"/>
                <w:color w:val="auto"/>
              </w:rPr>
              <w:t>292</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8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operating EBITDA</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746 (c)</w:t>
            </w: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24.5% (c)</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4"/>
          </w:tcPr>
          <w:p>
            <w:pPr>
              <w:ind w:left="34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tcPr>
          <w:p>
            <w:pPr>
              <w:ind w:left="320"/>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119"/>
        </w:trPr>
        <w:tc>
          <w:tcPr>
            <w:tcW w:w="85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2"/>
              </w:rPr>
              <w:t>Adjusted Income from Operations, Adjusted Operating EBITDA and each as a Percent of Adjusted Revenues</w:t>
            </w:r>
          </w:p>
        </w:tc>
        <w:tc>
          <w:tcPr>
            <w:tcW w:w="460" w:type="dxa"/>
            <w:vAlign w:val="bottom"/>
          </w:tcPr>
          <w:p>
            <w:pPr>
              <w:spacing w:after="0"/>
              <w:rPr>
                <w:sz w:val="10"/>
                <w:szCs w:val="10"/>
                <w:color w:val="auto"/>
              </w:rPr>
            </w:pPr>
          </w:p>
        </w:tc>
        <w:tc>
          <w:tcPr>
            <w:tcW w:w="12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As a % of</w:t>
            </w: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88"/>
        </w:trPr>
        <w:tc>
          <w:tcPr>
            <w:tcW w:w="8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1740" w:type="dxa"/>
            <w:vAlign w:val="bottom"/>
            <w:gridSpan w:val="4"/>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$3,396</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Adjustment to operating revenues: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Divested businesses and assets in 2014 </w:t>
            </w:r>
            <w:r>
              <w:rPr>
                <w:rFonts w:ascii="Arial" w:cs="Arial" w:eastAsia="Arial" w:hAnsi="Arial"/>
                <w:sz w:val="18"/>
                <w:szCs w:val="18"/>
                <w:b w:val="1"/>
                <w:bCs w:val="1"/>
                <w:color w:val="auto"/>
              </w:rPr>
              <w:t>(d)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w w:val="99"/>
              </w:rPr>
              <w:t>(218)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revenues</w:t>
            </w:r>
          </w:p>
        </w:tc>
        <w:tc>
          <w:tcPr>
            <w:tcW w:w="460" w:type="dxa"/>
            <w:vAlign w:val="bottom"/>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$3,178</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 as reported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469</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Adjustment to income from operations: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Divested businesses and assets in 2014 </w:t>
            </w:r>
            <w:r>
              <w:rPr>
                <w:rFonts w:ascii="Arial" w:cs="Arial" w:eastAsia="Arial" w:hAnsi="Arial"/>
                <w:sz w:val="18"/>
                <w:szCs w:val="18"/>
                <w:b w:val="1"/>
                <w:bCs w:val="1"/>
                <w:color w:val="auto"/>
              </w:rPr>
              <w:t>(d)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Adjusted income from operations</w:t>
            </w:r>
          </w:p>
        </w:tc>
        <w:tc>
          <w:tcPr>
            <w:tcW w:w="4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433 (b)</w:t>
            </w:r>
          </w:p>
        </w:tc>
        <w:tc>
          <w:tcPr>
            <w:tcW w:w="1100" w:type="dxa"/>
            <w:vAlign w:val="bottom"/>
            <w:gridSpan w:val="2"/>
          </w:tcPr>
          <w:p>
            <w:pPr>
              <w:ind w:left="280"/>
              <w:spacing w:after="0"/>
              <w:rPr>
                <w:sz w:val="20"/>
                <w:szCs w:val="20"/>
                <w:color w:val="auto"/>
              </w:rPr>
            </w:pPr>
            <w:r>
              <w:rPr>
                <w:rFonts w:ascii="Arial" w:cs="Arial" w:eastAsia="Arial" w:hAnsi="Arial"/>
                <w:sz w:val="18"/>
                <w:szCs w:val="18"/>
                <w:b w:val="1"/>
                <w:bCs w:val="1"/>
                <w:color w:val="auto"/>
              </w:rPr>
              <w:t>13.6% (b)</w:t>
            </w:r>
          </w:p>
        </w:tc>
        <w:tc>
          <w:tcPr>
            <w:tcW w:w="0" w:type="dxa"/>
            <w:vAlign w:val="bottom"/>
          </w:tcPr>
          <w:p>
            <w:pPr>
              <w:spacing w:after="0"/>
              <w:rPr>
                <w:sz w:val="1"/>
                <w:szCs w:val="1"/>
                <w:color w:val="auto"/>
              </w:rPr>
            </w:pPr>
          </w:p>
        </w:tc>
      </w:tr>
      <w:tr>
        <w:trPr>
          <w:trHeight w:val="108"/>
        </w:trPr>
        <w:tc>
          <w:tcPr>
            <w:tcW w:w="8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Adjusted depreciation and amortization</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b w:val="1"/>
                <w:bCs w:val="1"/>
                <w:color w:val="auto"/>
              </w:rPr>
              <w:t>(e)</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858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EBITDA</w:t>
            </w:r>
          </w:p>
        </w:tc>
        <w:tc>
          <w:tcPr>
            <w:tcW w:w="4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735 (c)</w:t>
            </w:r>
          </w:p>
        </w:tc>
        <w:tc>
          <w:tcPr>
            <w:tcW w:w="1100" w:type="dxa"/>
            <w:vAlign w:val="bottom"/>
            <w:gridSpan w:val="2"/>
          </w:tcPr>
          <w:p>
            <w:pPr>
              <w:ind w:left="280"/>
              <w:spacing w:after="0"/>
              <w:rPr>
                <w:sz w:val="20"/>
                <w:szCs w:val="20"/>
                <w:color w:val="auto"/>
              </w:rPr>
            </w:pPr>
            <w:r>
              <w:rPr>
                <w:rFonts w:ascii="Arial" w:cs="Arial" w:eastAsia="Arial" w:hAnsi="Arial"/>
                <w:sz w:val="18"/>
                <w:szCs w:val="18"/>
                <w:b w:val="1"/>
                <w:bCs w:val="1"/>
                <w:color w:val="auto"/>
              </w:rPr>
              <w:t>23.1% (c)</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Non-GAAP Measures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Expenses as a Percent of Revenues</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revenues,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Operating expenses, as reported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12007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1280"/>
        <w:spacing w:after="0" w:line="223" w:lineRule="auto"/>
        <w:rPr>
          <w:sz w:val="20"/>
          <w:szCs w:val="20"/>
          <w:color w:val="auto"/>
        </w:rPr>
      </w:pPr>
      <w:r>
        <w:rPr>
          <w:rFonts w:ascii="Arial" w:cs="Arial" w:eastAsia="Arial" w:hAnsi="Arial"/>
          <w:sz w:val="14"/>
          <w:szCs w:val="14"/>
          <w:b w:val="1"/>
          <w:bCs w:val="1"/>
          <w:color w:val="auto"/>
        </w:rPr>
        <w:t>As a % of</w:t>
      </w:r>
    </w:p>
    <w:p>
      <w:pPr>
        <w:ind w:left="20"/>
        <w:spacing w:after="0"/>
        <w:tabs>
          <w:tab w:leader="none" w:pos="1260" w:val="left"/>
        </w:tabs>
        <w:rPr>
          <w:sz w:val="20"/>
          <w:szCs w:val="20"/>
          <w:color w:val="auto"/>
        </w:rPr>
      </w:pPr>
      <w:r>
        <w:rPr>
          <w:rFonts w:ascii="Arial" w:cs="Arial" w:eastAsia="Arial" w:hAnsi="Arial"/>
          <w:sz w:val="14"/>
          <w:szCs w:val="14"/>
          <w:b w:val="1"/>
          <w:bCs w:val="1"/>
          <w:u w:val="single" w:color="auto"/>
          <w:color w:val="auto"/>
        </w:rPr>
        <w:t>Amount</w:t>
      </w:r>
      <w:r>
        <w:rPr>
          <w:sz w:val="20"/>
          <w:szCs w:val="20"/>
          <w:color w:val="auto"/>
        </w:rPr>
        <w:tab/>
      </w:r>
      <w:r>
        <w:rPr>
          <w:rFonts w:ascii="Arial" w:cs="Arial" w:eastAsia="Arial" w:hAnsi="Arial"/>
          <w:sz w:val="14"/>
          <w:szCs w:val="14"/>
          <w:b w:val="1"/>
          <w:bCs w:val="1"/>
          <w:u w:val="single" w:color="auto"/>
          <w:color w:val="auto"/>
        </w:rPr>
        <w:t>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$ 3,040</w:t>
      </w:r>
    </w:p>
    <w:p>
      <w:pPr>
        <w:spacing w:after="0" w:line="11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$1,946 (f)</w:t>
      </w:r>
      <w:r>
        <w:rPr>
          <w:sz w:val="20"/>
          <w:szCs w:val="20"/>
          <w:color w:val="auto"/>
        </w:rPr>
        <w:tab/>
      </w:r>
      <w:r>
        <w:rPr>
          <w:rFonts w:ascii="Arial" w:cs="Arial" w:eastAsia="Arial" w:hAnsi="Arial"/>
          <w:sz w:val="17"/>
          <w:szCs w:val="17"/>
          <w:b w:val="1"/>
          <w:bCs w:val="1"/>
          <w:color w:val="auto"/>
        </w:rPr>
        <w:t>64.0% (f)</w:t>
      </w:r>
    </w:p>
    <w:p>
      <w:pPr>
        <w:spacing w:after="0" w:line="200" w:lineRule="exact"/>
        <w:rPr>
          <w:sz w:val="20"/>
          <w:szCs w:val="20"/>
          <w:color w:val="auto"/>
        </w:rPr>
      </w:pPr>
    </w:p>
    <w:p>
      <w:pPr>
        <w:sectPr>
          <w:pgSz w:w="11900" w:h="16838" w:orient="portrait"/>
          <w:cols w:equalWidth="0" w:num="2">
            <w:col w:w="8360" w:space="720"/>
            <w:col w:w="2340"/>
          </w:cols>
          <w:pgMar w:left="240" w:top="270" w:right="239" w:bottom="1440" w:gutter="0" w:footer="0" w:header="0"/>
          <w:type w:val="continuous"/>
        </w:sectPr>
      </w:pPr>
    </w:p>
    <w:p>
      <w:pPr>
        <w:spacing w:after="0" w:line="21"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Quarter Ended</w:t>
      </w:r>
    </w:p>
    <w:p>
      <w:pPr>
        <w:ind w:left="9540"/>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9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Operating Expenses as a Percent of Adjusted Revenues</w:t>
            </w:r>
          </w:p>
        </w:tc>
        <w:tc>
          <w:tcPr>
            <w:tcW w:w="214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As a % of</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vMerge w:val="continue"/>
          </w:tcPr>
          <w:p>
            <w:pPr>
              <w:spacing w:after="0"/>
              <w:rPr>
                <w:sz w:val="14"/>
                <w:szCs w:val="14"/>
                <w:color w:val="auto"/>
              </w:rPr>
            </w:pPr>
          </w:p>
        </w:tc>
        <w:tc>
          <w:tcPr>
            <w:tcW w:w="2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88"/>
        </w:trPr>
        <w:tc>
          <w:tcPr>
            <w:tcW w:w="6940" w:type="dxa"/>
            <w:vAlign w:val="bottom"/>
          </w:tcPr>
          <w:p>
            <w:pPr>
              <w:spacing w:after="0"/>
              <w:rPr>
                <w:sz w:val="7"/>
                <w:szCs w:val="7"/>
                <w:color w:val="auto"/>
              </w:rPr>
            </w:pPr>
          </w:p>
        </w:tc>
        <w:tc>
          <w:tcPr>
            <w:tcW w:w="21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revenues, as reported</w:t>
            </w:r>
          </w:p>
        </w:tc>
        <w:tc>
          <w:tcPr>
            <w:tcW w:w="34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$ 3,396</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Adjustment to revenues:</w:t>
            </w: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Divested businesses and assets in 2014 </w:t>
            </w:r>
            <w:r>
              <w:rPr>
                <w:rFonts w:ascii="Arial" w:cs="Arial" w:eastAsia="Arial" w:hAnsi="Arial"/>
                <w:sz w:val="18"/>
                <w:szCs w:val="18"/>
                <w:b w:val="1"/>
                <w:bCs w:val="1"/>
                <w:color w:val="auto"/>
              </w:rPr>
              <w:t>(d)</w:t>
            </w:r>
          </w:p>
        </w:tc>
        <w:tc>
          <w:tcPr>
            <w:tcW w:w="3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(218)</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revenues</w:t>
            </w:r>
          </w:p>
        </w:tc>
        <w:tc>
          <w:tcPr>
            <w:tcW w:w="21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$ 3,178</w:t>
            </w: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69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expenses, as reported</w:t>
            </w:r>
          </w:p>
        </w:tc>
        <w:tc>
          <w:tcPr>
            <w:tcW w:w="34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$ 2,232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Adjustment to operating expenses:</w:t>
            </w: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Divested businesses and assets in 2014 </w:t>
            </w:r>
            <w:r>
              <w:rPr>
                <w:rFonts w:ascii="Arial" w:cs="Arial" w:eastAsia="Arial" w:hAnsi="Arial"/>
                <w:sz w:val="18"/>
                <w:szCs w:val="18"/>
                <w:b w:val="1"/>
                <w:bCs w:val="1"/>
                <w:color w:val="auto"/>
              </w:rPr>
              <w:t>(d)</w:t>
            </w:r>
          </w:p>
        </w:tc>
        <w:tc>
          <w:tcPr>
            <w:tcW w:w="2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(155)</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940" w:type="dxa"/>
            <w:vAlign w:val="bottom"/>
          </w:tcPr>
          <w:p>
            <w:pPr>
              <w:ind w:left="360"/>
              <w:spacing w:after="0"/>
              <w:rPr>
                <w:sz w:val="20"/>
                <w:szCs w:val="20"/>
                <w:color w:val="auto"/>
              </w:rPr>
            </w:pPr>
            <w:r>
              <w:rPr>
                <w:rFonts w:ascii="Arial" w:cs="Arial" w:eastAsia="Arial" w:hAnsi="Arial"/>
                <w:sz w:val="18"/>
                <w:szCs w:val="18"/>
                <w:b w:val="1"/>
                <w:bCs w:val="1"/>
                <w:color w:val="auto"/>
              </w:rPr>
              <w:t>Adjusted operating expenses</w:t>
            </w:r>
          </w:p>
        </w:tc>
        <w:tc>
          <w:tcPr>
            <w:tcW w:w="342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$2,077 (f)</w:t>
            </w: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65.4% (f)</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64"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Includes net charges reflected in: i) the “asset impairments and unusual items” financial caption, primarily related to certain adjustments associated with the sale of our waste-to-energy business in December 2014 and an impairment of a landfill in Western Canada and ii) the “restructuring” financial caption.</w:t>
      </w:r>
    </w:p>
    <w:p>
      <w:pPr>
        <w:spacing w:after="0" w:line="86" w:lineRule="exact"/>
        <w:rPr>
          <w:rFonts w:ascii="Arial" w:cs="Arial" w:eastAsia="Arial" w:hAnsi="Arial"/>
          <w:sz w:val="18"/>
          <w:szCs w:val="18"/>
          <w:b w:val="1"/>
          <w:bCs w:val="1"/>
          <w:color w:val="auto"/>
        </w:rPr>
      </w:pPr>
    </w:p>
    <w:p>
      <w:pPr>
        <w:ind w:left="460" w:right="360" w:hanging="452"/>
        <w:spacing w:after="0" w:line="277"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income from operations for the first quarter of 2015 increased $21 million, or 130 basis points as a percent of revenues, as compared with adjusted results for the same period prior year.</w:t>
      </w:r>
    </w:p>
    <w:p>
      <w:pPr>
        <w:spacing w:after="0" w:line="75" w:lineRule="exact"/>
        <w:rPr>
          <w:rFonts w:ascii="Arial" w:cs="Arial" w:eastAsia="Arial" w:hAnsi="Arial"/>
          <w:sz w:val="18"/>
          <w:szCs w:val="18"/>
          <w:b w:val="1"/>
          <w:bCs w:val="1"/>
          <w:color w:val="auto"/>
        </w:rPr>
      </w:pPr>
    </w:p>
    <w:p>
      <w:pPr>
        <w:ind w:left="460" w:right="300" w:hanging="452"/>
        <w:spacing w:after="0" w:line="277"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operating EBITDA increased $11 million, or 140 basis points as a percent of revenues, compared with adjusted results for the same period prior year.</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Primarily includes the divestiture of our waste-to-energy business and other solid waste assets.</w:t>
      </w:r>
    </w:p>
    <w:p>
      <w:pPr>
        <w:spacing w:after="0" w:line="130" w:lineRule="exact"/>
        <w:rPr>
          <w:rFonts w:ascii="Arial" w:cs="Arial" w:eastAsia="Arial" w:hAnsi="Arial"/>
          <w:sz w:val="18"/>
          <w:szCs w:val="18"/>
          <w:b w:val="1"/>
          <w:bCs w:val="1"/>
          <w:color w:val="auto"/>
        </w:rPr>
      </w:pPr>
    </w:p>
    <w:p>
      <w:pPr>
        <w:ind w:left="460" w:right="140" w:hanging="452"/>
        <w:spacing w:after="0" w:line="277"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Depreciation and amortization for the first quarter of 2014 was $317 million, as reported. After excluding $15 million attributed to divested assets and operations, depreciation and amortization was $302 million.</w:t>
      </w:r>
    </w:p>
    <w:p>
      <w:pPr>
        <w:spacing w:after="0" w:line="75" w:lineRule="exact"/>
        <w:rPr>
          <w:rFonts w:ascii="Arial" w:cs="Arial" w:eastAsia="Arial" w:hAnsi="Arial"/>
          <w:sz w:val="18"/>
          <w:szCs w:val="18"/>
          <w:b w:val="1"/>
          <w:bCs w:val="1"/>
          <w:color w:val="auto"/>
        </w:rPr>
      </w:pPr>
    </w:p>
    <w:p>
      <w:pPr>
        <w:ind w:left="460" w:right="680" w:hanging="452"/>
        <w:spacing w:after="0" w:line="277"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as a percent of revenues improved 140 basis points to 64.0%, and improved $131 million, in the first quarter of 2015, after adjusting for divestitures.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Press Release dated April 29,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840" w:type="dxa"/>
            <w:vAlign w:val="bottom"/>
            <w:gridSpan w:val="2"/>
          </w:tcPr>
          <w:p>
            <w:pPr>
              <w:ind w:left="2320"/>
              <w:spacing w:after="0"/>
              <w:rPr>
                <w:sz w:val="20"/>
                <w:szCs w:val="20"/>
                <w:color w:val="auto"/>
              </w:rPr>
            </w:pPr>
            <w:r>
              <w:rPr>
                <w:rFonts w:ascii="Arial" w:cs="Arial" w:eastAsia="Arial" w:hAnsi="Arial"/>
                <w:sz w:val="18"/>
                <w:szCs w:val="18"/>
                <w:color w:val="auto"/>
              </w:rPr>
              <w:t>WASTE MANAGEMENT,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April 29, 2015</w:t>
            </w:r>
          </w:p>
        </w:tc>
        <w:tc>
          <w:tcPr>
            <w:tcW w:w="784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Barry H. Caldwell</w:t>
            </w:r>
          </w:p>
        </w:tc>
      </w:tr>
      <w:tr>
        <w:trPr>
          <w:trHeight w:val="195"/>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Barry H. Caldwell</w:t>
            </w:r>
          </w:p>
        </w:tc>
      </w:tr>
      <w:tr>
        <w:trPr>
          <w:trHeight w:val="216"/>
        </w:trPr>
        <w:tc>
          <w:tcPr>
            <w:tcW w:w="3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Corporate Affairs</w:t>
            </w:r>
          </w:p>
        </w:tc>
      </w:tr>
      <w:tr>
        <w:trPr>
          <w:trHeight w:val="230"/>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Legal Officer</w:t>
            </w:r>
          </w:p>
        </w:tc>
      </w:tr>
      <w:tr>
        <w:trPr>
          <w:trHeight w:val="378"/>
        </w:trPr>
        <w:tc>
          <w:tcPr>
            <w:tcW w:w="3580" w:type="dxa"/>
            <w:vAlign w:val="bottom"/>
          </w:tcPr>
          <w:p>
            <w:pPr>
              <w:spacing w:after="0"/>
              <w:rPr>
                <w:sz w:val="24"/>
                <w:szCs w:val="24"/>
                <w:color w:val="auto"/>
              </w:rPr>
            </w:pPr>
          </w:p>
        </w:tc>
        <w:tc>
          <w:tcPr>
            <w:tcW w:w="260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 w:name="page6"/>
    <w:bookmarkEnd w:id="5"/>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6350</wp:posOffset>
            </wp:positionV>
            <wp:extent cx="6569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9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29, 2015</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270" w:right="1440" w:bottom="1440" w:gutter="0" w:footer="0" w:header="0"/>
        </w:sectPr>
      </w:pPr>
    </w:p>
    <w:bookmarkStart w:id="6" w:name="page7"/>
    <w:bookmarkEnd w:id="6"/>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8" w:lineRule="exact"/>
        <w:rPr>
          <w:sz w:val="20"/>
          <w:szCs w:val="20"/>
          <w:color w:val="auto"/>
        </w:rPr>
      </w:pPr>
    </w:p>
    <w:p>
      <w:pPr>
        <w:jc w:val="center"/>
        <w:spacing w:after="0" w:line="256" w:lineRule="auto"/>
        <w:rPr>
          <w:sz w:val="20"/>
          <w:szCs w:val="20"/>
          <w:color w:val="auto"/>
        </w:rPr>
      </w:pPr>
      <w:r>
        <w:rPr>
          <w:rFonts w:ascii="Arial" w:cs="Arial" w:eastAsia="Arial" w:hAnsi="Arial"/>
          <w:sz w:val="40"/>
          <w:szCs w:val="40"/>
          <w:color w:val="auto"/>
        </w:rPr>
        <w:t>Waste Management Announces First Quarter Earnings</w:t>
      </w:r>
    </w:p>
    <w:p>
      <w:pPr>
        <w:spacing w:after="0" w:line="144"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Disciplined Core Price Growth and Continued Cost Control Focus Contributed</w:t>
      </w:r>
    </w:p>
    <w:p>
      <w:pPr>
        <w:spacing w:after="0" w:line="2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to Solid Quarter</w:t>
      </w:r>
    </w:p>
    <w:p>
      <w:pPr>
        <w:spacing w:after="0" w:line="24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Company Reaffirms Full-Year Guidance</w:t>
      </w:r>
    </w:p>
    <w:p>
      <w:pPr>
        <w:spacing w:after="0" w:line="266"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b w:val="1"/>
          <w:bCs w:val="1"/>
          <w:color w:val="auto"/>
        </w:rPr>
        <w:t>HOUSTON — April 29, 2015</w:t>
      </w:r>
      <w:r>
        <w:rPr>
          <w:rFonts w:ascii="Arial" w:cs="Arial" w:eastAsia="Arial" w:hAnsi="Arial"/>
          <w:sz w:val="16"/>
          <w:szCs w:val="16"/>
          <w:color w:val="auto"/>
        </w:rPr>
        <w:t>— 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ended March 31, 2015. Revenues for the first quarter of 2015 were $3.0 billion compared with $3.4 billion for the same 2014 period. Net loss </w:t>
      </w:r>
      <w:r>
        <w:rPr>
          <w:rFonts w:ascii="Arial" w:cs="Arial" w:eastAsia="Arial" w:hAnsi="Arial"/>
          <w:sz w:val="13"/>
          <w:szCs w:val="13"/>
          <w:color w:val="auto"/>
        </w:rPr>
        <w:t>(a)</w:t>
      </w:r>
      <w:r>
        <w:rPr>
          <w:rFonts w:ascii="Arial" w:cs="Arial" w:eastAsia="Arial" w:hAnsi="Arial"/>
          <w:sz w:val="16"/>
          <w:szCs w:val="16"/>
          <w:color w:val="auto"/>
        </w:rPr>
        <w:t xml:space="preserve"> for the quarter was $129 million, or $0.28 per diluted share, compared with net income of $228 million, or $0.49 per diluted share, for the first quarter of 2014. On an as-adjusted basis, excluding certain items, net income would have been $227 million, or $0.49 per diluted share, in the first quarter of 2015 compared with $212 million, or $0.45 per diluted share, in the first quarter of 2014.</w:t>
      </w:r>
      <w:r>
        <w:rPr>
          <w:rFonts w:ascii="Arial" w:cs="Arial" w:eastAsia="Arial" w:hAnsi="Arial"/>
          <w:sz w:val="13"/>
          <w:szCs w:val="13"/>
          <w:color w:val="auto"/>
        </w:rPr>
        <w:t>(b)</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as-adjusted first quarter 2015 results exclude a $0.74 per diluted share loss on early extinguishment of debt as well as a $0.03 per diluted share impact from non-cash charges related to post-closing adjustments that reduced the gain on the sale of certain operations in 2014 and an impairment of a short-lived landfill asset. In order to provide a meaningful comparison to 2015 results, the Company’s first quarter 2014 results have been adjusted to exclude the earnings from businesses and assets divested in 2014, which provided $0.04 per diluted share to the first quarter of 2014.</w:t>
      </w:r>
      <w:r>
        <w:rPr>
          <w:rFonts w:ascii="Arial" w:cs="Arial" w:eastAsia="Arial" w:hAnsi="Arial"/>
          <w:sz w:val="15"/>
          <w:szCs w:val="15"/>
          <w:color w:val="auto"/>
        </w:rPr>
        <w:t>(b)</w:t>
      </w:r>
    </w:p>
    <w:p>
      <w:pPr>
        <w:spacing w:after="0" w:line="22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David P. Steiner, President and Chief Executive Officer of Waste Management, commented, “We are pleased with our first quarter results. We continue to see the benefit from disciplined core price growth and cost controls. Our adjusted net income, operating income and margin, and earnings per diluted share improved when compared to the first quarter of 2014, despite year over year headwinds of $0.03 per diluted share from lower recycling commodity prices and the unfavorable impact of foreign currency fluctuations.</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we re-invested a portion of the proceeds from the sale of our waste-to-energy business. We completed the acquisition of Deffenbaugh Disposal. Once fully integrated, Deffenbaugh should add about $52 million of annual operating EBITDA.</w:t>
      </w:r>
      <w:r>
        <w:rPr>
          <w:rFonts w:ascii="Arial" w:cs="Arial" w:eastAsia="Arial" w:hAnsi="Arial"/>
          <w:sz w:val="15"/>
          <w:szCs w:val="15"/>
          <w:color w:val="auto"/>
        </w:rPr>
        <w:t>(b)</w:t>
      </w:r>
      <w:r>
        <w:rPr>
          <w:rFonts w:ascii="Arial" w:cs="Arial" w:eastAsia="Arial" w:hAnsi="Arial"/>
          <w:sz w:val="18"/>
          <w:szCs w:val="18"/>
          <w:color w:val="auto"/>
        </w:rPr>
        <w:t xml:space="preserve"> We also refinanced high interest rate notes to generate interest savings in 2015 and beyond.”</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2015</w:t>
      </w:r>
    </w:p>
    <w:p>
      <w:pPr>
        <w:spacing w:after="0" w:line="135" w:lineRule="exact"/>
        <w:rPr>
          <w:sz w:val="20"/>
          <w:szCs w:val="20"/>
          <w:color w:val="auto"/>
        </w:rPr>
      </w:pPr>
    </w:p>
    <w:p>
      <w:pPr>
        <w:ind w:left="700" w:hanging="242"/>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revenue growth from yield for collection and disposal operations was 2.0%.</w:t>
      </w:r>
    </w:p>
    <w:p>
      <w:pPr>
        <w:spacing w:after="0" w:line="130" w:lineRule="exact"/>
        <w:rPr>
          <w:rFonts w:ascii="Arial" w:cs="Arial" w:eastAsia="Arial" w:hAnsi="Arial"/>
          <w:sz w:val="18"/>
          <w:szCs w:val="18"/>
          <w:color w:val="auto"/>
        </w:rPr>
      </w:pPr>
    </w:p>
    <w:p>
      <w:pPr>
        <w:ind w:left="720" w:right="280" w:hanging="262"/>
        <w:spacing w:after="0" w:line="277"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Core price, which consists of price increases and fees, other than the Company’s fuel surcharge, net of rollbacks, was 4.4%, up from 4.2% in the first quarter of 2014. </w:t>
      </w:r>
      <w:r>
        <w:rPr>
          <w:rFonts w:ascii="Arial" w:cs="Arial" w:eastAsia="Arial" w:hAnsi="Arial"/>
          <w:sz w:val="15"/>
          <w:szCs w:val="15"/>
          <w:color w:val="auto"/>
        </w:rPr>
        <w:t>(c)</w:t>
      </w:r>
    </w:p>
    <w:p>
      <w:pPr>
        <w:spacing w:after="0" w:line="75" w:lineRule="exact"/>
        <w:rPr>
          <w:rFonts w:ascii="Arial" w:cs="Arial" w:eastAsia="Arial" w:hAnsi="Arial"/>
          <w:sz w:val="18"/>
          <w:szCs w:val="18"/>
          <w:color w:val="auto"/>
        </w:rPr>
      </w:pPr>
    </w:p>
    <w:p>
      <w:pPr>
        <w:ind w:left="720" w:right="60" w:hanging="262"/>
        <w:spacing w:after="0" w:line="277"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revenue growth from volume in the Company’s traditional solid waste business declined 1.2% in the first quarter of 2015 versus a decline of 3.2% in the first quarter of 2014.</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spacing w:after="0" w:line="391" w:lineRule="auto"/>
        <w:rPr>
          <w:sz w:val="20"/>
          <w:szCs w:val="20"/>
          <w:color w:val="auto"/>
        </w:rPr>
      </w:pPr>
      <w:r>
        <w:rPr>
          <w:rFonts w:ascii="Arial" w:cs="Arial" w:eastAsia="Arial" w:hAnsi="Arial"/>
          <w:sz w:val="18"/>
          <w:szCs w:val="18"/>
          <w:b w:val="1"/>
          <w:bCs w:val="1"/>
          <w:color w:val="auto"/>
        </w:rPr>
        <w:t>FOR MORE INFORMATION Waste Management Web site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Toni Beck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tbeck3@wm.com</w:t>
      </w:r>
    </w:p>
    <w:p>
      <w:pPr>
        <w:sectPr>
          <w:pgSz w:w="11900" w:h="16838" w:orient="portrait"/>
          <w:cols w:equalWidth="0" w:num="2">
            <w:col w:w="8340" w:space="360"/>
            <w:col w:w="2720"/>
          </w:cols>
          <w:pgMar w:left="240" w:top="121" w:right="239" w:bottom="1440" w:gutter="0" w:footer="0" w:header="0"/>
        </w:sectPr>
      </w:pPr>
    </w:p>
    <w:bookmarkStart w:id="7" w:name="page8"/>
    <w:bookmarkEnd w:id="7"/>
    <w:p>
      <w:pPr>
        <w:ind w:left="720" w:right="1899" w:hanging="262"/>
        <w:spacing w:after="0" w:line="255"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Overall revenue declined by 10.5%, or $356 million. Virtually all of the $356 million revenue decline can be attributed to a $220 million decline from divestitures, a $70 million decline from lower recycling revenues, $36 million in lower fuel surcharge revenue and $25 million in foreign currency fluctuations. Looking at the solid waste side of the business, revenue was virtually flat, with increased revenue from high margin collection and landfill lines of business offsetting revenue declines in the lower margin residential and national account lines.</w:t>
      </w:r>
    </w:p>
    <w:p>
      <w:pPr>
        <w:spacing w:after="0" w:line="98" w:lineRule="exact"/>
        <w:rPr>
          <w:rFonts w:ascii="Arial" w:cs="Arial" w:eastAsia="Arial" w:hAnsi="Arial"/>
          <w:sz w:val="18"/>
          <w:szCs w:val="18"/>
          <w:color w:val="auto"/>
        </w:rPr>
      </w:pPr>
    </w:p>
    <w:p>
      <w:pPr>
        <w:ind w:left="720" w:right="1999" w:hanging="262"/>
        <w:spacing w:after="0" w:line="259" w:lineRule="auto"/>
        <w:tabs>
          <w:tab w:leader="none" w:pos="683"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recycling commodity prices were approximately 14.1% lower in the first quarter of 2015 compared with the prior year period. Recycling volumes declined 8.0% in the first quarter. In total, recycling operations negatively affected earnings by $0.02 per diluted share when compared to the prior year period.</w:t>
      </w:r>
    </w:p>
    <w:p>
      <w:pPr>
        <w:spacing w:after="0" w:line="92" w:lineRule="exact"/>
        <w:rPr>
          <w:rFonts w:ascii="Arial" w:cs="Arial" w:eastAsia="Arial" w:hAnsi="Arial"/>
          <w:sz w:val="18"/>
          <w:szCs w:val="18"/>
          <w:color w:val="auto"/>
        </w:rPr>
      </w:pPr>
    </w:p>
    <w:p>
      <w:pPr>
        <w:ind w:left="720" w:right="1959" w:hanging="262"/>
        <w:spacing w:after="0" w:line="257"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expenses improved by $286 million compared to the prior year period. Excluding divestitures, operating expenses improved $131 million.</w:t>
      </w:r>
      <w:r>
        <w:rPr>
          <w:rFonts w:ascii="Arial" w:cs="Arial" w:eastAsia="Arial" w:hAnsi="Arial"/>
          <w:sz w:val="15"/>
          <w:szCs w:val="15"/>
          <w:color w:val="auto"/>
        </w:rPr>
        <w:t>(b)</w:t>
      </w:r>
      <w:r>
        <w:rPr>
          <w:rFonts w:ascii="Arial" w:cs="Arial" w:eastAsia="Arial" w:hAnsi="Arial"/>
          <w:sz w:val="18"/>
          <w:szCs w:val="18"/>
          <w:color w:val="auto"/>
        </w:rPr>
        <w:t xml:space="preserve"> Lower fuel and subcontractor costs, lower commodity rebates, and continued route optimization drove the improvement. As a percent of revenue, operating expenses were 64.0% in the first quarter of 2015, as compared to 65.7% in the first quarter of 2014, an improvement of 170 basis points.</w:t>
      </w:r>
    </w:p>
    <w:p>
      <w:pPr>
        <w:spacing w:after="0" w:line="93" w:lineRule="exact"/>
        <w:rPr>
          <w:rFonts w:ascii="Arial" w:cs="Arial" w:eastAsia="Arial" w:hAnsi="Arial"/>
          <w:sz w:val="18"/>
          <w:szCs w:val="18"/>
          <w:color w:val="auto"/>
        </w:rPr>
      </w:pPr>
    </w:p>
    <w:p>
      <w:pPr>
        <w:ind w:left="720" w:right="2439" w:hanging="262"/>
        <w:spacing w:after="0" w:line="342" w:lineRule="auto"/>
        <w:tabs>
          <w:tab w:leader="none" w:pos="693" w:val="left"/>
        </w:tabs>
        <w:numPr>
          <w:ilvl w:val="0"/>
          <w:numId w:val="4"/>
        </w:numPr>
        <w:rPr>
          <w:rFonts w:ascii="Arial" w:cs="Arial" w:eastAsia="Arial" w:hAnsi="Arial"/>
          <w:sz w:val="16"/>
          <w:szCs w:val="16"/>
          <w:color w:val="auto"/>
        </w:rPr>
      </w:pPr>
      <w:r>
        <w:rPr>
          <w:rFonts w:ascii="Arial" w:cs="Arial" w:eastAsia="Arial" w:hAnsi="Arial"/>
          <w:sz w:val="16"/>
          <w:szCs w:val="16"/>
          <w:color w:val="auto"/>
        </w:rPr>
        <w:t>SG&amp;A expenses improved by $27 million compared with the first quarter of 2014. Excluding divestitures, SG&amp;A expenses improved by $15 million compared with the first quarter of 2014.</w:t>
      </w:r>
      <w:r>
        <w:rPr>
          <w:rFonts w:ascii="Arial" w:cs="Arial" w:eastAsia="Arial" w:hAnsi="Arial"/>
          <w:sz w:val="13"/>
          <w:szCs w:val="13"/>
          <w:color w:val="auto"/>
        </w:rPr>
        <w:t>(b)</w:t>
      </w:r>
    </w:p>
    <w:p>
      <w:pPr>
        <w:spacing w:after="0" w:line="29" w:lineRule="exact"/>
        <w:rPr>
          <w:rFonts w:ascii="Arial" w:cs="Arial" w:eastAsia="Arial" w:hAnsi="Arial"/>
          <w:sz w:val="16"/>
          <w:szCs w:val="16"/>
          <w:color w:val="auto"/>
        </w:rPr>
      </w:pPr>
    </w:p>
    <w:p>
      <w:pPr>
        <w:ind w:left="720" w:right="1979" w:hanging="262"/>
        <w:spacing w:after="0" w:line="264"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 was $499 million, compared to $584 million in the first quarter of 2014, with divestitures driving $57 million of the decline. Capital expenditures were $233 million. The Company had $19 million of divestiture proceeds in the quarter.</w:t>
      </w:r>
    </w:p>
    <w:p>
      <w:pPr>
        <w:spacing w:after="0" w:line="86" w:lineRule="exact"/>
        <w:rPr>
          <w:rFonts w:ascii="Arial" w:cs="Arial" w:eastAsia="Arial" w:hAnsi="Arial"/>
          <w:sz w:val="18"/>
          <w:szCs w:val="18"/>
          <w:color w:val="auto"/>
        </w:rPr>
      </w:pPr>
    </w:p>
    <w:p>
      <w:pPr>
        <w:jc w:val="both"/>
        <w:ind w:left="720" w:right="2119" w:hanging="262"/>
        <w:spacing w:after="0" w:line="264"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improved by $22 million, to $285 million, in the first quarter of 2015, compared to free cash flow for the first quarter of 2014. The comparison excludes the impacts to first quarter 2014 free cash flow of divested operations and assets.</w:t>
      </w:r>
      <w:r>
        <w:rPr>
          <w:rFonts w:ascii="Arial" w:cs="Arial" w:eastAsia="Arial" w:hAnsi="Arial"/>
          <w:sz w:val="15"/>
          <w:szCs w:val="15"/>
          <w:color w:val="auto"/>
        </w:rPr>
        <w:t>(b)</w:t>
      </w:r>
    </w:p>
    <w:p>
      <w:pPr>
        <w:spacing w:after="0" w:line="86" w:lineRule="exact"/>
        <w:rPr>
          <w:rFonts w:ascii="Arial" w:cs="Arial" w:eastAsia="Arial" w:hAnsi="Arial"/>
          <w:sz w:val="18"/>
          <w:szCs w:val="18"/>
          <w:color w:val="auto"/>
        </w:rPr>
      </w:pPr>
    </w:p>
    <w:p>
      <w:pPr>
        <w:ind w:left="700" w:hanging="24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returned $176 million to shareholders in the form of dividends.</w:t>
      </w:r>
    </w:p>
    <w:p>
      <w:pPr>
        <w:spacing w:after="0" w:line="130" w:lineRule="exact"/>
        <w:rPr>
          <w:rFonts w:ascii="Arial" w:cs="Arial" w:eastAsia="Arial" w:hAnsi="Arial"/>
          <w:sz w:val="18"/>
          <w:szCs w:val="18"/>
          <w:color w:val="auto"/>
        </w:rPr>
      </w:pPr>
    </w:p>
    <w:p>
      <w:pPr>
        <w:ind w:left="720" w:right="1899" w:hanging="262"/>
        <w:spacing w:after="0" w:line="342" w:lineRule="auto"/>
        <w:tabs>
          <w:tab w:leader="none" w:pos="69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effective tax rate was approximately 41.0%. Adjusting for items excluded from the Company’s as-adjusted results, the tax rate was 34.2%, in line with the Company’s expected full-year tax rate of 35%.</w:t>
      </w:r>
      <w:r>
        <w:rPr>
          <w:rFonts w:ascii="Arial" w:cs="Arial" w:eastAsia="Arial" w:hAnsi="Arial"/>
          <w:sz w:val="13"/>
          <w:szCs w:val="13"/>
          <w:color w:val="auto"/>
        </w:rPr>
        <w:t>(b)</w:t>
      </w:r>
    </w:p>
    <w:p>
      <w:pPr>
        <w:spacing w:after="0" w:line="151" w:lineRule="exact"/>
        <w:rPr>
          <w:sz w:val="20"/>
          <w:szCs w:val="20"/>
          <w:color w:val="auto"/>
        </w:rPr>
      </w:pPr>
    </w:p>
    <w:p>
      <w:pPr>
        <w:ind w:right="2059"/>
        <w:spacing w:after="0" w:line="270" w:lineRule="auto"/>
        <w:rPr>
          <w:sz w:val="20"/>
          <w:szCs w:val="20"/>
          <w:color w:val="auto"/>
        </w:rPr>
      </w:pPr>
      <w:r>
        <w:rPr>
          <w:rFonts w:ascii="Arial" w:cs="Arial" w:eastAsia="Arial" w:hAnsi="Arial"/>
          <w:sz w:val="17"/>
          <w:szCs w:val="17"/>
          <w:color w:val="auto"/>
        </w:rPr>
        <w:t>Steiner concluded, “First quarter results put us on track to achieve our full year guidance. Volumes in our traditional solid waste business were a negative 1.2% in the quarter, but we saw some very positive trends in our commercial and industrial lines. The rate of decline in our commercial volumes moderated and was 200 basis points better than the rate of decline in the first quarter of 2014. Similarly, our industrial volumes were 520 basis points better than the first quarter of 2014. Both lines of business had the lowest rate of decline in seven quarters. Consequently, although total revenue in the quarter was down more than we expected, the revenue decline was primarily in low margin lines or resulting from external factors like foreign currency. The revenue and volume trends in our most profitable lines of business are encouraging, and we expect them to improve as we see our normal seasonal upturn.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“At the beginning of the year, we gave guidance that our 2015 adjusted earnings per diluted share would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between $2.48 and $2.55 for the full year, including a negative $0.03 to $0.05 diluted earnings per share headwind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recycling commodities. The annual impact from the recycling business is now anticipated to be closer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$0.10 per diluted share. We will continue to work to improve our recycling contracts and to implement additional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operational improvements. Despite the increased recycling headwind, we still anticipate adjusted earnings per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diluted share to be within the guidance range. We also expect to achieve our full year free cash flow guidance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between $1.4 and $1.5 billion.” </w:t>
      </w:r>
      <w:r>
        <w:rPr>
          <w:rFonts w:ascii="Arial" w:cs="Arial" w:eastAsia="Arial" w:hAnsi="Arial"/>
          <w:sz w:val="15"/>
          <w:szCs w:val="15"/>
          <w:color w:val="auto"/>
        </w:rPr>
        <w:t>(b)</w:t>
      </w:r>
    </w:p>
    <w:p>
      <w:pPr>
        <w:sectPr>
          <w:pgSz w:w="11900" w:h="16838" w:orient="portrait"/>
          <w:cols w:equalWidth="0" w:num="1">
            <w:col w:w="10219"/>
          </w:cols>
          <w:pgMar w:left="240" w:top="274" w:right="1440" w:bottom="1440" w:gutter="0" w:footer="0" w:header="0"/>
        </w:sectPr>
      </w:pPr>
    </w:p>
    <w:bookmarkStart w:id="8" w:name="page9"/>
    <w:bookmarkEnd w:id="8"/>
    <w:p>
      <w:pPr>
        <w:ind w:left="720" w:right="2199" w:hanging="352"/>
        <w:spacing w:after="0" w:line="256"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531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495" cy="8890"/>
                    </a:xfrm>
                    <a:prstGeom prst="rect">
                      <a:avLst/>
                    </a:prstGeom>
                    <a:noFill/>
                  </pic:spPr>
                </pic:pic>
              </a:graphicData>
            </a:graphic>
          </wp:anchor>
        </w:drawing>
        <w:t>For purposes of this press release, all references to “Net loss” and “Net income” refer to the financial statement line items “Net income (loss) attributable to Waste Management, Inc.” and “Net income attributable to Waste Management, Inc.,” respectively.</w:t>
      </w:r>
    </w:p>
    <w:p>
      <w:pPr>
        <w:ind w:left="720" w:right="1919" w:hanging="352"/>
        <w:spacing w:after="0" w:line="268" w:lineRule="auto"/>
        <w:tabs>
          <w:tab w:leader="none" w:pos="74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operating expenses, SG&amp;A expenses, and our effective tax rate have been presented in certain instances excluding items identified in the reconciliations provided.</w:t>
      </w:r>
    </w:p>
    <w:p>
      <w:pPr>
        <w:spacing w:after="0" w:line="87" w:lineRule="exact"/>
        <w:rPr>
          <w:sz w:val="20"/>
          <w:szCs w:val="20"/>
          <w:color w:val="auto"/>
        </w:rPr>
      </w:pPr>
    </w:p>
    <w:p>
      <w:pPr>
        <w:ind w:left="720" w:right="1879"/>
        <w:spacing w:after="0" w:line="288" w:lineRule="auto"/>
        <w:rPr>
          <w:sz w:val="20"/>
          <w:szCs w:val="20"/>
          <w:color w:val="auto"/>
        </w:rPr>
      </w:pPr>
      <w:r>
        <w:rPr>
          <w:rFonts w:ascii="Arial" w:cs="Arial" w:eastAsia="Arial" w:hAnsi="Arial"/>
          <w:sz w:val="16"/>
          <w:szCs w:val="16"/>
          <w:color w:val="auto"/>
        </w:rPr>
        <w:t>The Company’s projected full year 2015 earnings per diluted share is not based on GAAP net earnings per diluted share and are anticipated to be adjusted to exclude the effects of events or circumstances in 2015 that are not representative or indicative of the Company’s results of operations including the items excluded from our as-adjusted first quarter results.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projected earnings growth to a GAAP earnings per diluted share projection.</w:t>
      </w:r>
    </w:p>
    <w:p>
      <w:pPr>
        <w:spacing w:after="0" w:line="75" w:lineRule="exact"/>
        <w:rPr>
          <w:sz w:val="20"/>
          <w:szCs w:val="20"/>
          <w:color w:val="auto"/>
        </w:rPr>
      </w:pPr>
    </w:p>
    <w:p>
      <w:pPr>
        <w:ind w:left="720" w:right="1979"/>
        <w:spacing w:after="0" w:line="270" w:lineRule="auto"/>
        <w:rPr>
          <w:sz w:val="20"/>
          <w:szCs w:val="20"/>
          <w:color w:val="auto"/>
        </w:rPr>
      </w:pPr>
      <w:r>
        <w:rPr>
          <w:rFonts w:ascii="Arial" w:cs="Arial" w:eastAsia="Arial" w:hAnsi="Arial"/>
          <w:sz w:val="17"/>
          <w:szCs w:val="17"/>
          <w:color w:val="auto"/>
        </w:rPr>
        <w:t>The Company also discusses free cash flow and provides projections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83" w:lineRule="exact"/>
        <w:rPr>
          <w:sz w:val="20"/>
          <w:szCs w:val="20"/>
          <w:color w:val="auto"/>
        </w:rPr>
      </w:pPr>
    </w:p>
    <w:p>
      <w:pPr>
        <w:ind w:left="1060" w:hanging="24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1060" w:hanging="242"/>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1060" w:hanging="242"/>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Plus, proceeds from divestitures of businesses (net of cash divested) and other sales of assets.</w:t>
      </w:r>
    </w:p>
    <w:p>
      <w:pPr>
        <w:spacing w:after="0" w:line="142" w:lineRule="exact"/>
        <w:rPr>
          <w:sz w:val="20"/>
          <w:szCs w:val="20"/>
          <w:color w:val="auto"/>
        </w:rPr>
      </w:pPr>
    </w:p>
    <w:p>
      <w:pPr>
        <w:ind w:left="720" w:right="1879"/>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76" w:lineRule="exact"/>
        <w:rPr>
          <w:sz w:val="20"/>
          <w:szCs w:val="20"/>
          <w:color w:val="auto"/>
        </w:rPr>
      </w:pPr>
    </w:p>
    <w:p>
      <w:pPr>
        <w:ind w:left="720" w:right="2219"/>
        <w:spacing w:after="0" w:line="284" w:lineRule="auto"/>
        <w:rPr>
          <w:sz w:val="20"/>
          <w:szCs w:val="20"/>
          <w:color w:val="auto"/>
        </w:rPr>
      </w:pPr>
      <w:r>
        <w:rPr>
          <w:rFonts w:ascii="Arial" w:cs="Arial" w:eastAsia="Arial" w:hAnsi="Arial"/>
          <w:sz w:val="16"/>
          <w:szCs w:val="16"/>
          <w:color w:val="auto"/>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 and investors are urged to take into account GAAP measures as well as non-GAAP measures in evaluating the Company. Management refers to GAAP income from operations before depreciation and amortization as “operating EBITDA.”</w:t>
      </w:r>
    </w:p>
    <w:p>
      <w:pPr>
        <w:spacing w:after="0" w:line="5" w:lineRule="exact"/>
        <w:rPr>
          <w:sz w:val="20"/>
          <w:szCs w:val="20"/>
          <w:color w:val="auto"/>
        </w:rPr>
      </w:pPr>
    </w:p>
    <w:p>
      <w:pPr>
        <w:ind w:left="720" w:right="1879" w:hanging="352"/>
        <w:spacing w:after="0" w:line="261"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Core price is a performance metric used by management and is based on certain historical assumptions to allow for comparability between reporting periods.</w:t>
      </w:r>
    </w:p>
    <w:p>
      <w:pPr>
        <w:spacing w:after="0" w:line="211" w:lineRule="exact"/>
        <w:rPr>
          <w:sz w:val="20"/>
          <w:szCs w:val="20"/>
          <w:color w:val="auto"/>
        </w:rPr>
      </w:pPr>
    </w:p>
    <w:p>
      <w:pPr>
        <w:ind w:right="1919"/>
        <w:spacing w:after="0" w:line="264" w:lineRule="auto"/>
        <w:rPr>
          <w:sz w:val="20"/>
          <w:szCs w:val="20"/>
          <w:color w:val="auto"/>
        </w:rPr>
      </w:pPr>
      <w:r>
        <w:rPr>
          <w:rFonts w:ascii="Arial" w:cs="Arial" w:eastAsia="Arial" w:hAnsi="Arial"/>
          <w:sz w:val="18"/>
          <w:szCs w:val="18"/>
          <w:color w:val="auto"/>
        </w:rPr>
        <w:t>The Company will host a conference call at 10:00 AM (Eastern) today to discuss the first quarter 2015 results. Information contained within this press release will be referenced and should be considered in conjunction with the call.</w:t>
      </w:r>
    </w:p>
    <w:p>
      <w:pPr>
        <w:spacing w:after="0" w:line="208" w:lineRule="exact"/>
        <w:rPr>
          <w:sz w:val="20"/>
          <w:szCs w:val="20"/>
          <w:color w:val="auto"/>
        </w:rPr>
      </w:pPr>
    </w:p>
    <w:p>
      <w:pPr>
        <w:ind w:right="2059"/>
        <w:spacing w:after="0" w:line="302"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16632898 when prompted by the conference call operator.</w:t>
      </w:r>
    </w:p>
    <w:p>
      <w:pPr>
        <w:sectPr>
          <w:pgSz w:w="11900" w:h="16838" w:orient="portrait"/>
          <w:cols w:equalWidth="0" w:num="1">
            <w:col w:w="10219"/>
          </w:cols>
          <w:pgMar w:left="240" w:top="463" w:right="1440" w:bottom="1440" w:gutter="0" w:footer="0" w:header="0"/>
        </w:sectPr>
      </w:pPr>
    </w:p>
    <w:bookmarkStart w:id="9" w:name="page10"/>
    <w:bookmarkEnd w:id="9"/>
    <w:p>
      <w:pPr>
        <w:ind w:right="2039"/>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replay of the conference call will be available on the Company’s website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and by telephone from approximately 1:00 PM (Eastern) Wednesday, April 29, 2015 through 5:00 PM (Eastern) on Wednesday, May 13, 2015. To access the replay telephonically, please dial (855) 859-2056, or from outside of the United States or Canada dial (404) 537-3406, and use the replay conference ID number 16632898.</w:t>
      </w:r>
    </w:p>
    <w:p>
      <w:pPr>
        <w:spacing w:after="0" w:line="198" w:lineRule="exact"/>
        <w:rPr>
          <w:sz w:val="20"/>
          <w:szCs w:val="20"/>
          <w:color w:val="auto"/>
        </w:rPr>
      </w:pPr>
    </w:p>
    <w:p>
      <w:pPr>
        <w:ind w:right="1899"/>
        <w:spacing w:after="0" w:line="285"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2015 earnings per diluted share; 2015 free cash flow; future results from yield management and cost controls; refinancing of retired debt and related interest savings; volume trends and improvements; future recycling commodity prices; results from recycling operations; and operating EBITDA from the acquired Deffenbaugh Disposal operations.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35" w:lineRule="exact"/>
        <w:rPr>
          <w:sz w:val="20"/>
          <w:szCs w:val="20"/>
          <w:color w:val="auto"/>
        </w:rPr>
      </w:pPr>
    </w:p>
    <w:p>
      <w:pPr>
        <w:ind w:right="1899"/>
        <w:spacing w:after="0" w:line="255"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220"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9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Restructuring</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Loss on early extinguishment of debt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losses of unconsolidated entities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Consolidated net income (loss)</w:t>
            </w:r>
          </w:p>
        </w:tc>
        <w:tc>
          <w:tcPr>
            <w:tcW w:w="1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458.5</w:t>
            </w:r>
          </w:p>
        </w:tc>
        <w:tc>
          <w:tcPr>
            <w:tcW w:w="3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5600"/>
              <w:spacing w:after="0"/>
              <w:rPr>
                <w:sz w:val="20"/>
                <w:szCs w:val="20"/>
                <w:color w:val="auto"/>
              </w:rPr>
            </w:pPr>
            <w:r>
              <w:rPr>
                <w:rFonts w:ascii="Arial" w:cs="Arial" w:eastAsia="Arial" w:hAnsi="Arial"/>
                <w:sz w:val="18"/>
                <w:szCs w:val="18"/>
                <w:b w:val="1"/>
                <w:bCs w:val="1"/>
                <w:color w:val="auto"/>
              </w:rPr>
              <w:t>(1)</w:t>
            </w:r>
          </w:p>
        </w:tc>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180" w:type="dxa"/>
            <w:vAlign w:val="bottom"/>
            <w:gridSpan w:val="2"/>
          </w:tcPr>
          <w:p>
            <w:pPr>
              <w:spacing w:after="0"/>
              <w:rPr>
                <w:sz w:val="20"/>
                <w:szCs w:val="20"/>
                <w:color w:val="auto"/>
              </w:rPr>
            </w:pPr>
            <w:r>
              <w:rPr>
                <w:rFonts w:ascii="Arial" w:cs="Arial" w:eastAsia="Arial" w:hAnsi="Arial"/>
                <w:sz w:val="18"/>
                <w:szCs w:val="18"/>
                <w:color w:val="auto"/>
              </w:rPr>
              <w:t>Net income (loss) attributable to Waste Management, Inc.</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457.8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Effect of using weighted average common shares outstanding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center"/>
              <w:ind w:left="154"/>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jc w:val="right"/>
              <w:ind w:right="2270"/>
              <w:spacing w:after="0"/>
              <w:rPr>
                <w:sz w:val="20"/>
                <w:szCs w:val="20"/>
                <w:color w:val="auto"/>
              </w:rPr>
            </w:pPr>
            <w:r>
              <w:rPr>
                <w:rFonts w:ascii="Arial" w:cs="Arial" w:eastAsia="Arial" w:hAnsi="Arial"/>
                <w:sz w:val="18"/>
                <w:szCs w:val="18"/>
                <w:b w:val="1"/>
                <w:bCs w:val="1"/>
                <w:color w:val="auto"/>
              </w:rPr>
              <w:t>(2)</w:t>
            </w: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20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Goodwill</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5,855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assets</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976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20,691</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4200" w:type="dxa"/>
            <w:vAlign w:val="bottom"/>
            <w:gridSpan w:val="2"/>
          </w:tcPr>
          <w:p>
            <w:pPr>
              <w:ind w:left="40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2,105</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liabilities</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3,804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15,116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15,523</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Waste Management, Inc. stockholders’ equity</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4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Arial" w:cs="Arial" w:eastAsia="Arial" w:hAnsi="Arial"/>
                <w:sz w:val="18"/>
                <w:szCs w:val="18"/>
                <w:color w:val="auto"/>
              </w:rPr>
              <w:t>Total liabilities and equity</w:t>
            </w:r>
          </w:p>
        </w:tc>
        <w:tc>
          <w:tcPr>
            <w:tcW w:w="4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20,691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40" w:type="dxa"/>
            <w:vAlign w:val="bottom"/>
            <w:vMerge w:val="restart"/>
          </w:tcPr>
          <w:p>
            <w:pPr>
              <w:jc w:val="right"/>
              <w:ind w:right="329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5"/>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Consolidated net income (loss)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70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2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Acquisitions of businesses, net of cash acquired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unconsolidated entities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8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 borrowings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1,817</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Debt repayments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Premiums paid on early extinguishment of debt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Cash dividends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 of common stock options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jc w:val="right"/>
              <w:ind w:right="2370"/>
              <w:spacing w:after="0"/>
              <w:rPr>
                <w:sz w:val="20"/>
                <w:szCs w:val="20"/>
                <w:color w:val="auto"/>
              </w:rPr>
            </w:pPr>
            <w:r>
              <w:rPr>
                <w:rFonts w:ascii="Arial" w:cs="Arial" w:eastAsia="Arial" w:hAnsi="Arial"/>
                <w:sz w:val="18"/>
                <w:szCs w:val="18"/>
                <w:b w:val="1"/>
                <w:bCs w:val="1"/>
                <w:color w:val="auto"/>
              </w:rPr>
              <w:t>(4)</w:t>
            </w: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Operating Revenues by Lines of Business</w:t>
            </w:r>
          </w:p>
        </w:tc>
        <w:tc>
          <w:tcPr>
            <w:tcW w:w="4920" w:type="dxa"/>
            <w:vAlign w:val="bottom"/>
            <w:gridSpan w:val="3"/>
            <w:vMerge w:val="restart"/>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gridSpan w:val="6"/>
          </w:tcPr>
          <w:p>
            <w:pPr>
              <w:spacing w:after="0" w:line="133" w:lineRule="exact"/>
              <w:rPr>
                <w:sz w:val="20"/>
                <w:szCs w:val="20"/>
                <w:color w:val="auto"/>
              </w:rPr>
            </w:pPr>
            <w:r>
              <w:rPr>
                <w:rFonts w:ascii="Arial" w:cs="Arial" w:eastAsia="Arial" w:hAnsi="Arial"/>
                <w:sz w:val="14"/>
                <w:szCs w:val="14"/>
                <w:b w:val="1"/>
                <w:bCs w:val="1"/>
                <w:color w:val="auto"/>
                <w:w w:val="95"/>
              </w:rPr>
              <w:t>March 31,</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gridSpan w:val="7"/>
          </w:tcPr>
          <w:p>
            <w:pPr>
              <w:jc w:val="right"/>
              <w:ind w:right="500"/>
              <w:spacing w:after="0" w:line="133" w:lineRule="exact"/>
              <w:rPr>
                <w:sz w:val="20"/>
                <w:szCs w:val="20"/>
                <w:color w:val="auto"/>
              </w:rPr>
            </w:pPr>
            <w:r>
              <w:rPr>
                <w:rFonts w:ascii="Arial" w:cs="Arial" w:eastAsia="Arial" w:hAnsi="Arial"/>
                <w:sz w:val="14"/>
                <w:szCs w:val="14"/>
                <w:b w:val="1"/>
                <w:bCs w:val="1"/>
                <w:color w:val="auto"/>
                <w:w w:val="90"/>
              </w:rPr>
              <w:t>December 31,</w:t>
            </w:r>
          </w:p>
        </w:tc>
        <w:tc>
          <w:tcPr>
            <w:tcW w:w="6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540" w:type="dxa"/>
            <w:vAlign w:val="bottom"/>
            <w:tcBorders>
              <w:bottom w:val="single" w:sz="8" w:color="auto"/>
            </w:tcBorders>
            <w:gridSpan w:val="2"/>
            <w:vMerge w:val="continue"/>
          </w:tcPr>
          <w:p>
            <w:pPr>
              <w:spacing w:after="0"/>
              <w:rPr>
                <w:sz w:val="15"/>
                <w:szCs w:val="15"/>
                <w:color w:val="auto"/>
              </w:rPr>
            </w:pPr>
          </w:p>
        </w:tc>
        <w:tc>
          <w:tcPr>
            <w:tcW w:w="492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83"/>
              </w:rPr>
              <w:t>2015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60" w:type="dxa"/>
            <w:vAlign w:val="bottom"/>
            <w:tcBorders>
              <w:top w:val="single" w:sz="8" w:color="CCEEFF"/>
            </w:tcBorders>
            <w:gridSpan w:val="5"/>
            <w:shd w:val="clear" w:color="auto" w:fill="CCEEFF"/>
          </w:tcPr>
          <w:p>
            <w:pPr>
              <w:spacing w:after="0" w:line="189" w:lineRule="exact"/>
              <w:rPr>
                <w:sz w:val="20"/>
                <w:szCs w:val="20"/>
                <w:color w:val="auto"/>
              </w:rPr>
            </w:pPr>
            <w:r>
              <w:rPr>
                <w:rFonts w:ascii="Arial" w:cs="Arial" w:eastAsia="Arial" w:hAnsi="Arial"/>
                <w:sz w:val="18"/>
                <w:szCs w:val="18"/>
                <w:color w:val="auto"/>
              </w:rPr>
              <w:t>Collection</w:t>
            </w: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righ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60" w:type="dxa"/>
            <w:vAlign w:val="bottom"/>
            <w:gridSpan w:val="5"/>
          </w:tcPr>
          <w:p>
            <w:pPr>
              <w:ind w:left="36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820</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838</w:t>
            </w:r>
          </w:p>
        </w:tc>
        <w:tc>
          <w:tcPr>
            <w:tcW w:w="5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93"/>
              </w:rPr>
              <w:t>846</w:t>
            </w: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629</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71"/>
              <w:spacing w:after="0"/>
              <w:rPr>
                <w:sz w:val="20"/>
                <w:szCs w:val="20"/>
                <w:color w:val="auto"/>
              </w:rPr>
            </w:pPr>
            <w:r>
              <w:rPr>
                <w:rFonts w:ascii="Arial" w:cs="Arial" w:eastAsia="Arial" w:hAnsi="Arial"/>
                <w:sz w:val="18"/>
                <w:szCs w:val="18"/>
                <w:color w:val="auto"/>
                <w:w w:val="93"/>
              </w:rPr>
              <w:t>635</w:t>
            </w:r>
          </w:p>
        </w:tc>
        <w:tc>
          <w:tcPr>
            <w:tcW w:w="0" w:type="dxa"/>
            <w:vAlign w:val="bottom"/>
          </w:tcPr>
          <w:p>
            <w:pPr>
              <w:spacing w:after="0"/>
              <w:rPr>
                <w:sz w:val="1"/>
                <w:szCs w:val="1"/>
                <w:color w:val="auto"/>
              </w:rPr>
            </w:pPr>
          </w:p>
        </w:tc>
      </w:tr>
      <w:tr>
        <w:trPr>
          <w:trHeight w:val="216"/>
        </w:trPr>
        <w:tc>
          <w:tcPr>
            <w:tcW w:w="7460" w:type="dxa"/>
            <w:vAlign w:val="bottom"/>
            <w:gridSpan w:val="5"/>
          </w:tcPr>
          <w:p>
            <w:pPr>
              <w:ind w:left="360"/>
              <w:spacing w:after="0"/>
              <w:rPr>
                <w:sz w:val="20"/>
                <w:szCs w:val="20"/>
                <w:color w:val="auto"/>
              </w:rPr>
            </w:pPr>
            <w:r>
              <w:rPr>
                <w:rFonts w:ascii="Arial" w:cs="Arial" w:eastAsia="Arial" w:hAnsi="Arial"/>
                <w:sz w:val="18"/>
                <w:szCs w:val="18"/>
                <w:color w:val="auto"/>
              </w:rPr>
              <w:t>Industrial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509</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555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93"/>
              </w:rPr>
              <w:t>516</w:t>
            </w: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7460" w:type="dxa"/>
            <w:vAlign w:val="bottom"/>
            <w:gridSpan w:val="5"/>
          </w:tcPr>
          <w:p>
            <w:pPr>
              <w:spacing w:after="0"/>
              <w:rPr>
                <w:sz w:val="20"/>
                <w:szCs w:val="20"/>
                <w:color w:val="auto"/>
              </w:rPr>
            </w:pPr>
            <w:r>
              <w:rPr>
                <w:rFonts w:ascii="Arial" w:cs="Arial" w:eastAsia="Arial" w:hAnsi="Arial"/>
                <w:sz w:val="18"/>
                <w:szCs w:val="18"/>
                <w:color w:val="auto"/>
              </w:rPr>
              <w:t>Total Collection</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7"/>
              </w:rPr>
              <w:t>2,017</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2,107</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727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71"/>
              <w:spacing w:after="0"/>
              <w:rPr>
                <w:sz w:val="20"/>
                <w:szCs w:val="20"/>
                <w:color w:val="auto"/>
              </w:rPr>
            </w:pPr>
            <w:r>
              <w:rPr>
                <w:rFonts w:ascii="Arial" w:cs="Arial" w:eastAsia="Arial" w:hAnsi="Arial"/>
                <w:sz w:val="18"/>
                <w:szCs w:val="18"/>
                <w:color w:val="auto"/>
                <w:w w:val="93"/>
              </w:rPr>
              <w:t>632</w:t>
            </w:r>
          </w:p>
        </w:tc>
        <w:tc>
          <w:tcPr>
            <w:tcW w:w="0" w:type="dxa"/>
            <w:vAlign w:val="bottom"/>
          </w:tcPr>
          <w:p>
            <w:pPr>
              <w:spacing w:after="0"/>
              <w:rPr>
                <w:sz w:val="1"/>
                <w:szCs w:val="1"/>
                <w:color w:val="auto"/>
              </w:rPr>
            </w:pPr>
          </w:p>
        </w:tc>
      </w:tr>
      <w:tr>
        <w:trPr>
          <w:trHeight w:val="216"/>
        </w:trPr>
        <w:tc>
          <w:tcPr>
            <w:tcW w:w="7460" w:type="dxa"/>
            <w:vAlign w:val="bottom"/>
            <w:gridSpan w:val="5"/>
          </w:tcPr>
          <w:p>
            <w:pPr>
              <w:spacing w:after="0"/>
              <w:rPr>
                <w:sz w:val="20"/>
                <w:szCs w:val="20"/>
                <w:color w:val="auto"/>
              </w:rPr>
            </w:pPr>
            <w:r>
              <w:rPr>
                <w:rFonts w:ascii="Arial" w:cs="Arial" w:eastAsia="Arial" w:hAnsi="Arial"/>
                <w:sz w:val="18"/>
                <w:szCs w:val="18"/>
                <w:color w:val="auto"/>
              </w:rPr>
              <w:t>Transfer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308</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336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93"/>
              </w:rPr>
              <w:t>306</w:t>
            </w: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Wheelabrator</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88"/>
              </w:rPr>
              <w:t>—</w:t>
            </w: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176</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71"/>
              <w:spacing w:after="0"/>
              <w:rPr>
                <w:sz w:val="20"/>
                <w:szCs w:val="20"/>
                <w:color w:val="auto"/>
              </w:rPr>
            </w:pPr>
            <w:r>
              <w:rPr>
                <w:rFonts w:ascii="Arial" w:cs="Arial" w:eastAsia="Arial" w:hAnsi="Arial"/>
                <w:sz w:val="18"/>
                <w:szCs w:val="18"/>
                <w:color w:val="auto"/>
                <w:w w:val="93"/>
              </w:rPr>
              <w:t>230</w:t>
            </w:r>
          </w:p>
        </w:tc>
        <w:tc>
          <w:tcPr>
            <w:tcW w:w="0" w:type="dxa"/>
            <w:vAlign w:val="bottom"/>
          </w:tcPr>
          <w:p>
            <w:pPr>
              <w:spacing w:after="0"/>
              <w:rPr>
                <w:sz w:val="1"/>
                <w:szCs w:val="1"/>
                <w:color w:val="auto"/>
              </w:rPr>
            </w:pPr>
          </w:p>
        </w:tc>
      </w:tr>
      <w:tr>
        <w:trPr>
          <w:trHeight w:val="216"/>
        </w:trPr>
        <w:tc>
          <w:tcPr>
            <w:tcW w:w="7460" w:type="dxa"/>
            <w:vAlign w:val="bottom"/>
            <w:gridSpan w:val="5"/>
          </w:tcPr>
          <w:p>
            <w:pPr>
              <w:spacing w:after="0"/>
              <w:rPr>
                <w:sz w:val="20"/>
                <w:szCs w:val="20"/>
                <w:color w:val="auto"/>
              </w:rPr>
            </w:pPr>
            <w:r>
              <w:rPr>
                <w:rFonts w:ascii="Arial" w:cs="Arial" w:eastAsia="Arial" w:hAnsi="Arial"/>
                <w:sz w:val="18"/>
                <w:szCs w:val="18"/>
                <w:color w:val="auto"/>
              </w:rPr>
              <w:t>Recycling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282</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321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93"/>
              </w:rPr>
              <w:t>347</w:t>
            </w: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373</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71"/>
              <w:spacing w:after="0"/>
              <w:rPr>
                <w:sz w:val="20"/>
                <w:szCs w:val="20"/>
                <w:color w:val="auto"/>
              </w:rPr>
            </w:pPr>
            <w:r>
              <w:rPr>
                <w:rFonts w:ascii="Arial" w:cs="Arial" w:eastAsia="Arial" w:hAnsi="Arial"/>
                <w:sz w:val="18"/>
                <w:szCs w:val="18"/>
                <w:color w:val="auto"/>
                <w:w w:val="93"/>
              </w:rPr>
              <w:t>387</w:t>
            </w:r>
          </w:p>
        </w:tc>
        <w:tc>
          <w:tcPr>
            <w:tcW w:w="0" w:type="dxa"/>
            <w:vAlign w:val="bottom"/>
          </w:tcPr>
          <w:p>
            <w:pPr>
              <w:spacing w:after="0"/>
              <w:rPr>
                <w:sz w:val="1"/>
                <w:szCs w:val="1"/>
                <w:color w:val="auto"/>
              </w:rPr>
            </w:pPr>
          </w:p>
        </w:tc>
      </w:tr>
      <w:tr>
        <w:trPr>
          <w:trHeight w:val="216"/>
        </w:trPr>
        <w:tc>
          <w:tcPr>
            <w:tcW w:w="7460" w:type="dxa"/>
            <w:vAlign w:val="bottom"/>
            <w:gridSpan w:val="5"/>
          </w:tcPr>
          <w:p>
            <w:pPr>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4"/>
          </w:tcPr>
          <w:p>
            <w:pPr>
              <w:jc w:val="right"/>
              <w:ind w:right="292"/>
              <w:spacing w:after="0"/>
              <w:rPr>
                <w:sz w:val="20"/>
                <w:szCs w:val="20"/>
                <w:color w:val="auto"/>
              </w:rPr>
            </w:pPr>
            <w:r>
              <w:rPr>
                <w:rFonts w:ascii="Arial" w:cs="Arial" w:eastAsia="Arial" w:hAnsi="Arial"/>
                <w:sz w:val="18"/>
                <w:szCs w:val="18"/>
                <w:color w:val="auto"/>
              </w:rPr>
              <w:t>(535)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(603)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95"/>
              </w:rPr>
              <w:t>(580)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Operating revenues</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3,040</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Quarters Ended</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10"/>
          </w:tcPr>
          <w:p>
            <w:pPr>
              <w:ind w:left="80"/>
              <w:spacing w:after="0" w:line="142" w:lineRule="exact"/>
              <w:rPr>
                <w:sz w:val="20"/>
                <w:szCs w:val="20"/>
                <w:color w:val="auto"/>
              </w:rPr>
            </w:pPr>
            <w:r>
              <w:rPr>
                <w:rFonts w:ascii="Arial" w:cs="Arial" w:eastAsia="Arial" w:hAnsi="Arial"/>
                <w:sz w:val="14"/>
                <w:szCs w:val="14"/>
                <w:b w:val="1"/>
                <w:bCs w:val="1"/>
                <w:color w:val="auto"/>
              </w:rPr>
              <w:t>March 31, 2015</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tcPr>
          <w:p>
            <w:pPr>
              <w:jc w:val="right"/>
              <w:ind w:right="151"/>
              <w:spacing w:after="0" w:line="142" w:lineRule="exact"/>
              <w:rPr>
                <w:sz w:val="20"/>
                <w:szCs w:val="20"/>
                <w:color w:val="auto"/>
              </w:rPr>
            </w:pPr>
            <w:r>
              <w:rPr>
                <w:rFonts w:ascii="Arial" w:cs="Arial" w:eastAsia="Arial" w:hAnsi="Arial"/>
                <w:sz w:val="14"/>
                <w:szCs w:val="14"/>
                <w:b w:val="1"/>
                <w:bCs w:val="1"/>
                <w:color w:val="auto"/>
              </w:rPr>
              <w:t>March 31, 2014</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160" w:type="dxa"/>
            <w:vAlign w:val="bottom"/>
            <w:gridSpan w:val="2"/>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0"/>
              </w:rPr>
              <w:t>As a %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Analysis of Change in Year Over Year Revenues</w:t>
            </w:r>
          </w:p>
        </w:tc>
        <w:tc>
          <w:tcPr>
            <w:tcW w:w="4460" w:type="dxa"/>
            <w:vAlign w:val="bottom"/>
            <w:gridSpan w:val="2"/>
            <w:vMerge w:val="restart"/>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tcPr>
          <w:p>
            <w:pPr>
              <w:jc w:val="center"/>
              <w:ind w:right="219"/>
              <w:spacing w:after="0" w:line="149" w:lineRule="exact"/>
              <w:rPr>
                <w:sz w:val="20"/>
                <w:szCs w:val="20"/>
                <w:color w:val="auto"/>
              </w:rPr>
            </w:pPr>
            <w:r>
              <w:rPr>
                <w:rFonts w:ascii="Arial" w:cs="Arial" w:eastAsia="Arial" w:hAnsi="Arial"/>
                <w:sz w:val="14"/>
                <w:szCs w:val="14"/>
                <w:color w:val="auto"/>
                <w:w w:val="96"/>
              </w:rPr>
              <w:t>Total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59"/>
        </w:trPr>
        <w:tc>
          <w:tcPr>
            <w:tcW w:w="3000" w:type="dxa"/>
            <w:vAlign w:val="bottom"/>
            <w:tcBorders>
              <w:bottom w:val="single" w:sz="8" w:color="auto"/>
            </w:tcBorders>
            <w:gridSpan w:val="3"/>
            <w:vMerge w:val="continue"/>
          </w:tcPr>
          <w:p>
            <w:pPr>
              <w:spacing w:after="0"/>
              <w:rPr>
                <w:sz w:val="13"/>
                <w:szCs w:val="13"/>
                <w:color w:val="auto"/>
              </w:rPr>
            </w:pPr>
          </w:p>
        </w:tc>
        <w:tc>
          <w:tcPr>
            <w:tcW w:w="446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gridSpan w:val="6"/>
          </w:tcPr>
          <w:p>
            <w:pPr>
              <w:spacing w:after="0" w:line="154" w:lineRule="exact"/>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4"/>
          </w:tcPr>
          <w:p>
            <w:pPr>
              <w:jc w:val="center"/>
              <w:ind w:right="59"/>
              <w:spacing w:after="0" w:line="154" w:lineRule="exact"/>
              <w:rPr>
                <w:sz w:val="20"/>
                <w:szCs w:val="20"/>
                <w:color w:val="auto"/>
              </w:rPr>
            </w:pPr>
            <w:r>
              <w:rPr>
                <w:rFonts w:ascii="Arial" w:cs="Arial" w:eastAsia="Arial" w:hAnsi="Arial"/>
                <w:sz w:val="14"/>
                <w:szCs w:val="14"/>
                <w:color w:val="auto"/>
                <w:w w:val="93"/>
              </w:rPr>
              <w:t>Company</w:t>
            </w:r>
          </w:p>
        </w:tc>
        <w:tc>
          <w:tcPr>
            <w:tcW w:w="340" w:type="dxa"/>
            <w:vAlign w:val="bottom"/>
          </w:tcPr>
          <w:p>
            <w:pPr>
              <w:spacing w:after="0"/>
              <w:rPr>
                <w:sz w:val="13"/>
                <w:szCs w:val="13"/>
                <w:color w:val="auto"/>
              </w:rPr>
            </w:pPr>
          </w:p>
        </w:tc>
        <w:tc>
          <w:tcPr>
            <w:tcW w:w="900" w:type="dxa"/>
            <w:vAlign w:val="bottom"/>
            <w:gridSpan w:val="5"/>
          </w:tcPr>
          <w:p>
            <w:pPr>
              <w:jc w:val="right"/>
              <w:ind w:right="440"/>
              <w:spacing w:after="0" w:line="154" w:lineRule="exact"/>
              <w:rPr>
                <w:sz w:val="20"/>
                <w:szCs w:val="20"/>
                <w:color w:val="auto"/>
              </w:rPr>
            </w:pPr>
            <w:r>
              <w:rPr>
                <w:rFonts w:ascii="Arial" w:cs="Arial" w:eastAsia="Arial" w:hAnsi="Arial"/>
                <w:sz w:val="14"/>
                <w:szCs w:val="14"/>
                <w:color w:val="auto"/>
                <w:w w:val="91"/>
              </w:rPr>
              <w:t>Amount</w:t>
            </w:r>
          </w:p>
        </w:tc>
        <w:tc>
          <w:tcPr>
            <w:tcW w:w="740" w:type="dxa"/>
            <w:vAlign w:val="bottom"/>
            <w:gridSpan w:val="4"/>
          </w:tcPr>
          <w:p>
            <w:pPr>
              <w:jc w:val="center"/>
              <w:ind w:right="220"/>
              <w:spacing w:after="0" w:line="154" w:lineRule="exact"/>
              <w:rPr>
                <w:sz w:val="20"/>
                <w:szCs w:val="20"/>
                <w:color w:val="auto"/>
              </w:rPr>
            </w:pPr>
            <w:r>
              <w:rPr>
                <w:rFonts w:ascii="Arial" w:cs="Arial" w:eastAsia="Arial" w:hAnsi="Arial"/>
                <w:sz w:val="14"/>
                <w:szCs w:val="14"/>
                <w:color w:val="auto"/>
                <w:w w:val="86"/>
              </w:rPr>
              <w:t>Company</w:t>
            </w:r>
          </w:p>
        </w:tc>
        <w:tc>
          <w:tcPr>
            <w:tcW w:w="0" w:type="dxa"/>
            <w:vAlign w:val="bottom"/>
          </w:tcPr>
          <w:p>
            <w:pPr>
              <w:spacing w:after="0"/>
              <w:rPr>
                <w:sz w:val="1"/>
                <w:szCs w:val="1"/>
                <w:color w:val="auto"/>
              </w:rPr>
            </w:pPr>
          </w:p>
        </w:tc>
      </w:tr>
      <w:tr>
        <w:trPr>
          <w:trHeight w:val="20"/>
        </w:trPr>
        <w:tc>
          <w:tcPr>
            <w:tcW w:w="7460" w:type="dxa"/>
            <w:vAlign w:val="bottom"/>
            <w:gridSpan w:val="5"/>
            <w:vMerge w:val="restart"/>
            <w:shd w:val="clear" w:color="auto" w:fill="CCEEFF"/>
          </w:tcPr>
          <w:p>
            <w:pPr>
              <w:ind w:left="36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380" w:type="dxa"/>
            <w:vAlign w:val="bottom"/>
            <w:vMerge w:val="restart"/>
            <w:shd w:val="clear" w:color="auto" w:fill="CCEEFF"/>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gridSpan w:val="2"/>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gridSpan w:val="5"/>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60" w:type="dxa"/>
            <w:vAlign w:val="bottom"/>
            <w:tcBorders>
              <w:left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(24)</w:t>
            </w:r>
          </w:p>
        </w:tc>
        <w:tc>
          <w:tcPr>
            <w:tcW w:w="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-0.7%</w:t>
            </w:r>
          </w:p>
        </w:tc>
        <w:tc>
          <w:tcPr>
            <w:tcW w:w="3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86</w:t>
            </w:r>
          </w:p>
        </w:tc>
        <w:tc>
          <w:tcPr>
            <w:tcW w:w="5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center"/>
              <w:ind w:left="71"/>
              <w:spacing w:after="0" w:line="203" w:lineRule="exact"/>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7460" w:type="dxa"/>
            <w:vAlign w:val="bottom"/>
            <w:gridSpan w:val="5"/>
          </w:tcPr>
          <w:p>
            <w:pPr>
              <w:ind w:left="360"/>
              <w:spacing w:after="0"/>
              <w:rPr>
                <w:sz w:val="20"/>
                <w:szCs w:val="20"/>
                <w:color w:val="auto"/>
              </w:rPr>
            </w:pPr>
            <w:r>
              <w:rPr>
                <w:rFonts w:ascii="Arial" w:cs="Arial" w:eastAsia="Arial" w:hAnsi="Arial"/>
                <w:sz w:val="18"/>
                <w:szCs w:val="18"/>
                <w:color w:val="auto"/>
              </w:rPr>
              <w:t>Volume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3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left w:val="single" w:sz="8" w:color="auto"/>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Internal revenue growth</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5"/>
              </w:rPr>
              <w:t>(119)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71"/>
              <w:spacing w:after="0"/>
              <w:rPr>
                <w:sz w:val="20"/>
                <w:szCs w:val="20"/>
                <w:color w:val="auto"/>
              </w:rPr>
            </w:pPr>
            <w:r>
              <w:rPr>
                <w:rFonts w:ascii="Arial" w:cs="Arial" w:eastAsia="Arial" w:hAnsi="Arial"/>
                <w:sz w:val="18"/>
                <w:szCs w:val="18"/>
                <w:color w:val="auto"/>
                <w:w w:val="87"/>
              </w:rPr>
              <w:t>0.8%</w:t>
            </w:r>
          </w:p>
        </w:tc>
        <w:tc>
          <w:tcPr>
            <w:tcW w:w="0" w:type="dxa"/>
            <w:vAlign w:val="bottom"/>
          </w:tcPr>
          <w:p>
            <w:pPr>
              <w:spacing w:after="0"/>
              <w:rPr>
                <w:sz w:val="1"/>
                <w:szCs w:val="1"/>
                <w:color w:val="auto"/>
              </w:rPr>
            </w:pPr>
          </w:p>
        </w:tc>
      </w:tr>
      <w:tr>
        <w:trPr>
          <w:trHeight w:val="216"/>
        </w:trPr>
        <w:tc>
          <w:tcPr>
            <w:tcW w:w="7460" w:type="dxa"/>
            <w:vAlign w:val="bottom"/>
            <w:gridSpan w:val="5"/>
          </w:tcPr>
          <w:p>
            <w:pPr>
              <w:ind w:left="360"/>
              <w:spacing w:after="0"/>
              <w:rPr>
                <w:sz w:val="20"/>
                <w:szCs w:val="20"/>
                <w:color w:val="auto"/>
              </w:rPr>
            </w:pPr>
            <w:r>
              <w:rPr>
                <w:rFonts w:ascii="Arial" w:cs="Arial" w:eastAsia="Arial" w:hAnsi="Arial"/>
                <w:sz w:val="18"/>
                <w:szCs w:val="18"/>
                <w:color w:val="auto"/>
              </w:rPr>
              <w:t>Acquisition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ind w:left="360"/>
              <w:spacing w:after="0"/>
              <w:rPr>
                <w:sz w:val="20"/>
                <w:szCs w:val="20"/>
                <w:color w:val="auto"/>
              </w:rPr>
            </w:pPr>
            <w:r>
              <w:rPr>
                <w:rFonts w:ascii="Arial" w:cs="Arial" w:eastAsia="Arial" w:hAnsi="Arial"/>
                <w:sz w:val="18"/>
                <w:szCs w:val="18"/>
                <w:color w:val="auto"/>
              </w:rPr>
              <w:t>Divestitures</w:t>
            </w:r>
          </w:p>
        </w:tc>
        <w:tc>
          <w:tcPr>
            <w:tcW w:w="9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460" w:type="dxa"/>
            <w:vAlign w:val="bottom"/>
            <w:gridSpan w:val="5"/>
          </w:tcPr>
          <w:p>
            <w:pPr>
              <w:ind w:left="360"/>
              <w:spacing w:after="0"/>
              <w:rPr>
                <w:sz w:val="20"/>
                <w:szCs w:val="20"/>
                <w:color w:val="auto"/>
              </w:rPr>
            </w:pPr>
            <w:r>
              <w:rPr>
                <w:rFonts w:ascii="Arial" w:cs="Arial" w:eastAsia="Arial" w:hAnsi="Arial"/>
                <w:sz w:val="18"/>
                <w:szCs w:val="18"/>
                <w:color w:val="auto"/>
              </w:rPr>
              <w:t>Foreign currency translation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tcBorders>
              <w:left w:val="single" w:sz="8" w:color="auto"/>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lef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w w:val="91"/>
              </w:rPr>
              <w:t>$ (356)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71"/>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4"/>
          </w:tcPr>
          <w:p>
            <w:pPr>
              <w:jc w:val="center"/>
              <w:ind w:right="59"/>
              <w:spacing w:after="0"/>
              <w:rPr>
                <w:sz w:val="20"/>
                <w:szCs w:val="20"/>
                <w:color w:val="auto"/>
              </w:rPr>
            </w:pPr>
            <w:r>
              <w:rPr>
                <w:rFonts w:ascii="Arial" w:cs="Arial" w:eastAsia="Arial" w:hAnsi="Arial"/>
                <w:sz w:val="14"/>
                <w:szCs w:val="14"/>
                <w:color w:val="auto"/>
                <w:w w:val="93"/>
              </w:rPr>
              <w:t>As a % of</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4"/>
          </w:tcPr>
          <w:p>
            <w:pPr>
              <w:jc w:val="center"/>
              <w:ind w:right="200"/>
              <w:spacing w:after="0"/>
              <w:rPr>
                <w:sz w:val="20"/>
                <w:szCs w:val="20"/>
                <w:color w:val="auto"/>
              </w:rPr>
            </w:pPr>
            <w:r>
              <w:rPr>
                <w:rFonts w:ascii="Arial" w:cs="Arial" w:eastAsia="Arial" w:hAnsi="Arial"/>
                <w:sz w:val="14"/>
                <w:szCs w:val="14"/>
                <w:color w:val="auto"/>
                <w:w w:val="90"/>
              </w:rPr>
              <w:t>As a %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4"/>
          </w:tcPr>
          <w:p>
            <w:pPr>
              <w:jc w:val="center"/>
              <w:ind w:right="59"/>
              <w:spacing w:after="0" w:line="149" w:lineRule="exact"/>
              <w:rPr>
                <w:sz w:val="20"/>
                <w:szCs w:val="20"/>
                <w:color w:val="auto"/>
              </w:rPr>
            </w:pPr>
            <w:r>
              <w:rPr>
                <w:rFonts w:ascii="Arial" w:cs="Arial" w:eastAsia="Arial" w:hAnsi="Arial"/>
                <w:sz w:val="14"/>
                <w:szCs w:val="14"/>
                <w:color w:val="auto"/>
                <w:w w:val="91"/>
              </w:rPr>
              <w:t>Related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gridSpan w:val="4"/>
          </w:tcPr>
          <w:p>
            <w:pPr>
              <w:jc w:val="center"/>
              <w:ind w:right="26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gridSpan w:val="6"/>
          </w:tcPr>
          <w:p>
            <w:pPr>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ind w:right="59"/>
              <w:spacing w:after="0"/>
              <w:rPr>
                <w:sz w:val="20"/>
                <w:szCs w:val="20"/>
                <w:color w:val="auto"/>
              </w:rPr>
            </w:pPr>
            <w:r>
              <w:rPr>
                <w:rFonts w:ascii="Arial" w:cs="Arial" w:eastAsia="Arial" w:hAnsi="Arial"/>
                <w:sz w:val="14"/>
                <w:szCs w:val="14"/>
                <w:color w:val="auto"/>
                <w:w w:val="91"/>
              </w:rPr>
              <w:t>Business</w:t>
            </w:r>
          </w:p>
        </w:tc>
        <w:tc>
          <w:tcPr>
            <w:tcW w:w="340" w:type="dxa"/>
            <w:vAlign w:val="bottom"/>
          </w:tcPr>
          <w:p>
            <w:pPr>
              <w:spacing w:after="0"/>
              <w:rPr>
                <w:sz w:val="14"/>
                <w:szCs w:val="14"/>
                <w:color w:val="auto"/>
              </w:rPr>
            </w:pPr>
          </w:p>
        </w:tc>
        <w:tc>
          <w:tcPr>
            <w:tcW w:w="900" w:type="dxa"/>
            <w:vAlign w:val="bottom"/>
            <w:gridSpan w:val="5"/>
          </w:tcPr>
          <w:p>
            <w:pPr>
              <w:jc w:val="right"/>
              <w:ind w:right="440"/>
              <w:spacing w:after="0"/>
              <w:rPr>
                <w:sz w:val="20"/>
                <w:szCs w:val="20"/>
                <w:color w:val="auto"/>
              </w:rPr>
            </w:pPr>
            <w:r>
              <w:rPr>
                <w:rFonts w:ascii="Arial" w:cs="Arial" w:eastAsia="Arial" w:hAnsi="Arial"/>
                <w:sz w:val="14"/>
                <w:szCs w:val="14"/>
                <w:color w:val="auto"/>
                <w:w w:val="91"/>
              </w:rPr>
              <w:t>Amount</w:t>
            </w:r>
          </w:p>
        </w:tc>
        <w:tc>
          <w:tcPr>
            <w:tcW w:w="740" w:type="dxa"/>
            <w:vAlign w:val="bottom"/>
            <w:gridSpan w:val="4"/>
          </w:tcPr>
          <w:p>
            <w:pPr>
              <w:jc w:val="center"/>
              <w:ind w:right="240"/>
              <w:spacing w:after="0"/>
              <w:rPr>
                <w:sz w:val="20"/>
                <w:szCs w:val="20"/>
                <w:color w:val="auto"/>
              </w:rPr>
            </w:pPr>
            <w:r>
              <w:rPr>
                <w:rFonts w:ascii="Arial" w:cs="Arial" w:eastAsia="Arial" w:hAnsi="Arial"/>
                <w:sz w:val="14"/>
                <w:szCs w:val="14"/>
                <w:color w:val="auto"/>
                <w:w w:val="87"/>
              </w:rPr>
              <w:t>Business</w:t>
            </w:r>
          </w:p>
        </w:tc>
        <w:tc>
          <w:tcPr>
            <w:tcW w:w="0" w:type="dxa"/>
            <w:vAlign w:val="bottom"/>
          </w:tcPr>
          <w:p>
            <w:pPr>
              <w:spacing w:after="0"/>
              <w:rPr>
                <w:sz w:val="1"/>
                <w:szCs w:val="1"/>
                <w:color w:val="auto"/>
              </w:rPr>
            </w:pPr>
          </w:p>
        </w:tc>
      </w:tr>
      <w:tr>
        <w:trPr>
          <w:trHeight w:val="196"/>
        </w:trPr>
        <w:tc>
          <w:tcPr>
            <w:tcW w:w="7460" w:type="dxa"/>
            <w:vAlign w:val="bottom"/>
            <w:tcBorders>
              <w:top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5"/>
          </w:tcPr>
          <w:p>
            <w:pPr>
              <w:ind w:left="720"/>
              <w:spacing w:after="0"/>
              <w:rPr>
                <w:sz w:val="20"/>
                <w:szCs w:val="20"/>
                <w:color w:val="auto"/>
              </w:rPr>
            </w:pPr>
            <w:r>
              <w:rPr>
                <w:rFonts w:ascii="Arial" w:cs="Arial" w:eastAsia="Arial" w:hAnsi="Arial"/>
                <w:sz w:val="18"/>
                <w:szCs w:val="18"/>
                <w:color w:val="auto"/>
              </w:rPr>
              <w:t>Collection and disposal</w:t>
            </w:r>
          </w:p>
        </w:tc>
        <w:tc>
          <w:tcPr>
            <w:tcW w:w="5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4"/>
          </w:tcPr>
          <w:p>
            <w:pPr>
              <w:jc w:val="right"/>
              <w:ind w:right="6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Recycling commodities</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7460" w:type="dxa"/>
            <w:vAlign w:val="bottom"/>
            <w:gridSpan w:val="5"/>
          </w:tcPr>
          <w:p>
            <w:pPr>
              <w:ind w:left="720"/>
              <w:spacing w:after="0"/>
              <w:rPr>
                <w:sz w:val="20"/>
                <w:szCs w:val="20"/>
                <w:color w:val="auto"/>
              </w:rPr>
            </w:pPr>
            <w:r>
              <w:rPr>
                <w:rFonts w:ascii="Arial" w:cs="Arial" w:eastAsia="Arial" w:hAnsi="Arial"/>
                <w:sz w:val="18"/>
                <w:szCs w:val="18"/>
                <w:color w:val="auto"/>
              </w:rPr>
              <w:t>Electricity</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460" w:type="dxa"/>
            <w:vAlign w:val="bottom"/>
            <w:gridSpan w:val="5"/>
            <w:shd w:val="clear" w:color="auto" w:fill="CCEEFF"/>
          </w:tcPr>
          <w:p>
            <w:pPr>
              <w:ind w:left="720"/>
              <w:spacing w:after="0"/>
              <w:rPr>
                <w:sz w:val="20"/>
                <w:szCs w:val="20"/>
                <w:color w:val="auto"/>
              </w:rPr>
            </w:pPr>
            <w:r>
              <w:rPr>
                <w:rFonts w:ascii="Arial" w:cs="Arial" w:eastAsia="Arial" w:hAnsi="Arial"/>
                <w:sz w:val="18"/>
                <w:szCs w:val="18"/>
                <w:color w:val="auto"/>
              </w:rPr>
              <w:t>Fuel surcharges and mandated fees</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center"/>
              <w:ind w:left="71"/>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23"/>
        </w:trPr>
        <w:tc>
          <w:tcPr>
            <w:tcW w:w="7460" w:type="dxa"/>
            <w:vAlign w:val="bottom"/>
            <w:gridSpan w:val="5"/>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9"/>
                <w:szCs w:val="19"/>
                <w:color w:val="auto"/>
              </w:rPr>
            </w:pPr>
          </w:p>
        </w:tc>
        <w:tc>
          <w:tcPr>
            <w:tcW w:w="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center"/>
              <w:ind w:left="71"/>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460" w:type="dxa"/>
            <w:vAlign w:val="bottom"/>
            <w:gridSpan w:val="5"/>
            <w:vMerge w:val="restart"/>
          </w:tcPr>
          <w:p>
            <w:pPr>
              <w:ind w:left="1380"/>
              <w:spacing w:after="0"/>
              <w:rPr>
                <w:sz w:val="20"/>
                <w:szCs w:val="20"/>
                <w:color w:val="auto"/>
              </w:rPr>
            </w:pPr>
            <w:r>
              <w:rPr>
                <w:rFonts w:ascii="Arial" w:cs="Arial" w:eastAsia="Arial" w:hAnsi="Arial"/>
                <w:sz w:val="14"/>
                <w:szCs w:val="14"/>
                <w:b w:val="1"/>
                <w:bCs w:val="1"/>
                <w:color w:val="auto"/>
              </w:rPr>
              <w:t>Free Cash Flow Analysis (b)</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2"/>
          </w:tcPr>
          <w:p>
            <w:pPr>
              <w:ind w:left="100"/>
              <w:spacing w:after="0"/>
              <w:rPr>
                <w:sz w:val="20"/>
                <w:szCs w:val="20"/>
                <w:color w:val="auto"/>
              </w:rPr>
            </w:pPr>
            <w:r>
              <w:rPr>
                <w:rFonts w:ascii="Arial" w:cs="Arial" w:eastAsia="Arial" w:hAnsi="Arial"/>
                <w:sz w:val="14"/>
                <w:szCs w:val="14"/>
                <w:b w:val="1"/>
                <w:bCs w:val="1"/>
                <w:color w:val="auto"/>
              </w:rPr>
              <w:t>Quarters Ended March 31,</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4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608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46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584</w:t>
            </w:r>
          </w:p>
        </w:tc>
        <w:tc>
          <w:tcPr>
            <w:tcW w:w="120" w:type="dxa"/>
            <w:vAlign w:val="bottom"/>
            <w:shd w:val="clear" w:color="auto" w:fill="CCEEFF"/>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80" w:type="dxa"/>
            <w:vAlign w:val="bottom"/>
            <w:gridSpan w:val="4"/>
          </w:tcPr>
          <w:p>
            <w:pPr>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Proceeds from divestitures of businesses and other assets (net of cash divested)</w:t>
            </w:r>
          </w:p>
        </w:tc>
        <w:tc>
          <w:tcPr>
            <w:tcW w:w="38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gridSpan w:val="5"/>
          </w:tcPr>
          <w:p>
            <w:pPr>
              <w:ind w:left="1380"/>
              <w:spacing w:after="0"/>
              <w:rPr>
                <w:sz w:val="20"/>
                <w:szCs w:val="20"/>
                <w:color w:val="auto"/>
              </w:rPr>
            </w:pPr>
            <w:r>
              <w:rPr>
                <w:rFonts w:ascii="Arial" w:cs="Arial" w:eastAsia="Arial" w:hAnsi="Arial"/>
                <w:sz w:val="18"/>
                <w:szCs w:val="18"/>
                <w:color w:val="auto"/>
              </w:rPr>
              <w:t>Free cash flow</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 change does not provide a meaningful comparison.</w:t>
      </w:r>
    </w:p>
    <w:p>
      <w:pPr>
        <w:spacing w:after="0" w:line="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20" w:lineRule="exact"/>
        <w:rPr>
          <w:rFonts w:ascii="Arial" w:cs="Arial" w:eastAsia="Arial" w:hAnsi="Arial"/>
          <w:sz w:val="17"/>
          <w:szCs w:val="17"/>
          <w:color w:val="auto"/>
        </w:rPr>
      </w:pPr>
    </w:p>
    <w:p>
      <w:pPr>
        <w:ind w:left="460" w:right="8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Quarters Ended</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20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2014</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Balance Sheet Data</w:t>
            </w:r>
          </w:p>
        </w:tc>
        <w:tc>
          <w:tcPr>
            <w:tcW w:w="6420" w:type="dxa"/>
            <w:vAlign w:val="bottom"/>
            <w:tcBorders>
              <w:bottom w:val="single" w:sz="8" w:color="CCEEFF"/>
            </w:tcBorders>
            <w:gridSpan w:val="4"/>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1,307</w:t>
            </w:r>
          </w:p>
        </w:tc>
        <w:tc>
          <w:tcPr>
            <w:tcW w:w="3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9,207</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9,435</w:t>
            </w:r>
          </w:p>
        </w:tc>
        <w:tc>
          <w:tcPr>
            <w:tcW w:w="38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5"/>
          </w:tcPr>
          <w:p>
            <w:pPr>
              <w:ind w:left="7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14,782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16,233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Debt-to-total capital</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
        </w:trPr>
        <w:tc>
          <w:tcPr>
            <w:tcW w:w="792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6"/>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Gross annualized revenue acquired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consideration</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gridSpan w:val="5"/>
            <w:vMerge w:val="restart"/>
          </w:tcPr>
          <w:p>
            <w:pPr>
              <w:ind w:left="340"/>
              <w:spacing w:after="0"/>
              <w:rPr>
                <w:sz w:val="20"/>
                <w:szCs w:val="20"/>
                <w:color w:val="auto"/>
              </w:rPr>
            </w:pPr>
            <w:r>
              <w:rPr>
                <w:rFonts w:ascii="Arial" w:cs="Arial" w:eastAsia="Arial" w:hAnsi="Arial"/>
                <w:sz w:val="18"/>
                <w:szCs w:val="18"/>
                <w:color w:val="auto"/>
              </w:rPr>
              <w:t>Cash paid for acquisitions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8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2"/>
              </w:rPr>
              <w:t>Other Operational Data</w:t>
            </w:r>
          </w:p>
        </w:tc>
        <w:tc>
          <w:tcPr>
            <w:tcW w:w="606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64.3%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792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6"/>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79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92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Cost basis of landfill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300" w:type="dxa"/>
            <w:vAlign w:val="bottom"/>
          </w:tcPr>
          <w:p>
            <w:pPr>
              <w:spacing w:after="0"/>
              <w:rPr>
                <w:sz w:val="18"/>
                <w:szCs w:val="18"/>
                <w:color w:val="auto"/>
              </w:rPr>
            </w:pPr>
          </w:p>
        </w:tc>
        <w:tc>
          <w:tcPr>
            <w:tcW w:w="4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Asset retirement costs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5"/>
          </w:tcPr>
          <w:p>
            <w:pPr>
              <w:ind w:left="700"/>
              <w:spacing w:after="0"/>
              <w:rPr>
                <w:sz w:val="20"/>
                <w:szCs w:val="20"/>
                <w:color w:val="auto"/>
              </w:rPr>
            </w:pPr>
            <w:r>
              <w:rPr>
                <w:rFonts w:ascii="Arial" w:cs="Arial" w:eastAsia="Arial" w:hAnsi="Arial"/>
                <w:sz w:val="18"/>
                <w:szCs w:val="18"/>
                <w:color w:val="auto"/>
              </w:rPr>
              <w:t>Total landfill amortization expense (b)</w:t>
            </w: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gridSpan w:val="5"/>
          </w:tcPr>
          <w:p>
            <w:pPr>
              <w:ind w:left="34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March 31, 2015 as compared to the quarter ended March 31, 2014 reflects an increase in amortization expense of approximately $5.0 million primarily due to changes in landfill estimates identified in both quarters.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20"/>
          </w:cols>
          <w:pgMar w:left="240" w:top="270" w:right="239" w:bottom="1440" w:gutter="0" w:footer="0" w:header="0"/>
        </w:sectPr>
      </w:pPr>
    </w:p>
    <w:bookmarkStart w:id="16" w:name="page17"/>
    <w:bookmarkEnd w:id="16"/>
    <w:p>
      <w:pPr>
        <w:jc w:val="center"/>
        <w:ind w:right="8"/>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8"/>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12"/>
          </w:cols>
          <w:pgMar w:left="248"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72" w:right="1860"/>
        <w:spacing w:after="0" w:line="381" w:lineRule="auto"/>
        <w:rPr>
          <w:sz w:val="20"/>
          <w:szCs w:val="20"/>
          <w:color w:val="auto"/>
        </w:rPr>
      </w:pPr>
      <w:r>
        <w:rPr>
          <w:rFonts w:ascii="Arial" w:cs="Arial" w:eastAsia="Arial" w:hAnsi="Arial"/>
          <w:sz w:val="15"/>
          <w:szCs w:val="15"/>
          <w:b w:val="1"/>
          <w:bCs w:val="1"/>
          <w:i w:val="1"/>
          <w:iCs w:val="1"/>
          <w:color w:val="auto"/>
        </w:rPr>
        <w:t xml:space="preserve">Adjusted Net Income and Earnings Per Diluted Share </w:t>
      </w:r>
      <w:r>
        <w:rPr>
          <w:rFonts w:ascii="Arial" w:cs="Arial" w:eastAsia="Arial" w:hAnsi="Arial"/>
          <w:sz w:val="15"/>
          <w:szCs w:val="15"/>
          <w:b w:val="1"/>
          <w:bCs w:val="1"/>
          <w:color w:val="auto"/>
        </w:rPr>
        <w:t>Net Income (Loss)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-200660</wp:posOffset>
            </wp:positionV>
            <wp:extent cx="550545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72"/>
        <w:spacing w:after="0"/>
        <w:rPr>
          <w:sz w:val="20"/>
          <w:szCs w:val="20"/>
          <w:color w:val="auto"/>
        </w:rPr>
      </w:pPr>
      <w:r>
        <w:rPr>
          <w:rFonts w:ascii="Arial" w:cs="Arial" w:eastAsia="Arial" w:hAnsi="Arial"/>
          <w:sz w:val="16"/>
          <w:szCs w:val="16"/>
          <w:b w:val="1"/>
          <w:bCs w:val="1"/>
          <w:color w:val="auto"/>
        </w:rPr>
        <w:t>Adjustments to Net Income (Loss) and Diluted EPS:</w:t>
      </w:r>
    </w:p>
    <w:p>
      <w:pPr>
        <w:spacing w:after="0" w:line="50" w:lineRule="exact"/>
        <w:rPr>
          <w:sz w:val="20"/>
          <w:szCs w:val="20"/>
          <w:color w:val="auto"/>
        </w:rPr>
      </w:pPr>
    </w:p>
    <w:p>
      <w:pPr>
        <w:ind w:left="1732"/>
        <w:spacing w:after="0"/>
        <w:rPr>
          <w:sz w:val="20"/>
          <w:szCs w:val="20"/>
          <w:color w:val="auto"/>
        </w:rPr>
      </w:pPr>
      <w:r>
        <w:rPr>
          <w:rFonts w:ascii="Arial" w:cs="Arial" w:eastAsia="Arial" w:hAnsi="Arial"/>
          <w:sz w:val="18"/>
          <w:szCs w:val="18"/>
          <w:color w:val="auto"/>
        </w:rPr>
        <w:t>Loss on early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-130810</wp:posOffset>
            </wp:positionV>
            <wp:extent cx="55054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732"/>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22860</wp:posOffset>
            </wp:positionV>
            <wp:extent cx="550545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41" w:lineRule="exact"/>
        <w:rPr>
          <w:sz w:val="20"/>
          <w:szCs w:val="20"/>
          <w:color w:val="auto"/>
        </w:rPr>
      </w:pPr>
    </w:p>
    <w:p>
      <w:pPr>
        <w:ind w:left="1372"/>
        <w:spacing w:after="0"/>
        <w:rPr>
          <w:sz w:val="20"/>
          <w:szCs w:val="20"/>
          <w:color w:val="auto"/>
        </w:rPr>
      </w:pPr>
      <w:r>
        <w:rPr>
          <w:rFonts w:ascii="Arial" w:cs="Arial" w:eastAsia="Arial" w:hAnsi="Arial"/>
          <w:sz w:val="18"/>
          <w:szCs w:val="18"/>
          <w:b w:val="1"/>
          <w:bCs w:val="1"/>
          <w:color w:val="auto"/>
        </w:rPr>
        <w:t>Net Income and Diluted EPS, as adjusted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32"/>
        <w:spacing w:after="0"/>
        <w:rPr>
          <w:sz w:val="20"/>
          <w:szCs w:val="20"/>
          <w:color w:val="auto"/>
        </w:rPr>
      </w:pPr>
      <w:r>
        <w:rPr>
          <w:rFonts w:ascii="Arial" w:cs="Arial" w:eastAsia="Arial" w:hAnsi="Arial"/>
          <w:sz w:val="18"/>
          <w:szCs w:val="18"/>
          <w:b w:val="1"/>
          <w:bCs w:val="1"/>
          <w:i w:val="1"/>
          <w:iCs w:val="1"/>
          <w:color w:val="auto"/>
        </w:rPr>
        <w:t>Adjusted Earnings Per Diluted Share</w:t>
      </w:r>
    </w:p>
    <w:p>
      <w:pPr>
        <w:spacing w:after="0" w:line="23" w:lineRule="exact"/>
        <w:rPr>
          <w:sz w:val="20"/>
          <w:szCs w:val="20"/>
          <w:color w:val="auto"/>
        </w:rPr>
      </w:pPr>
    </w:p>
    <w:p>
      <w:pPr>
        <w:ind w:left="1832"/>
        <w:spacing w:after="0"/>
        <w:rPr>
          <w:sz w:val="20"/>
          <w:szCs w:val="20"/>
          <w:color w:val="auto"/>
        </w:rPr>
      </w:pPr>
      <w:r>
        <w:rPr>
          <w:rFonts w:ascii="Arial" w:cs="Arial" w:eastAsia="Arial" w:hAnsi="Arial"/>
          <w:sz w:val="18"/>
          <w:szCs w:val="18"/>
          <w:b w:val="1"/>
          <w:bCs w:val="1"/>
          <w:color w:val="auto"/>
        </w:rPr>
        <w:t>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-130810</wp:posOffset>
            </wp:positionV>
            <wp:extent cx="49225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92" w:lineRule="exact"/>
        <w:rPr>
          <w:sz w:val="20"/>
          <w:szCs w:val="20"/>
          <w:color w:val="auto"/>
        </w:rPr>
      </w:pPr>
    </w:p>
    <w:p>
      <w:pPr>
        <w:ind w:left="1832"/>
        <w:spacing w:after="0"/>
        <w:rPr>
          <w:sz w:val="20"/>
          <w:szCs w:val="20"/>
          <w:color w:val="auto"/>
        </w:rPr>
      </w:pPr>
      <w:r>
        <w:rPr>
          <w:rFonts w:ascii="Arial" w:cs="Arial" w:eastAsia="Arial" w:hAnsi="Arial"/>
          <w:sz w:val="18"/>
          <w:szCs w:val="18"/>
          <w:b w:val="1"/>
          <w:bCs w:val="1"/>
          <w:color w:val="auto"/>
        </w:rPr>
        <w:t>Adjustment to Diluted EPS:</w:t>
      </w:r>
    </w:p>
    <w:p>
      <w:pPr>
        <w:spacing w:after="0" w:line="27" w:lineRule="exact"/>
        <w:rPr>
          <w:sz w:val="20"/>
          <w:szCs w:val="20"/>
          <w:color w:val="auto"/>
        </w:rPr>
      </w:pPr>
    </w:p>
    <w:p>
      <w:pPr>
        <w:ind w:left="2192"/>
        <w:spacing w:after="0"/>
        <w:rPr>
          <w:sz w:val="20"/>
          <w:szCs w:val="20"/>
          <w:color w:val="auto"/>
        </w:rPr>
      </w:pPr>
      <w:r>
        <w:rPr>
          <w:rFonts w:ascii="Arial" w:cs="Arial" w:eastAsia="Arial" w:hAnsi="Arial"/>
          <w:sz w:val="16"/>
          <w:szCs w:val="16"/>
          <w:color w:val="auto"/>
        </w:rPr>
        <w:t xml:space="preserve">Divested businesses and assets in 2014 </w:t>
      </w:r>
      <w:r>
        <w:rPr>
          <w:rFonts w:ascii="Arial" w:cs="Arial" w:eastAsia="Arial" w:hAnsi="Arial"/>
          <w:sz w:val="16"/>
          <w:szCs w:val="16"/>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-116205</wp:posOffset>
            </wp:positionV>
            <wp:extent cx="49225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1" w:lineRule="exact"/>
        <w:rPr>
          <w:sz w:val="20"/>
          <w:szCs w:val="20"/>
          <w:color w:val="auto"/>
        </w:rPr>
      </w:pPr>
    </w:p>
    <w:p>
      <w:pPr>
        <w:ind w:left="1832"/>
        <w:spacing w:after="0"/>
        <w:rPr>
          <w:sz w:val="20"/>
          <w:szCs w:val="20"/>
          <w:color w:val="auto"/>
        </w:rPr>
      </w:pPr>
      <w:r>
        <w:rPr>
          <w:rFonts w:ascii="Arial" w:cs="Arial" w:eastAsia="Arial" w:hAnsi="Arial"/>
          <w:sz w:val="18"/>
          <w:szCs w:val="18"/>
          <w:b w:val="1"/>
          <w:bCs w:val="1"/>
          <w:color w:val="auto"/>
        </w:rPr>
        <w:t>Diluted EPS, as adjusted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Quarter Ended</w:t>
      </w:r>
    </w:p>
    <w:p>
      <w:pPr>
        <w:ind w:left="440"/>
        <w:spacing w:after="0" w:line="236" w:lineRule="auto"/>
        <w:rPr>
          <w:sz w:val="20"/>
          <w:szCs w:val="20"/>
          <w:color w:val="auto"/>
        </w:rPr>
      </w:pPr>
      <w:r>
        <w:rPr>
          <w:rFonts w:ascii="Arial" w:cs="Arial" w:eastAsia="Arial" w:hAnsi="Arial"/>
          <w:sz w:val="14"/>
          <w:szCs w:val="14"/>
          <w:b w:val="1"/>
          <w:bCs w:val="1"/>
          <w:color w:val="auto"/>
        </w:rPr>
        <w:t>March 31, 2015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After-tax</w:t>
            </w:r>
          </w:p>
        </w:tc>
        <w:tc>
          <w:tcPr>
            <w:tcW w:w="90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5"/>
              </w:rPr>
              <w:t>Per Share</w:t>
            </w:r>
          </w:p>
        </w:tc>
        <w:tc>
          <w:tcPr>
            <w:tcW w:w="2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r>
      <w:tr>
        <w:trPr>
          <w:trHeight w:val="228"/>
        </w:trPr>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(0.28)</w:t>
            </w:r>
          </w:p>
        </w:tc>
        <w:tc>
          <w:tcPr>
            <w:tcW w:w="220" w:type="dxa"/>
            <w:vAlign w:val="bottom"/>
          </w:tcPr>
          <w:p>
            <w:pPr>
              <w:spacing w:after="0"/>
              <w:rPr>
                <w:sz w:val="19"/>
                <w:szCs w:val="19"/>
                <w:color w:val="auto"/>
              </w:rPr>
            </w:pPr>
          </w:p>
        </w:tc>
      </w:tr>
      <w:tr>
        <w:trPr>
          <w:trHeight w:val="50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344</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0.74</w:t>
            </w:r>
          </w:p>
        </w:tc>
        <w:tc>
          <w:tcPr>
            <w:tcW w:w="2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0.77</w:t>
            </w:r>
          </w:p>
        </w:tc>
        <w:tc>
          <w:tcPr>
            <w:tcW w:w="220" w:type="dxa"/>
            <w:vAlign w:val="bottom"/>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0.49</w:t>
            </w:r>
          </w:p>
        </w:tc>
        <w:tc>
          <w:tcPr>
            <w:tcW w:w="220" w:type="dxa"/>
            <w:vAlign w:val="bottom"/>
          </w:tcPr>
          <w:p>
            <w:pPr>
              <w:spacing w:after="0"/>
              <w:rPr>
                <w:sz w:val="20"/>
                <w:szCs w:val="20"/>
                <w:color w:val="auto"/>
              </w:rPr>
            </w:pPr>
            <w:r>
              <w:rPr>
                <w:rFonts w:ascii="Arial" w:cs="Arial" w:eastAsia="Arial" w:hAnsi="Arial"/>
                <w:sz w:val="18"/>
                <w:szCs w:val="18"/>
                <w:b w:val="1"/>
                <w:bCs w:val="1"/>
                <w:color w:val="auto"/>
                <w:w w:val="86"/>
              </w:rPr>
              <w:t>(b)</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14"/>
          <w:szCs w:val="14"/>
          <w:b w:val="1"/>
          <w:bCs w:val="1"/>
          <w:u w:val="single" w:color="auto"/>
          <w:color w:val="auto"/>
        </w:rPr>
        <w:t>March 31, 2014</w:t>
      </w:r>
    </w:p>
    <w:p>
      <w:pPr>
        <w:ind w:left="540"/>
        <w:spacing w:after="0" w:line="223" w:lineRule="auto"/>
        <w:rPr>
          <w:sz w:val="20"/>
          <w:szCs w:val="20"/>
          <w:color w:val="auto"/>
        </w:rPr>
      </w:pPr>
      <w:r>
        <w:rPr>
          <w:rFonts w:ascii="Arial" w:cs="Arial" w:eastAsia="Arial" w:hAnsi="Arial"/>
          <w:sz w:val="14"/>
          <w:szCs w:val="14"/>
          <w:b w:val="1"/>
          <w:bCs w:val="1"/>
          <w:color w:val="auto"/>
        </w:rPr>
        <w:t>Per Share</w:t>
      </w:r>
    </w:p>
    <w:p>
      <w:pPr>
        <w:ind w:left="580"/>
        <w:spacing w:after="0"/>
        <w:rPr>
          <w:sz w:val="20"/>
          <w:szCs w:val="20"/>
          <w:color w:val="auto"/>
        </w:rPr>
      </w:pPr>
      <w:r>
        <w:rPr>
          <w:rFonts w:ascii="Arial" w:cs="Arial" w:eastAsia="Arial" w:hAnsi="Arial"/>
          <w:sz w:val="14"/>
          <w:szCs w:val="14"/>
          <w:b w:val="1"/>
          <w:bCs w:val="1"/>
          <w:color w:val="auto"/>
        </w:rPr>
        <w:t>Amount</w:t>
      </w:r>
    </w:p>
    <w:p>
      <w:pPr>
        <w:spacing w:after="0" w:line="9" w:lineRule="exact"/>
        <w:rPr>
          <w:sz w:val="20"/>
          <w:szCs w:val="20"/>
          <w:color w:val="auto"/>
        </w:rPr>
      </w:pPr>
    </w:p>
    <w:p>
      <w:pPr>
        <w:ind w:left="1000" w:hanging="639"/>
        <w:spacing w:after="0"/>
        <w:tabs>
          <w:tab w:leader="none" w:pos="10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0.49</w:t>
      </w:r>
    </w:p>
    <w:p>
      <w:pPr>
        <w:spacing w:after="0" w:line="31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(0.04)</w:t>
      </w:r>
      <w:r>
        <w:rPr>
          <w:rFonts w:ascii="Arial" w:cs="Arial" w:eastAsia="Arial" w:hAnsi="Arial"/>
          <w:sz w:val="18"/>
          <w:szCs w:val="18"/>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17145</wp:posOffset>
            </wp:positionV>
            <wp:extent cx="6089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6" w:lineRule="exact"/>
        <w:rPr>
          <w:sz w:val="20"/>
          <w:szCs w:val="20"/>
          <w:color w:val="auto"/>
        </w:rPr>
      </w:pPr>
    </w:p>
    <w:p>
      <w:pPr>
        <w:ind w:left="1000" w:hanging="639"/>
        <w:spacing w:after="0"/>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0.45(b)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17145</wp:posOffset>
            </wp:positionV>
            <wp:extent cx="6089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233045</wp:posOffset>
            </wp:positionH>
            <wp:positionV relativeFrom="paragraph">
              <wp:posOffset>34290</wp:posOffset>
            </wp:positionV>
            <wp:extent cx="6089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32" w:space="720"/>
            <w:col w:w="3460"/>
          </w:cols>
          <w:pgMar w:left="248" w:top="270" w:right="239" w:bottom="1440" w:gutter="0" w:footer="0" w:header="0"/>
          <w:type w:val="continuous"/>
        </w:sectPr>
      </w:pPr>
    </w:p>
    <w:p>
      <w:pPr>
        <w:spacing w:after="0" w:line="110" w:lineRule="exact"/>
        <w:rPr>
          <w:sz w:val="20"/>
          <w:szCs w:val="20"/>
          <w:color w:val="auto"/>
        </w:rPr>
      </w:pPr>
    </w:p>
    <w:p>
      <w:pPr>
        <w:ind w:left="452" w:hanging="452"/>
        <w:spacing w:after="0" w:line="256" w:lineRule="auto"/>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Includes net charges reflected in: i) the “asset impairments and unusual items” financial caption, primarily related to certain adjustments associated with the sale of our waste-to-energy business in December 2014 and an impairment of a landfill in Western Canada and ii) the “restructuring” financial caption.</w:t>
      </w:r>
    </w:p>
    <w:p>
      <w:pPr>
        <w:ind w:left="452" w:right="240" w:hanging="452"/>
        <w:spacing w:after="0" w:line="250" w:lineRule="auto"/>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First quarter 2015 as-adjusted earnings per diluted share increased $0.04, or almost 9%, as compared with the first quarter of 2014 results adjusted to exclude the earnings from businesses and assets divested in 2014.</w:t>
      </w:r>
    </w:p>
    <w:p>
      <w:pPr>
        <w:ind w:left="452" w:hanging="452"/>
        <w:spacing w:after="0"/>
        <w:tabs>
          <w:tab w:leader="none" w:pos="452"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Primarily includes the divestiture of our waste-to-energy business and other solid waste assets. Tax expense associated with this item was $9 million.</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(7)</w:t>
      </w:r>
    </w:p>
    <w:p>
      <w:pPr>
        <w:sectPr>
          <w:pgSz w:w="11900" w:h="16838" w:orient="portrait"/>
          <w:cols w:equalWidth="0" w:num="1">
            <w:col w:w="11412"/>
          </w:cols>
          <w:pgMar w:left="248" w:top="270" w:right="239" w:bottom="1440" w:gutter="0" w:footer="0" w:header="0"/>
          <w:type w:val="continuous"/>
        </w:sectPr>
      </w:pPr>
    </w:p>
    <w:bookmarkStart w:id="17" w:name="page18"/>
    <w:bookmarkEnd w:id="17"/>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92"/>
          </w:cols>
          <w:pgMar w:left="248" w:top="270" w:right="3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912" w:right="160"/>
        <w:spacing w:after="0" w:line="277" w:lineRule="auto"/>
        <w:rPr>
          <w:sz w:val="20"/>
          <w:szCs w:val="20"/>
          <w:color w:val="auto"/>
        </w:rPr>
      </w:pPr>
      <w:r>
        <w:rPr>
          <w:rFonts w:ascii="Arial" w:cs="Arial" w:eastAsia="Arial" w:hAnsi="Arial"/>
          <w:sz w:val="18"/>
          <w:szCs w:val="18"/>
          <w:b w:val="1"/>
          <w:bCs w:val="1"/>
          <w:i w:val="1"/>
          <w:iCs w:val="1"/>
          <w:color w:val="auto"/>
        </w:rPr>
        <w:t xml:space="preserve">Adjusted Tax Expense Reconciliation and Effective Tax Rate </w:t>
      </w:r>
      <w:r>
        <w:rPr>
          <w:rFonts w:ascii="Arial" w:cs="Arial" w:eastAsia="Arial" w:hAnsi="Arial"/>
          <w:sz w:val="18"/>
          <w:szCs w:val="18"/>
          <w:b w:val="1"/>
          <w:bCs w:val="1"/>
          <w:color w:val="auto"/>
        </w:rPr>
        <w:t>As reported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-156210</wp:posOffset>
            </wp:positionV>
            <wp:extent cx="608012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52"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Adjustments to Tax Expense:</w:t>
      </w:r>
    </w:p>
    <w:p>
      <w:pPr>
        <w:spacing w:after="0" w:line="27" w:lineRule="exact"/>
        <w:rPr>
          <w:sz w:val="20"/>
          <w:szCs w:val="20"/>
          <w:color w:val="auto"/>
        </w:rPr>
      </w:pPr>
    </w:p>
    <w:p>
      <w:pPr>
        <w:ind w:left="1272"/>
        <w:spacing w:after="0"/>
        <w:rPr>
          <w:sz w:val="20"/>
          <w:szCs w:val="20"/>
          <w:color w:val="auto"/>
        </w:rPr>
      </w:pPr>
      <w:r>
        <w:rPr>
          <w:rFonts w:ascii="Arial" w:cs="Arial" w:eastAsia="Arial" w:hAnsi="Arial"/>
          <w:sz w:val="18"/>
          <w:szCs w:val="18"/>
          <w:color w:val="auto"/>
        </w:rPr>
        <w:t>Loss on early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-130810</wp:posOffset>
            </wp:positionV>
            <wp:extent cx="6080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272"/>
        <w:spacing w:after="0"/>
        <w:rPr>
          <w:sz w:val="20"/>
          <w:szCs w:val="20"/>
          <w:color w:val="auto"/>
        </w:rPr>
      </w:pPr>
      <w:r>
        <w:rPr>
          <w:rFonts w:ascii="Arial" w:cs="Arial" w:eastAsia="Arial" w:hAnsi="Arial"/>
          <w:sz w:val="18"/>
          <w:szCs w:val="18"/>
          <w:color w:val="auto"/>
        </w:rPr>
        <w:t>Asset impairments and unusual items</w:t>
      </w:r>
    </w:p>
    <w:p>
      <w:pPr>
        <w:spacing w:after="0" w:line="18" w:lineRule="exact"/>
        <w:rPr>
          <w:sz w:val="20"/>
          <w:szCs w:val="20"/>
          <w:color w:val="auto"/>
        </w:rPr>
      </w:pPr>
    </w:p>
    <w:p>
      <w:pPr>
        <w:ind w:left="912"/>
        <w:spacing w:after="0"/>
        <w:rPr>
          <w:sz w:val="20"/>
          <w:szCs w:val="20"/>
          <w:color w:val="auto"/>
        </w:rPr>
      </w:pPr>
      <w:r>
        <w:rPr>
          <w:rFonts w:ascii="Arial" w:cs="Arial" w:eastAsia="Arial" w:hAnsi="Arial"/>
          <w:sz w:val="18"/>
          <w:szCs w:val="18"/>
          <w:b w:val="1"/>
          <w:bCs w:val="1"/>
          <w:color w:val="auto"/>
        </w:rPr>
        <w:t>As adjusted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-119380</wp:posOffset>
            </wp:positionV>
            <wp:extent cx="60801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Quarter Ended March 31, 2015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64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Pre-tax Income /</w:t>
            </w: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Tax Expense /</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Effective Tax</w:t>
            </w:r>
          </w:p>
        </w:tc>
        <w:tc>
          <w:tcPr>
            <w:tcW w:w="1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(Loss)</w:t>
            </w:r>
          </w:p>
        </w:tc>
        <w:tc>
          <w:tcPr>
            <w:tcW w:w="6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(Benefits)</w:t>
            </w:r>
          </w:p>
        </w:tc>
        <w:tc>
          <w:tcPr>
            <w:tcW w:w="6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Rate (a)</w:t>
            </w:r>
          </w:p>
        </w:tc>
        <w:tc>
          <w:tcPr>
            <w:tcW w:w="18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(222)</w:t>
            </w:r>
          </w:p>
        </w:tc>
        <w:tc>
          <w:tcPr>
            <w:tcW w:w="640" w:type="dxa"/>
            <w:vAlign w:val="bottom"/>
            <w:gridSpan w:val="2"/>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6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41.0%</w:t>
            </w:r>
          </w:p>
        </w:tc>
      </w:tr>
      <w:tr>
        <w:trPr>
          <w:trHeight w:val="50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206</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w:t>
            </w:r>
          </w:p>
        </w:tc>
        <w:tc>
          <w:tcPr>
            <w:tcW w:w="6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34.2%</w:t>
            </w:r>
          </w:p>
        </w:tc>
      </w:tr>
    </w:tbl>
    <w:p>
      <w:pPr>
        <w:spacing w:after="0" w:line="200" w:lineRule="exact"/>
        <w:rPr>
          <w:sz w:val="20"/>
          <w:szCs w:val="20"/>
          <w:color w:val="auto"/>
        </w:rPr>
      </w:pPr>
    </w:p>
    <w:p>
      <w:pPr>
        <w:sectPr>
          <w:pgSz w:w="11900" w:h="16838" w:orient="portrait"/>
          <w:cols w:equalWidth="0" w:num="2">
            <w:col w:w="5572" w:space="720"/>
            <w:col w:w="5000"/>
          </w:cols>
          <w:pgMar w:left="248" w:top="270" w:right="359" w:bottom="1440" w:gutter="0" w:footer="0" w:header="0"/>
          <w:type w:val="continuous"/>
        </w:sectPr>
      </w:pPr>
    </w:p>
    <w:p>
      <w:pPr>
        <w:spacing w:after="0" w:line="258" w:lineRule="exact"/>
        <w:rPr>
          <w:sz w:val="20"/>
          <w:szCs w:val="20"/>
          <w:color w:val="auto"/>
        </w:rPr>
      </w:pPr>
    </w:p>
    <w:tbl>
      <w:tblPr>
        <w:tblLayout w:type="fixed"/>
        <w:tblInd w:w="1372"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b w:val="1"/>
                <w:bCs w:val="1"/>
                <w:i w:val="1"/>
                <w:iCs w:val="1"/>
                <w:color w:val="auto"/>
              </w:rPr>
              <w:t>2015 Projected Free Cash Flow Reconciliation (b)</w:t>
            </w: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1020" w:type="dxa"/>
            <w:vAlign w:val="bottom"/>
            <w:gridSpan w:val="4"/>
          </w:tcPr>
          <w:p>
            <w:pPr>
              <w:ind w:left="260"/>
              <w:spacing w:after="0"/>
              <w:rPr>
                <w:sz w:val="20"/>
                <w:szCs w:val="20"/>
                <w:color w:val="auto"/>
              </w:rPr>
            </w:pPr>
            <w:r>
              <w:rPr>
                <w:rFonts w:ascii="Arial" w:cs="Arial" w:eastAsia="Arial" w:hAnsi="Arial"/>
                <w:sz w:val="14"/>
                <w:szCs w:val="14"/>
                <w:b w:val="1"/>
                <w:bCs w:val="1"/>
                <w:color w:val="auto"/>
              </w:rPr>
              <w:t>Scenario 2</w:t>
            </w:r>
          </w:p>
        </w:tc>
      </w:tr>
      <w:tr>
        <w:trPr>
          <w:trHeight w:val="210"/>
        </w:trPr>
        <w:tc>
          <w:tcPr>
            <w:tcW w:w="6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(1,300)</w:t>
            </w: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Proceeds from divestitures of businesses and other assets (net of cash divested)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52" w:right="120" w:hanging="452"/>
        <w:spacing w:after="0" w:line="258" w:lineRule="auto"/>
        <w:tabs>
          <w:tab w:leader="none" w:pos="452"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 w:lineRule="exact"/>
        <w:rPr>
          <w:rFonts w:ascii="Arial" w:cs="Arial" w:eastAsia="Arial" w:hAnsi="Arial"/>
          <w:sz w:val="18"/>
          <w:szCs w:val="18"/>
          <w:b w:val="1"/>
          <w:bCs w:val="1"/>
          <w:color w:val="auto"/>
        </w:rPr>
      </w:pPr>
    </w:p>
    <w:p>
      <w:pPr>
        <w:ind w:left="452" w:hanging="452"/>
        <w:spacing w:after="0" w:line="290" w:lineRule="auto"/>
        <w:tabs>
          <w:tab w:leader="none" w:pos="452"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2015. The amounts used in the reconciliation are subject to many variables, some of which are not under our control and, therefore, are not necessarily indicative of actual results.</w:t>
      </w:r>
    </w:p>
    <w:p>
      <w:pPr>
        <w:spacing w:after="0" w:line="90"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(8)</w:t>
      </w:r>
    </w:p>
    <w:p>
      <w:pPr>
        <w:sectPr>
          <w:pgSz w:w="11900" w:h="16838" w:orient="portrait"/>
          <w:cols w:equalWidth="0" w:num="1">
            <w:col w:w="11292"/>
          </w:cols>
          <w:pgMar w:left="248" w:top="270" w:right="35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 Q1 2014 Impact of Divestitures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following table presents certain financial measures that have been adjusted to exclude amounts attributed to divestitures during 2014, primarily our waste-to-energy business and other solid waste assets. These pro-forma 2014 financial measures are non-GAAP measures and should not be considered a substitute for the as-reported amounts below. We have included this information because the Company had significant divestitures in 2014; accordingly, management believes that presenting certain financial measures as adjusted to exclude amounts attributed to divested operations and assets will provide investors with a more meaningful comparison to 2015 results.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7"/>
              </w:rPr>
              <w:t>Quarter ended March 31, 2014</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As-Reported</w:t>
            </w:r>
          </w:p>
        </w:tc>
        <w:tc>
          <w:tcPr>
            <w:tcW w:w="560" w:type="dxa"/>
            <w:vAlign w:val="bottom"/>
          </w:tcPr>
          <w:p>
            <w:pPr>
              <w:spacing w:after="0"/>
              <w:rPr>
                <w:sz w:val="10"/>
                <w:szCs w:val="10"/>
                <w:color w:val="auto"/>
              </w:rPr>
            </w:pPr>
          </w:p>
        </w:tc>
        <w:tc>
          <w:tcPr>
            <w:tcW w:w="1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Amounts</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Pro-Forma</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Selected Financial Information</w:t>
            </w:r>
          </w:p>
        </w:tc>
        <w:tc>
          <w:tcPr>
            <w:tcW w:w="20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5"/>
              </w:rPr>
              <w:t>Attributed to</w:t>
            </w:r>
          </w:p>
        </w:tc>
        <w:tc>
          <w:tcPr>
            <w:tcW w:w="7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2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Divestitures</w:t>
            </w:r>
          </w:p>
        </w:tc>
        <w:tc>
          <w:tcPr>
            <w:tcW w:w="140" w:type="dxa"/>
            <w:vAlign w:val="bottom"/>
          </w:tcPr>
          <w:p>
            <w:pPr>
              <w:spacing w:after="0"/>
              <w:rPr>
                <w:sz w:val="14"/>
                <w:szCs w:val="14"/>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3,396</w:t>
            </w: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3,178</w:t>
            </w: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160" w:type="dxa"/>
            <w:vAlign w:val="bottom"/>
            <w:gridSpan w:val="2"/>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2,232</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155</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2,077</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375</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363</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Depreciation and Amortization</w:t>
            </w:r>
          </w:p>
        </w:tc>
        <w:tc>
          <w:tcPr>
            <w:tcW w:w="2160" w:type="dxa"/>
            <w:vAlign w:val="bottom"/>
            <w:gridSpan w:val="2"/>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317</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469</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Operating EBITDA</w:t>
            </w:r>
          </w:p>
        </w:tc>
        <w:tc>
          <w:tcPr>
            <w:tcW w:w="2160" w:type="dxa"/>
            <w:vAlign w:val="bottom"/>
            <w:gridSpan w:val="2"/>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786</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64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735</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228</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Earnings Per Diluted Share</w:t>
            </w:r>
          </w:p>
        </w:tc>
        <w:tc>
          <w:tcPr>
            <w:tcW w:w="2160" w:type="dxa"/>
            <w:vAlign w:val="bottom"/>
            <w:gridSpan w:val="2"/>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0.49</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0.04</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0.45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527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2160" w:type="dxa"/>
            <w:vAlign w:val="bottom"/>
            <w:gridSpan w:val="2"/>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266</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from Divestitures</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166</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166</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Free Cash Flow</w:t>
            </w:r>
          </w:p>
        </w:tc>
        <w:tc>
          <w:tcPr>
            <w:tcW w:w="2160" w:type="dxa"/>
            <w:vAlign w:val="bottom"/>
            <w:gridSpan w:val="2"/>
          </w:tcPr>
          <w:p>
            <w:pPr>
              <w:ind w:left="204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484</w:t>
            </w:r>
          </w:p>
        </w:tc>
        <w:tc>
          <w:tcPr>
            <w:tcW w:w="660" w:type="dxa"/>
            <w:vAlign w:val="bottom"/>
            <w:gridSpan w:val="2"/>
          </w:tcPr>
          <w:p>
            <w:pPr>
              <w:ind w:left="560"/>
              <w:spacing w:after="0"/>
              <w:rPr>
                <w:sz w:val="20"/>
                <w:szCs w:val="20"/>
                <w:color w:val="auto"/>
              </w:rPr>
            </w:pPr>
            <w:r>
              <w:rPr>
                <w:rFonts w:ascii="Arial" w:cs="Arial" w:eastAsia="Arial" w:hAnsi="Arial"/>
                <w:sz w:val="18"/>
                <w:szCs w:val="18"/>
                <w:b w:val="1"/>
                <w:bCs w:val="1"/>
                <w:color w:val="auto"/>
                <w:w w:val="79"/>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221</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263</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(d)</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8"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As-reported operating expenses for the first quarter of 2015 were $1,946 million. As a result, after excluding divestitures from the first quarter of 2014, operating expenses improved by $131 million compared with the prior year period.</w:t>
      </w:r>
    </w:p>
    <w:p>
      <w:pPr>
        <w:spacing w:after="0" w:line="1" w:lineRule="exact"/>
        <w:rPr>
          <w:rFonts w:ascii="Arial" w:cs="Arial" w:eastAsia="Arial" w:hAnsi="Arial"/>
          <w:sz w:val="18"/>
          <w:szCs w:val="18"/>
          <w:b w:val="1"/>
          <w:bCs w:val="1"/>
          <w:color w:val="auto"/>
        </w:rPr>
      </w:pPr>
    </w:p>
    <w:p>
      <w:pPr>
        <w:ind w:left="460" w:right="380" w:hanging="452"/>
        <w:spacing w:after="0" w:line="250"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As-reported SG&amp;A expenses for the first quarter of 2015 were $348 million. As a result, after excluding divestitures from the first quarter of 2014, SG&amp;A expenses improved by $15 million compared with the prior year period.</w:t>
      </w: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Management refers to GAAP income from operations, before depreciation and amortization, as operating EBITDA.</w:t>
      </w:r>
    </w:p>
    <w:p>
      <w:pPr>
        <w:spacing w:after="0" w:line="9" w:lineRule="exact"/>
        <w:rPr>
          <w:rFonts w:ascii="Arial" w:cs="Arial" w:eastAsia="Arial" w:hAnsi="Arial"/>
          <w:sz w:val="18"/>
          <w:szCs w:val="18"/>
          <w:b w:val="1"/>
          <w:bCs w:val="1"/>
          <w:color w:val="auto"/>
        </w:rPr>
      </w:pPr>
    </w:p>
    <w:p>
      <w:pPr>
        <w:ind w:left="460" w:right="120" w:hanging="452"/>
        <w:spacing w:after="0" w:line="255" w:lineRule="auto"/>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Free cash flow was $285 million in the first quarter of 2015. Excluding estimated free cash flow from operations and assets divested in 2014, free cash flow improved $22 million when compared with the prior year period. Please see note (b) to the earnings press release for a definition and additional information regarding our use of this non-GAAP measure.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ectPr>
          <w:pgSz w:w="11900" w:h="16838" w:orient="portrait"/>
          <w:cols w:equalWidth="0" w:num="1">
            <w:col w:w="11420"/>
          </w:cols>
          <w:pgMar w:left="240" w:top="27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- 2014 Impact of Divestitures by Quarter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table presents certain financial results attributed to divestitures during 2014, primarily our waste-to-energy business and other solid waste assets. We have included this information because the Company had significant divestitures in 2014; accordingly, management believes that providing this additional detail regarding prior financial results attributed to divested operations and assets will help investors understand the Company’s 2015 financial projections and provide investors with more meaningful comparisons to 2015 results.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Q1 2014</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Q2 2014</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Q3 2014</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Q4 2014</w:t>
            </w:r>
          </w:p>
        </w:tc>
        <w:tc>
          <w:tcPr>
            <w:tcW w:w="1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Year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Operating Revenues</w:t>
            </w:r>
          </w:p>
        </w:tc>
        <w:tc>
          <w:tcPr>
            <w:tcW w:w="1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Intercompany Operating Revenues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Revenues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189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228"/>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8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SG&amp;A Expenses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Depreciation and Amortization</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Operating EBITDA (a)</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4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Earnings per Diluted Share</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0.04</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0.02</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0.05</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0.07</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Capital Expenditures</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Proceeds from Divestitures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4"/>
              </w:rPr>
              <w:t>1,934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2,253</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Free Cash Flow (b)</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w:t>
            </w:r>
          </w:p>
        </w:tc>
        <w:tc>
          <w:tcPr>
            <w:tcW w:w="32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113</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4"/>
              </w:rPr>
              <w:t>1,955</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Management refers to GAAP income from operations, before depreciation and amortization, as operating EBITDA.</w:t>
      </w:r>
    </w:p>
    <w:p>
      <w:pPr>
        <w:spacing w:after="0" w:line="23" w:lineRule="exact"/>
        <w:rPr>
          <w:rFonts w:ascii="Arial" w:cs="Arial" w:eastAsia="Arial" w:hAnsi="Arial"/>
          <w:sz w:val="18"/>
          <w:szCs w:val="18"/>
          <w:b w:val="1"/>
          <w:bCs w:val="1"/>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Please see note (b) to the earnings press release for a definition and additional information regarding our use of this non-GAAP measure.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Letter"/>
      <w:start w:val="3"/>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2019-12-06T02:24:24Z</dcterms:created>
  <dcterms:modified xsi:type="dcterms:W3CDTF">2019-12-06T02:24:24Z</dcterms:modified>
</cp:coreProperties>
</file>