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9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952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Rooney Kelly 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620" w:type="dxa"/>
            <w:vAlign w:val="bottom"/>
            <w:tcBorders>
              <w:top w:val="single" w:sz="8" w:color="0000EE"/>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08/15/2022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WASTE MANAGEMENT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WM</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800 CAPITOL STREET, SUITE 3000</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77002</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43"/>
        <w:spacing w:after="0"/>
        <w:rPr>
          <w:sz w:val="20"/>
          <w:szCs w:val="20"/>
          <w:color w:val="auto"/>
        </w:rPr>
      </w:pPr>
      <w:r>
        <w:rPr>
          <w:rFonts w:ascii="Times New Roman" w:cs="Times New Roman" w:eastAsia="Times New Roman" w:hAnsi="Times New Roman"/>
          <w:sz w:val="20"/>
          <w:szCs w:val="20"/>
          <w:color w:val="0000FF"/>
        </w:rPr>
        <w:t>SVP Chief People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1,316</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80" w:type="dxa"/>
            <w:vAlign w:val="bottom"/>
            <w:tcBorders>
              <w:bottom w:val="single" w:sz="8" w:color="2C2C2C"/>
            </w:tcBorders>
            <w:gridSpan w:val="2"/>
          </w:tcPr>
          <w:p>
            <w:pPr>
              <w:jc w:val="right"/>
              <w:ind w:right="61"/>
              <w:spacing w:after="0"/>
              <w:rPr>
                <w:sz w:val="20"/>
                <w:szCs w:val="20"/>
                <w:color w:val="auto"/>
              </w:rPr>
            </w:pPr>
            <w:r>
              <w:rPr>
                <w:rFonts w:ascii="Times New Roman" w:cs="Times New Roman" w:eastAsia="Times New Roman" w:hAnsi="Times New Roman"/>
                <w:sz w:val="15"/>
                <w:szCs w:val="15"/>
                <w:color w:val="0000FF"/>
              </w:rPr>
              <w:t>02/23/2022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02/23/2031</w:t>
            </w:r>
          </w:p>
        </w:tc>
        <w:tc>
          <w:tcPr>
            <w:tcW w:w="1740" w:type="dxa"/>
            <w:vAlign w:val="bottom"/>
            <w:tcBorders>
              <w:bottom w:val="single" w:sz="8" w:color="2C2C2C"/>
            </w:tcBorders>
          </w:tcPr>
          <w:p>
            <w:pPr>
              <w:jc w:val="center"/>
              <w:ind w:left="34"/>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20"/>
                <w:szCs w:val="20"/>
                <w:color w:val="0000FF"/>
                <w:w w:val="97"/>
              </w:rPr>
              <w:t>1,217</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110.81</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(2)</w:t>
            </w:r>
          </w:p>
        </w:tc>
        <w:tc>
          <w:tcPr>
            <w:tcW w:w="1280" w:type="dxa"/>
            <w:vAlign w:val="bottom"/>
            <w:tcBorders>
              <w:bottom w:val="single" w:sz="8" w:color="2C2C2C"/>
            </w:tcBorders>
            <w:gridSpan w:val="2"/>
          </w:tcPr>
          <w:p>
            <w:pPr>
              <w:jc w:val="right"/>
              <w:ind w:right="61"/>
              <w:spacing w:after="0"/>
              <w:rPr>
                <w:sz w:val="20"/>
                <w:szCs w:val="20"/>
                <w:color w:val="auto"/>
              </w:rPr>
            </w:pPr>
            <w:r>
              <w:rPr>
                <w:rFonts w:ascii="Times New Roman" w:cs="Times New Roman" w:eastAsia="Times New Roman" w:hAnsi="Times New Roman"/>
                <w:sz w:val="15"/>
                <w:szCs w:val="15"/>
                <w:color w:val="0000FF"/>
              </w:rPr>
              <w:t>02/19/2021</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02/19/2030</w:t>
            </w:r>
          </w:p>
        </w:tc>
        <w:tc>
          <w:tcPr>
            <w:tcW w:w="1740" w:type="dxa"/>
            <w:vAlign w:val="bottom"/>
            <w:tcBorders>
              <w:bottom w:val="single" w:sz="8" w:color="2C2C2C"/>
            </w:tcBorders>
          </w:tcPr>
          <w:p>
            <w:pPr>
              <w:jc w:val="center"/>
              <w:ind w:left="34"/>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20"/>
                <w:szCs w:val="20"/>
                <w:color w:val="0000FF"/>
                <w:w w:val="99"/>
              </w:rPr>
              <w:t>695</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5"/>
              </w:rPr>
              <w:t>126.005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80" w:type="dxa"/>
            <w:vAlign w:val="bottom"/>
            <w:tcBorders>
              <w:bottom w:val="single" w:sz="8" w:color="2C2C2C"/>
            </w:tcBorders>
            <w:gridSpan w:val="2"/>
          </w:tcPr>
          <w:p>
            <w:pPr>
              <w:jc w:val="right"/>
              <w:ind w:right="61"/>
              <w:spacing w:after="0"/>
              <w:rPr>
                <w:sz w:val="20"/>
                <w:szCs w:val="20"/>
                <w:color w:val="auto"/>
              </w:rPr>
            </w:pPr>
            <w:r>
              <w:rPr>
                <w:rFonts w:ascii="Times New Roman" w:cs="Times New Roman" w:eastAsia="Times New Roman" w:hAnsi="Times New Roman"/>
                <w:sz w:val="15"/>
                <w:szCs w:val="15"/>
                <w:color w:val="0000FF"/>
              </w:rPr>
              <w:t>03/01/2023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03/01/2032</w:t>
            </w:r>
          </w:p>
        </w:tc>
        <w:tc>
          <w:tcPr>
            <w:tcW w:w="1740" w:type="dxa"/>
            <w:vAlign w:val="bottom"/>
            <w:tcBorders>
              <w:bottom w:val="single" w:sz="8" w:color="2C2C2C"/>
            </w:tcBorders>
          </w:tcPr>
          <w:p>
            <w:pPr>
              <w:jc w:val="center"/>
              <w:ind w:left="34"/>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20"/>
                <w:szCs w:val="20"/>
                <w:color w:val="0000FF"/>
                <w:w w:val="97"/>
              </w:rPr>
              <w:t>1,513</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145.67</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2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 granted pursuant to Waste Management, Inc. 2014 Stock Incentive Plan. The stock option vests 34% on the first anniversary of the date of grant with 33% vesting on the 2nd and 3rd anniversary of the date of grant.</w:t>
      </w:r>
    </w:p>
    <w:p>
      <w:pPr>
        <w:spacing w:after="0" w:line="17" w:lineRule="exact"/>
        <w:rPr>
          <w:rFonts w:ascii="Times New Roman" w:cs="Times New Roman" w:eastAsia="Times New Roman" w:hAnsi="Times New Roman"/>
          <w:sz w:val="15"/>
          <w:szCs w:val="15"/>
          <w:color w:val="008000"/>
        </w:rPr>
      </w:pPr>
    </w:p>
    <w:p>
      <w:pPr>
        <w:ind w:left="40" w:right="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 granted pursuant to Waste Management, Inc. 2014 Stock Incentive Plan. The stock option vests 25% on the first and second anniversary of the date of grant with the remaining 50% on the third anniversary of the date of grant.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poakcr.txt</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Courtney Tippy,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08/24/2022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2139"/>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Rob Longo, Courtney Tippy and Debra Woods as the undersigned's true and lawful attorneys-in-fact, with full power of substitution, to:</w:t>
      </w:r>
    </w:p>
    <w:p>
      <w:pPr>
        <w:spacing w:after="0" w:line="87" w:lineRule="exact"/>
        <w:rPr>
          <w:sz w:val="20"/>
          <w:szCs w:val="20"/>
          <w:color w:val="auto"/>
        </w:rPr>
      </w:pPr>
    </w:p>
    <w:p>
      <w:pPr>
        <w:ind w:right="1659"/>
        <w:spacing w:after="0" w:line="254"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107" w:lineRule="exact"/>
        <w:rPr>
          <w:rFonts w:ascii="Courier New" w:cs="Courier New" w:eastAsia="Courier New" w:hAnsi="Courier New"/>
          <w:sz w:val="20"/>
          <w:szCs w:val="20"/>
          <w:color w:val="auto"/>
        </w:rPr>
      </w:pPr>
    </w:p>
    <w:p>
      <w:pPr>
        <w:ind w:right="1659"/>
        <w:spacing w:after="0" w:line="265"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99" w:lineRule="exact"/>
        <w:rPr>
          <w:rFonts w:ascii="Courier New" w:cs="Courier New" w:eastAsia="Courier New" w:hAnsi="Courier New"/>
          <w:sz w:val="20"/>
          <w:szCs w:val="20"/>
          <w:color w:val="auto"/>
        </w:rPr>
      </w:pPr>
    </w:p>
    <w:p>
      <w:pPr>
        <w:ind w:right="1899"/>
        <w:spacing w:after="0" w:line="252"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10"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8"/>
          <w:szCs w:val="18"/>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5" w:lineRule="exact"/>
        <w:rPr>
          <w:sz w:val="20"/>
          <w:szCs w:val="20"/>
          <w:color w:val="auto"/>
        </w:rPr>
      </w:pPr>
    </w:p>
    <w:p>
      <w:pPr>
        <w:jc w:val="both"/>
        <w:ind w:right="2139"/>
        <w:spacing w:after="0" w:line="318" w:lineRule="auto"/>
        <w:rPr>
          <w:sz w:val="20"/>
          <w:szCs w:val="20"/>
          <w:color w:val="auto"/>
        </w:rPr>
      </w:pPr>
      <w:r>
        <w:rPr>
          <w:rFonts w:ascii="Courier New" w:cs="Courier New" w:eastAsia="Courier New" w:hAnsi="Courier New"/>
          <w:sz w:val="18"/>
          <w:szCs w:val="18"/>
          <w:color w:val="auto"/>
        </w:rPr>
        <w:t>of the undersigned, are not assuming, nor is the Company assuming, any of the undersigned's responsibilities to comply with Section 16 of the Exchange Act or any other law, rule or regulation.</w:t>
      </w:r>
    </w:p>
    <w:p>
      <w:pPr>
        <w:spacing w:after="0" w:line="54"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03" w:lineRule="exact"/>
        <w:rPr>
          <w:sz w:val="20"/>
          <w:szCs w:val="20"/>
          <w:color w:val="auto"/>
        </w:rPr>
      </w:pPr>
    </w:p>
    <w:p>
      <w:pPr>
        <w:ind w:right="2959"/>
        <w:spacing w:after="0" w:line="41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19 day of August, 2022.</w:t>
      </w:r>
    </w:p>
    <w:p>
      <w:pPr>
        <w:sectPr>
          <w:pgSz w:w="11900" w:h="16838" w:orient="portrait"/>
          <w:cols w:equalWidth="0" w:num="1">
            <w:col w:w="9979"/>
          </w:cols>
          <w:pgMar w:left="480" w:top="106" w:right="1440" w:bottom="1440" w:gutter="0" w:footer="0" w:header="0"/>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/s/Kelly C. Rooney</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Kelly C. Rooney</w:t>
      </w:r>
    </w:p>
    <w:sectPr>
      <w:pgSz w:w="11900" w:h="16838" w:orient="portrait"/>
      <w:cols w:equalWidth="0" w:num="2">
        <w:col w:w="1180" w:space="700"/>
        <w:col w:w="8099"/>
      </w:cols>
      <w:pgMar w:left="480" w:top="10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43720" TargetMode="External"/><Relationship Id="rId11"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2022-08-24T11:39:28Z</dcterms:created>
  <dcterms:modified xsi:type="dcterms:W3CDTF">2022-08-24T11:39:28Z</dcterms:modified>
</cp:coreProperties>
</file>