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As filed with the Securities and Exchange Commission on July 30, 2020</w:t>
      </w:r>
    </w:p>
    <w:p>
      <w:pPr>
        <w:spacing w:after="0" w:line="23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S-8</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182"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20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(State or other jurisdiction of incorporation or</w:t>
      </w:r>
    </w:p>
    <w:p>
      <w:pPr>
        <w:spacing w:after="0" w:line="32"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(I.R.S. Employer Identification Number)</w:t>
      </w:r>
    </w:p>
    <w:p>
      <w:pPr>
        <w:spacing w:after="0" w:line="438" w:lineRule="exact"/>
        <w:rPr>
          <w:sz w:val="24"/>
          <w:szCs w:val="24"/>
          <w:color w:val="auto"/>
        </w:rPr>
      </w:pPr>
    </w:p>
    <w:p>
      <w:pPr>
        <w:sectPr>
          <w:pgSz w:w="11900" w:h="16838" w:orient="portrait"/>
          <w:cols w:equalWidth="0" w:num="2">
            <w:col w:w="6360" w:space="720"/>
            <w:col w:w="4160"/>
          </w:cols>
          <w:pgMar w:left="320" w:top="229" w:right="339" w:bottom="1440" w:gutter="0" w:footer="0" w:header="0"/>
          <w:type w:val="continuous"/>
        </w:sect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ind w:right="40"/>
        <w:spacing w:after="0" w:line="266" w:lineRule="auto"/>
        <w:rPr>
          <w:sz w:val="20"/>
          <w:szCs w:val="20"/>
          <w:color w:val="auto"/>
        </w:rPr>
      </w:pPr>
      <w:r>
        <w:rPr>
          <w:rFonts w:ascii="Arial" w:cs="Arial" w:eastAsia="Arial" w:hAnsi="Arial"/>
          <w:sz w:val="18"/>
          <w:szCs w:val="18"/>
          <w:b w:val="1"/>
          <w:bCs w:val="1"/>
          <w:color w:val="auto"/>
        </w:rPr>
        <w:t xml:space="preserve">WASTE MANAGEMENT, INC. EMPLOYEE STOCK PURCHASE PLAN (Amendment and Restatement Effective May 12, 2020) </w:t>
      </w:r>
      <w:r>
        <w:rPr>
          <w:rFonts w:ascii="Arial" w:cs="Arial" w:eastAsia="Arial" w:hAnsi="Arial"/>
          <w:sz w:val="18"/>
          <w:szCs w:val="18"/>
          <w:color w:val="auto"/>
        </w:rPr>
        <w:t>(Full titles of the Plans)</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Charles C. Boettcher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ind w:right="10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53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5660" w:type="dxa"/>
            <w:vAlign w:val="bottom"/>
          </w:tcPr>
          <w:p>
            <w:pPr>
              <w:ind w:left="3520"/>
              <w:spacing w:after="0"/>
              <w:rPr>
                <w:sz w:val="20"/>
                <w:szCs w:val="20"/>
                <w:color w:val="auto"/>
              </w:rPr>
            </w:pPr>
            <w:r>
              <w:rPr>
                <w:rFonts w:ascii="Arial" w:cs="Arial" w:eastAsia="Arial" w:hAnsi="Arial"/>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534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5660" w:type="dxa"/>
            <w:vAlign w:val="bottom"/>
          </w:tcPr>
          <w:p>
            <w:pPr>
              <w:ind w:left="3520"/>
              <w:spacing w:after="0"/>
              <w:rPr>
                <w:sz w:val="20"/>
                <w:szCs w:val="20"/>
                <w:color w:val="auto"/>
              </w:rPr>
            </w:pPr>
            <w:r>
              <w:rPr>
                <w:rFonts w:ascii="Arial" w:cs="Arial" w:eastAsia="Arial" w:hAnsi="Arial"/>
                <w:sz w:val="18"/>
                <w:szCs w:val="18"/>
                <w:color w:val="auto"/>
                <w:w w:val="98"/>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5340" w:type="dxa"/>
            <w:vAlign w:val="bottom"/>
          </w:tcPr>
          <w:p>
            <w:pPr>
              <w:spacing w:after="0"/>
              <w:rPr>
                <w:sz w:val="24"/>
                <w:szCs w:val="24"/>
                <w:color w:val="auto"/>
              </w:rPr>
            </w:pPr>
          </w:p>
        </w:tc>
        <w:tc>
          <w:tcPr>
            <w:tcW w:w="5660" w:type="dxa"/>
            <w:vAlign w:val="bottom"/>
          </w:tcPr>
          <w:p>
            <w:pPr>
              <w:ind w:left="3520"/>
              <w:spacing w:after="0"/>
              <w:rPr>
                <w:sz w:val="20"/>
                <w:szCs w:val="20"/>
                <w:color w:val="auto"/>
              </w:rPr>
            </w:pPr>
            <w:r>
              <w:rPr>
                <w:rFonts w:ascii="Arial" w:cs="Arial" w:eastAsia="Arial" w:hAnsi="Arial"/>
                <w:sz w:val="18"/>
                <w:szCs w:val="18"/>
                <w:color w:val="auto"/>
                <w:w w:val="95"/>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040" w:type="dxa"/>
            <w:vAlign w:val="bottom"/>
            <w:tcBorders>
              <w:top w:val="single" w:sz="8" w:color="auto"/>
              <w:bottom w:val="single" w:sz="8" w:color="auto"/>
              <w:right w:val="single" w:sz="8" w:color="auto"/>
            </w:tcBorders>
          </w:tcPr>
          <w:p>
            <w:pPr>
              <w:spacing w:after="0"/>
              <w:rPr>
                <w:sz w:val="3"/>
                <w:szCs w:val="3"/>
                <w:color w:val="auto"/>
              </w:rPr>
            </w:pPr>
          </w:p>
        </w:tc>
        <w:tc>
          <w:tcPr>
            <w:tcW w:w="2000" w:type="dxa"/>
            <w:vAlign w:val="bottom"/>
            <w:tcBorders>
              <w:top w:val="single" w:sz="8" w:color="auto"/>
              <w:bottom w:val="single" w:sz="8" w:color="auto"/>
              <w:right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right w:val="single" w:sz="8" w:color="auto"/>
            </w:tcBorders>
          </w:tcPr>
          <w:p>
            <w:pPr>
              <w:spacing w:after="0"/>
              <w:rPr>
                <w:sz w:val="3"/>
                <w:szCs w:val="3"/>
                <w:color w:val="auto"/>
              </w:rPr>
            </w:pPr>
          </w:p>
        </w:tc>
        <w:tc>
          <w:tcPr>
            <w:tcW w:w="32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right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r>
      <w:tr>
        <w:trPr>
          <w:trHeight w:val="178"/>
        </w:trPr>
        <w:tc>
          <w:tcPr>
            <w:tcW w:w="3040" w:type="dxa"/>
            <w:vAlign w:val="bottom"/>
            <w:tcBorders>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Borders>
              <w:right w:val="single" w:sz="8" w:color="auto"/>
            </w:tcBorders>
          </w:tcPr>
          <w:p>
            <w:pPr>
              <w:jc w:val="center"/>
              <w:ind w:right="110"/>
              <w:spacing w:after="0" w:line="178" w:lineRule="exact"/>
              <w:rPr>
                <w:sz w:val="20"/>
                <w:szCs w:val="20"/>
                <w:color w:val="auto"/>
              </w:rPr>
            </w:pPr>
            <w:r>
              <w:rPr>
                <w:rFonts w:ascii="Arial" w:cs="Arial" w:eastAsia="Arial" w:hAnsi="Arial"/>
                <w:sz w:val="18"/>
                <w:szCs w:val="18"/>
                <w:b w:val="1"/>
                <w:bCs w:val="1"/>
                <w:color w:val="auto"/>
                <w:w w:val="89"/>
              </w:rPr>
              <w:t>Proposed maximum</w:t>
            </w:r>
          </w:p>
        </w:tc>
        <w:tc>
          <w:tcPr>
            <w:tcW w:w="320" w:type="dxa"/>
            <w:vAlign w:val="bottom"/>
          </w:tcPr>
          <w:p>
            <w:pPr>
              <w:spacing w:after="0"/>
              <w:rPr>
                <w:sz w:val="15"/>
                <w:szCs w:val="15"/>
                <w:color w:val="auto"/>
              </w:rPr>
            </w:pPr>
          </w:p>
        </w:tc>
        <w:tc>
          <w:tcPr>
            <w:tcW w:w="1780" w:type="dxa"/>
            <w:vAlign w:val="bottom"/>
            <w:tcBorders>
              <w:right w:val="single" w:sz="8" w:color="auto"/>
            </w:tcBorders>
          </w:tcPr>
          <w:p>
            <w:pPr>
              <w:jc w:val="center"/>
              <w:ind w:right="110"/>
              <w:spacing w:after="0" w:line="178" w:lineRule="exact"/>
              <w:rPr>
                <w:sz w:val="20"/>
                <w:szCs w:val="20"/>
                <w:color w:val="auto"/>
              </w:rPr>
            </w:pPr>
            <w:r>
              <w:rPr>
                <w:rFonts w:ascii="Arial" w:cs="Arial" w:eastAsia="Arial" w:hAnsi="Arial"/>
                <w:sz w:val="18"/>
                <w:szCs w:val="18"/>
                <w:b w:val="1"/>
                <w:bCs w:val="1"/>
                <w:color w:val="auto"/>
                <w:w w:val="89"/>
              </w:rPr>
              <w:t>Proposed maximum</w:t>
            </w:r>
          </w:p>
        </w:tc>
        <w:tc>
          <w:tcPr>
            <w:tcW w:w="4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16"/>
        </w:trPr>
        <w:tc>
          <w:tcPr>
            <w:tcW w:w="3040" w:type="dxa"/>
            <w:vAlign w:val="bottom"/>
            <w:tcBorders>
              <w:right w:val="single" w:sz="8" w:color="auto"/>
            </w:tcBorders>
          </w:tcPr>
          <w:p>
            <w:pPr>
              <w:ind w:left="880"/>
              <w:spacing w:after="0"/>
              <w:rPr>
                <w:sz w:val="20"/>
                <w:szCs w:val="20"/>
                <w:color w:val="auto"/>
              </w:rPr>
            </w:pPr>
            <w:r>
              <w:rPr>
                <w:rFonts w:ascii="Arial" w:cs="Arial" w:eastAsia="Arial" w:hAnsi="Arial"/>
                <w:sz w:val="18"/>
                <w:szCs w:val="18"/>
                <w:b w:val="1"/>
                <w:bCs w:val="1"/>
                <w:color w:val="auto"/>
              </w:rPr>
              <w:t>Title of securities</w:t>
            </w:r>
          </w:p>
        </w:tc>
        <w:tc>
          <w:tcPr>
            <w:tcW w:w="2000" w:type="dxa"/>
            <w:vAlign w:val="bottom"/>
            <w:tcBorders>
              <w:right w:val="single" w:sz="8" w:color="auto"/>
            </w:tcBorders>
          </w:tcPr>
          <w:p>
            <w:pPr>
              <w:ind w:left="480"/>
              <w:spacing w:after="0"/>
              <w:rPr>
                <w:sz w:val="20"/>
                <w:szCs w:val="20"/>
                <w:color w:val="auto"/>
              </w:rPr>
            </w:pPr>
            <w:r>
              <w:rPr>
                <w:rFonts w:ascii="Arial" w:cs="Arial" w:eastAsia="Arial" w:hAnsi="Arial"/>
                <w:sz w:val="18"/>
                <w:szCs w:val="18"/>
                <w:b w:val="1"/>
                <w:bCs w:val="1"/>
                <w:color w:val="auto"/>
              </w:rPr>
              <w:t>Amount to be</w:t>
            </w:r>
          </w:p>
        </w:tc>
        <w:tc>
          <w:tcPr>
            <w:tcW w:w="320" w:type="dxa"/>
            <w:vAlign w:val="bottom"/>
          </w:tcPr>
          <w:p>
            <w:pPr>
              <w:spacing w:after="0"/>
              <w:rPr>
                <w:sz w:val="18"/>
                <w:szCs w:val="18"/>
                <w:color w:val="auto"/>
              </w:rPr>
            </w:pPr>
          </w:p>
        </w:tc>
        <w:tc>
          <w:tcPr>
            <w:tcW w:w="17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offering price per</w:t>
            </w:r>
          </w:p>
        </w:tc>
        <w:tc>
          <w:tcPr>
            <w:tcW w:w="320" w:type="dxa"/>
            <w:vAlign w:val="bottom"/>
          </w:tcPr>
          <w:p>
            <w:pPr>
              <w:spacing w:after="0"/>
              <w:rPr>
                <w:sz w:val="18"/>
                <w:szCs w:val="18"/>
                <w:color w:val="auto"/>
              </w:rPr>
            </w:pPr>
          </w:p>
        </w:tc>
        <w:tc>
          <w:tcPr>
            <w:tcW w:w="1780" w:type="dxa"/>
            <w:vAlign w:val="bottom"/>
            <w:tcBorders>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aggregate offering</w:t>
            </w:r>
          </w:p>
        </w:tc>
        <w:tc>
          <w:tcPr>
            <w:tcW w:w="40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Amount of</w:t>
            </w:r>
          </w:p>
        </w:tc>
      </w:tr>
      <w:tr>
        <w:trPr>
          <w:trHeight w:val="241"/>
        </w:trPr>
        <w:tc>
          <w:tcPr>
            <w:tcW w:w="304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to be registered</w:t>
            </w:r>
          </w:p>
        </w:tc>
        <w:tc>
          <w:tcPr>
            <w:tcW w:w="2000" w:type="dxa"/>
            <w:vAlign w:val="bottom"/>
            <w:tcBorders>
              <w:bottom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Registered (1)</w:t>
            </w: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7"/>
              </w:rPr>
              <w:t>share (2)</w:t>
            </w: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price (2)</w:t>
            </w:r>
          </w:p>
        </w:tc>
        <w:tc>
          <w:tcPr>
            <w:tcW w:w="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registration fee</w:t>
            </w:r>
          </w:p>
        </w:tc>
      </w:tr>
      <w:tr>
        <w:trPr>
          <w:trHeight w:val="202"/>
        </w:trPr>
        <w:tc>
          <w:tcPr>
            <w:tcW w:w="30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Common Stock, par value $0.01 per</w:t>
            </w:r>
          </w:p>
        </w:tc>
        <w:tc>
          <w:tcPr>
            <w:tcW w:w="20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3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share, reserved for issuance under the</w:t>
            </w:r>
          </w:p>
        </w:tc>
        <w:tc>
          <w:tcPr>
            <w:tcW w:w="2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3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Waste Management, Inc. Employee</w:t>
            </w:r>
          </w:p>
        </w:tc>
        <w:tc>
          <w:tcPr>
            <w:tcW w:w="20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30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Stock Purchase Plan</w:t>
            </w:r>
          </w:p>
        </w:tc>
        <w:tc>
          <w:tcPr>
            <w:tcW w:w="200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3,000,000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107.08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321,240,000</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41,696.95</w:t>
            </w:r>
          </w:p>
        </w:tc>
      </w:tr>
      <w:tr>
        <w:trPr>
          <w:trHeight w:val="20"/>
        </w:trPr>
        <w:tc>
          <w:tcPr>
            <w:tcW w:w="3040" w:type="dxa"/>
            <w:vAlign w:val="bottom"/>
            <w:tcBorders>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3" w:lineRule="exact"/>
        <w:rPr>
          <w:sz w:val="24"/>
          <w:szCs w:val="24"/>
          <w:color w:val="auto"/>
        </w:rPr>
      </w:pPr>
    </w:p>
    <w:p>
      <w:pPr>
        <w:ind w:left="460" w:right="240" w:hanging="416"/>
        <w:spacing w:after="0" w:line="259"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Relates to Common Stock to be issued pursuant to the Waste Management, Inc. Employee Stock Purchase Plan. Pursuant to Rule 416(a) under the Securities Act of 1933, as amended, this registration statement on Form S-8 also shall cover rights to acquire Common Stock and any additional shares of Common Stock in respect of the securities identified in the above table as a result of any stock split, stock dividend or anti-dilution provisions of the Plan.</w:t>
      </w:r>
    </w:p>
    <w:p>
      <w:pPr>
        <w:spacing w:after="0" w:line="186" w:lineRule="exact"/>
        <w:rPr>
          <w:rFonts w:ascii="Arial" w:cs="Arial" w:eastAsia="Arial" w:hAnsi="Arial"/>
          <w:sz w:val="18"/>
          <w:szCs w:val="18"/>
          <w:color w:val="auto"/>
        </w:rPr>
      </w:pPr>
    </w:p>
    <w:p>
      <w:pPr>
        <w:ind w:left="460" w:hanging="416"/>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maximum offering price per share is estimated solely for the purpose of calculating the registration fee pursuant to Rule 457(c) and</w:t>
      </w:r>
    </w:p>
    <w:p>
      <w:pPr>
        <w:spacing w:after="0" w:line="23" w:lineRule="exact"/>
        <w:rPr>
          <w:rFonts w:ascii="Arial" w:cs="Arial" w:eastAsia="Arial" w:hAnsi="Arial"/>
          <w:sz w:val="18"/>
          <w:szCs w:val="18"/>
          <w:color w:val="auto"/>
        </w:rPr>
      </w:pPr>
    </w:p>
    <w:p>
      <w:pPr>
        <w:ind w:left="460" w:right="80"/>
        <w:spacing w:after="0" w:line="260" w:lineRule="auto"/>
        <w:rPr>
          <w:rFonts w:ascii="Arial" w:cs="Arial" w:eastAsia="Arial" w:hAnsi="Arial"/>
          <w:sz w:val="18"/>
          <w:szCs w:val="18"/>
          <w:color w:val="auto"/>
        </w:rPr>
      </w:pPr>
      <w:r>
        <w:rPr>
          <w:rFonts w:ascii="Arial" w:cs="Arial" w:eastAsia="Arial" w:hAnsi="Arial"/>
          <w:sz w:val="18"/>
          <w:szCs w:val="18"/>
          <w:color w:val="auto"/>
        </w:rPr>
        <w:t>Rule 457(h) under the Securities Act based on the average of the high and low sales prices of the Common Stock as reported on the New York Stock Exchange on July 27,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598170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STATEMENT</w:t>
      </w:r>
    </w:p>
    <w:p>
      <w:pPr>
        <w:spacing w:after="0" w:line="229" w:lineRule="exact"/>
        <w:rPr>
          <w:sz w:val="20"/>
          <w:szCs w:val="20"/>
          <w:color w:val="auto"/>
        </w:rPr>
      </w:pPr>
    </w:p>
    <w:p>
      <w:pPr>
        <w:ind w:right="120" w:firstLine="648"/>
        <w:spacing w:after="0" w:line="291" w:lineRule="auto"/>
        <w:rPr>
          <w:rFonts w:ascii="Arial" w:cs="Arial" w:eastAsia="Arial" w:hAnsi="Arial"/>
          <w:sz w:val="16"/>
          <w:szCs w:val="16"/>
          <w:color w:val="0000EE"/>
        </w:rPr>
      </w:pPr>
      <w:r>
        <w:rPr>
          <w:rFonts w:ascii="Arial" w:cs="Arial" w:eastAsia="Arial" w:hAnsi="Arial"/>
          <w:sz w:val="16"/>
          <w:szCs w:val="16"/>
          <w:color w:val="auto"/>
        </w:rPr>
        <w:t xml:space="preserve">In accordance with General Instruction E of Form S-8 under the Securities Act of 1933, as amended, the Registrant has filed this registration statement on Form S-8 to register the issuance of an additional 3,000,000 shares of Common Stock pursuant to the Waste Management, Inc. Employee </w:t>
      </w:r>
      <w:hyperlink r:id="rId13">
        <w:r>
          <w:rPr>
            <w:rFonts w:ascii="Arial" w:cs="Arial" w:eastAsia="Arial" w:hAnsi="Arial"/>
            <w:sz w:val="16"/>
            <w:szCs w:val="16"/>
            <w:color w:val="auto"/>
          </w:rPr>
          <w:t xml:space="preserve">Stock Purchase Plan (the “Plan”). The contents of the Registration Statement on </w:t>
        </w:r>
        <w:r>
          <w:rPr>
            <w:rFonts w:ascii="Arial" w:cs="Arial" w:eastAsia="Arial" w:hAnsi="Arial"/>
            <w:sz w:val="16"/>
            <w:szCs w:val="16"/>
            <w:u w:val="single" w:color="auto"/>
            <w:color w:val="0000EE"/>
          </w:rPr>
          <w:t>Form S-8 (Registration No. 333-135379) filed by the Registrant with the</w:t>
        </w:r>
      </w:hyperlink>
      <w:r>
        <w:rPr>
          <w:rFonts w:ascii="Arial" w:cs="Arial" w:eastAsia="Arial" w:hAnsi="Arial"/>
          <w:sz w:val="16"/>
          <w:szCs w:val="16"/>
          <w:color w:val="auto"/>
        </w:rPr>
        <w:t xml:space="preserve"> </w:t>
      </w:r>
      <w:hyperlink r:id="rId14">
        <w:r>
          <w:rPr>
            <w:rFonts w:ascii="Arial" w:cs="Arial" w:eastAsia="Arial" w:hAnsi="Arial"/>
            <w:sz w:val="16"/>
            <w:szCs w:val="16"/>
            <w:u w:val="single" w:color="auto"/>
            <w:color w:val="0000EE"/>
          </w:rPr>
          <w:t>Securities and Exchange Commission (the “Commission”) on June 27, 2006</w:t>
        </w:r>
        <w:r>
          <w:rPr>
            <w:rFonts w:ascii="Arial" w:cs="Arial" w:eastAsia="Arial" w:hAnsi="Arial"/>
            <w:sz w:val="16"/>
            <w:szCs w:val="16"/>
            <w:color w:val="000000"/>
          </w:rPr>
          <w:t>, the Registration Statement on</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Form S-8 (Registration No. 333-159475) filed</w:t>
        </w:r>
      </w:hyperlink>
      <w:r>
        <w:rPr>
          <w:rFonts w:ascii="Arial" w:cs="Arial" w:eastAsia="Arial" w:hAnsi="Arial"/>
          <w:sz w:val="16"/>
          <w:szCs w:val="16"/>
          <w:color w:val="0000EE"/>
        </w:rPr>
        <w:t xml:space="preserve"> </w:t>
      </w:r>
      <w:hyperlink r:id="rId15">
        <w:r>
          <w:rPr>
            <w:rFonts w:ascii="Arial" w:cs="Arial" w:eastAsia="Arial" w:hAnsi="Arial"/>
            <w:sz w:val="16"/>
            <w:szCs w:val="16"/>
            <w:u w:val="single" w:color="auto"/>
            <w:color w:val="0000EE"/>
          </w:rPr>
          <w:t>by the Registrant with the Commission on May 26, 2009</w:t>
        </w:r>
        <w:r>
          <w:rPr>
            <w:rFonts w:ascii="Arial" w:cs="Arial" w:eastAsia="Arial" w:hAnsi="Arial"/>
            <w:sz w:val="16"/>
            <w:szCs w:val="16"/>
            <w:color w:val="000000"/>
          </w:rPr>
          <w:t>, the Registration Statement on</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Form S-8 (Registration No. 333-181335) filed by the Registrant</w:t>
        </w:r>
      </w:hyperlink>
      <w:r>
        <w:rPr>
          <w:rFonts w:ascii="Arial" w:cs="Arial" w:eastAsia="Arial" w:hAnsi="Arial"/>
          <w:sz w:val="16"/>
          <w:szCs w:val="16"/>
          <w:color w:val="0000EE"/>
        </w:rPr>
        <w:t xml:space="preserve"> </w:t>
      </w:r>
      <w:hyperlink r:id="rId16">
        <w:r>
          <w:rPr>
            <w:rFonts w:ascii="Arial" w:cs="Arial" w:eastAsia="Arial" w:hAnsi="Arial"/>
            <w:sz w:val="16"/>
            <w:szCs w:val="16"/>
            <w:u w:val="single" w:color="auto"/>
            <w:color w:val="0000EE"/>
          </w:rPr>
          <w:t>with the Commission on May 11, 2012</w:t>
        </w:r>
        <w:r>
          <w:rPr>
            <w:rFonts w:ascii="Arial" w:cs="Arial" w:eastAsia="Arial" w:hAnsi="Arial"/>
            <w:sz w:val="16"/>
            <w:szCs w:val="16"/>
            <w:color w:val="000000"/>
          </w:rPr>
          <w:t>, and the Registration Statement on</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Form S-8 (Registration No. 333-204319) filed by the Registrant with the</w:t>
        </w:r>
      </w:hyperlink>
      <w:r>
        <w:rPr>
          <w:rFonts w:ascii="Arial" w:cs="Arial" w:eastAsia="Arial" w:hAnsi="Arial"/>
          <w:sz w:val="16"/>
          <w:szCs w:val="16"/>
          <w:color w:val="0000EE"/>
        </w:rPr>
        <w:t xml:space="preserve"> </w:t>
      </w:r>
      <w:hyperlink r:id="rId16">
        <w:r>
          <w:rPr>
            <w:rFonts w:ascii="Arial" w:cs="Arial" w:eastAsia="Arial" w:hAnsi="Arial"/>
            <w:sz w:val="16"/>
            <w:szCs w:val="16"/>
            <w:u w:val="single" w:color="auto"/>
            <w:color w:val="0000EE"/>
          </w:rPr>
          <w:t>Commission on May 20, 2015</w:t>
        </w:r>
        <w:r>
          <w:rPr>
            <w:rFonts w:ascii="Arial" w:cs="Arial" w:eastAsia="Arial" w:hAnsi="Arial"/>
            <w:sz w:val="16"/>
            <w:szCs w:val="16"/>
            <w:color w:val="0000EE"/>
          </w:rPr>
          <w:t xml:space="preserve"> </w:t>
        </w:r>
        <w:r>
          <w:rPr>
            <w:rFonts w:ascii="Arial" w:cs="Arial" w:eastAsia="Arial" w:hAnsi="Arial"/>
            <w:sz w:val="16"/>
            <w:szCs w:val="16"/>
            <w:color w:val="000000"/>
          </w:rPr>
          <w:t>are incorporated herein by reference except to the extent otherwise updated or modified by this Registration Statement.</w:t>
        </w:r>
      </w:hyperlink>
    </w:p>
    <w:p>
      <w:pPr>
        <w:spacing w:after="0" w:line="162" w:lineRule="exact"/>
        <w:rPr>
          <w:rFonts w:ascii="Arial" w:cs="Arial" w:eastAsia="Arial" w:hAnsi="Arial"/>
          <w:sz w:val="16"/>
          <w:szCs w:val="16"/>
          <w:color w:val="0000EE"/>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rFonts w:ascii="Arial" w:cs="Arial" w:eastAsia="Arial" w:hAnsi="Arial"/>
          <w:sz w:val="16"/>
          <w:szCs w:val="16"/>
          <w:color w:val="0000EE"/>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rFonts w:ascii="Arial" w:cs="Arial" w:eastAsia="Arial" w:hAnsi="Arial"/>
          <w:sz w:val="16"/>
          <w:szCs w:val="16"/>
          <w:color w:val="0000EE"/>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29" w:lineRule="exact"/>
        <w:rPr>
          <w:rFonts w:ascii="Arial" w:cs="Arial" w:eastAsia="Arial" w:hAnsi="Arial"/>
          <w:sz w:val="16"/>
          <w:szCs w:val="16"/>
          <w:color w:val="0000EE"/>
        </w:rPr>
      </w:pPr>
    </w:p>
    <w:p>
      <w:pPr>
        <w:ind w:left="660"/>
        <w:spacing w:after="0"/>
        <w:rPr>
          <w:sz w:val="20"/>
          <w:szCs w:val="20"/>
          <w:color w:val="auto"/>
        </w:rPr>
      </w:pPr>
      <w:r>
        <w:rPr>
          <w:rFonts w:ascii="Arial" w:cs="Arial" w:eastAsia="Arial" w:hAnsi="Arial"/>
          <w:sz w:val="17"/>
          <w:szCs w:val="17"/>
          <w:color w:val="auto"/>
        </w:rPr>
        <w:t>The following documents filed with the Commission by the Registrant are hereby incorporated by reference into this Registration Statement:</w:t>
      </w:r>
    </w:p>
    <w:p>
      <w:pPr>
        <w:spacing w:after="0" w:line="237" w:lineRule="exact"/>
        <w:rPr>
          <w:rFonts w:ascii="Arial" w:cs="Arial" w:eastAsia="Arial" w:hAnsi="Arial"/>
          <w:sz w:val="16"/>
          <w:szCs w:val="16"/>
          <w:color w:val="0000EE"/>
        </w:rPr>
      </w:pPr>
    </w:p>
    <w:p>
      <w:pPr>
        <w:ind w:left="660" w:hanging="436"/>
        <w:spacing w:after="0"/>
        <w:tabs>
          <w:tab w:leader="none" w:pos="660" w:val="left"/>
        </w:tabs>
        <w:numPr>
          <w:ilvl w:val="0"/>
          <w:numId w:val="2"/>
        </w:numPr>
        <w:rPr>
          <w:rFonts w:ascii="Arial" w:cs="Arial" w:eastAsia="Arial" w:hAnsi="Arial"/>
          <w:sz w:val="18"/>
          <w:szCs w:val="18"/>
          <w:u w:val="single" w:color="auto"/>
          <w:color w:val="0000EE"/>
        </w:rPr>
      </w:pPr>
      <w:hyperlink r:id="rId17">
        <w:r>
          <w:rPr>
            <w:rFonts w:ascii="Arial" w:cs="Arial" w:eastAsia="Arial" w:hAnsi="Arial"/>
            <w:sz w:val="18"/>
            <w:szCs w:val="18"/>
            <w:u w:val="single" w:color="auto"/>
            <w:color w:val="0000EE"/>
          </w:rPr>
          <w:t>Annual Report on Form 10-K for the fiscal year ended December 31, 2019.</w:t>
        </w:r>
      </w:hyperlink>
    </w:p>
    <w:p>
      <w:pPr>
        <w:spacing w:after="0" w:line="225" w:lineRule="exact"/>
        <w:rPr>
          <w:rFonts w:ascii="Arial" w:cs="Arial" w:eastAsia="Arial" w:hAnsi="Arial"/>
          <w:sz w:val="18"/>
          <w:szCs w:val="18"/>
          <w:u w:val="single" w:color="auto"/>
          <w:color w:val="0000EE"/>
        </w:rPr>
      </w:pPr>
    </w:p>
    <w:p>
      <w:pPr>
        <w:ind w:left="660" w:hanging="43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Quarterly Report on Form 10-Q for the quarters ended </w:t>
      </w:r>
      <w:hyperlink r:id="rId18">
        <w:r>
          <w:rPr>
            <w:rFonts w:ascii="Arial" w:cs="Arial" w:eastAsia="Arial" w:hAnsi="Arial"/>
            <w:sz w:val="18"/>
            <w:szCs w:val="18"/>
            <w:u w:val="single" w:color="auto"/>
            <w:color w:val="0000EE"/>
          </w:rPr>
          <w:t>March 31,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9">
        <w:r>
          <w:rPr>
            <w:rFonts w:ascii="Arial" w:cs="Arial" w:eastAsia="Arial" w:hAnsi="Arial"/>
            <w:sz w:val="18"/>
            <w:szCs w:val="18"/>
            <w:u w:val="single" w:color="auto"/>
            <w:color w:val="0000EE"/>
          </w:rPr>
          <w:t>June 30, 2020</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436"/>
        <w:spacing w:after="0"/>
        <w:tabs>
          <w:tab w:leader="none" w:pos="660" w:val="left"/>
        </w:tabs>
        <w:numPr>
          <w:ilvl w:val="0"/>
          <w:numId w:val="2"/>
        </w:numPr>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The description of the Registrant’s Common Stock on Form 8-B filed with the Commission on July 13, 1995.</w:t>
        </w:r>
      </w:hyperlink>
    </w:p>
    <w:p>
      <w:pPr>
        <w:spacing w:after="0" w:line="225" w:lineRule="exact"/>
        <w:rPr>
          <w:rFonts w:ascii="Arial" w:cs="Arial" w:eastAsia="Arial" w:hAnsi="Arial"/>
          <w:sz w:val="18"/>
          <w:szCs w:val="18"/>
          <w:u w:val="single" w:color="auto"/>
          <w:color w:val="0000EE"/>
        </w:rPr>
      </w:pPr>
    </w:p>
    <w:p>
      <w:pPr>
        <w:ind w:left="660" w:right="580" w:hanging="436"/>
        <w:spacing w:after="0" w:line="277" w:lineRule="auto"/>
        <w:tabs>
          <w:tab w:leader="none" w:pos="660"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with the Commission on </w:t>
      </w:r>
      <w:hyperlink r:id="rId21">
        <w:r>
          <w:rPr>
            <w:rFonts w:ascii="Arial" w:cs="Arial" w:eastAsia="Arial" w:hAnsi="Arial"/>
            <w:sz w:val="18"/>
            <w:szCs w:val="18"/>
            <w:u w:val="single" w:color="auto"/>
            <w:color w:val="0000EE"/>
          </w:rPr>
          <w:t>February 25,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by Form 8-K/A filed with the Commission on </w:t>
      </w:r>
      <w:hyperlink r:id="rId22">
        <w:r>
          <w:rPr>
            <w:rFonts w:ascii="Arial" w:cs="Arial" w:eastAsia="Arial" w:hAnsi="Arial"/>
            <w:sz w:val="18"/>
            <w:szCs w:val="18"/>
            <w:u w:val="single" w:color="auto"/>
            <w:color w:val="0000EE"/>
          </w:rPr>
          <w:t>April 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3">
        <w:r>
          <w:rPr>
            <w:rFonts w:ascii="Arial" w:cs="Arial" w:eastAsia="Arial" w:hAnsi="Arial"/>
            <w:sz w:val="18"/>
            <w:szCs w:val="18"/>
            <w:u w:val="single" w:color="auto"/>
            <w:color w:val="0000EE"/>
          </w:rPr>
          <w:t>March 18,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4">
        <w:r>
          <w:rPr>
            <w:rFonts w:ascii="Arial" w:cs="Arial" w:eastAsia="Arial" w:hAnsi="Arial"/>
            <w:sz w:val="18"/>
            <w:szCs w:val="18"/>
            <w:u w:val="single" w:color="auto"/>
            <w:color w:val="0000EE"/>
          </w:rPr>
          <w:t>May 15,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5">
        <w:r>
          <w:rPr>
            <w:rFonts w:ascii="Arial" w:cs="Arial" w:eastAsia="Arial" w:hAnsi="Arial"/>
            <w:sz w:val="18"/>
            <w:szCs w:val="18"/>
            <w:u w:val="single" w:color="auto"/>
            <w:color w:val="0000EE"/>
          </w:rPr>
          <w:t>June 24,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26">
        <w:r>
          <w:rPr>
            <w:rFonts w:ascii="Arial" w:cs="Arial" w:eastAsia="Arial" w:hAnsi="Arial"/>
            <w:sz w:val="18"/>
            <w:szCs w:val="18"/>
            <w:u w:val="single" w:color="auto"/>
            <w:color w:val="0000EE"/>
          </w:rPr>
          <w:t>July 15,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27">
        <w:r>
          <w:rPr>
            <w:rFonts w:ascii="Arial" w:cs="Arial" w:eastAsia="Arial" w:hAnsi="Arial"/>
            <w:sz w:val="18"/>
            <w:szCs w:val="18"/>
            <w:u w:val="single" w:color="auto"/>
            <w:color w:val="0000EE"/>
          </w:rPr>
          <w:t>July 30, 2020</w:t>
        </w:r>
      </w:hyperlink>
      <w:r>
        <w:rPr>
          <w:rFonts w:ascii="Arial" w:cs="Arial" w:eastAsia="Arial" w:hAnsi="Arial"/>
          <w:sz w:val="18"/>
          <w:szCs w:val="18"/>
          <w:color w:val="000000"/>
        </w:rPr>
        <w:t>.</w:t>
      </w:r>
    </w:p>
    <w:p>
      <w:pPr>
        <w:spacing w:after="0" w:line="170" w:lineRule="exact"/>
        <w:rPr>
          <w:rFonts w:ascii="Arial" w:cs="Arial" w:eastAsia="Arial" w:hAnsi="Arial"/>
          <w:sz w:val="18"/>
          <w:szCs w:val="18"/>
          <w:color w:val="0000EE"/>
        </w:rPr>
      </w:pPr>
    </w:p>
    <w:p>
      <w:pPr>
        <w:ind w:right="120" w:firstLine="648"/>
        <w:spacing w:after="0" w:line="257" w:lineRule="auto"/>
        <w:rPr>
          <w:sz w:val="20"/>
          <w:szCs w:val="20"/>
          <w:color w:val="auto"/>
        </w:rPr>
      </w:pPr>
      <w:r>
        <w:rPr>
          <w:rFonts w:ascii="Arial" w:cs="Arial" w:eastAsia="Arial" w:hAnsi="Arial"/>
          <w:sz w:val="18"/>
          <w:szCs w:val="18"/>
          <w:color w:val="auto"/>
        </w:rPr>
        <w:t>All documents subsequently filed by the Registrant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 The Registrant is not, however, incorporating, in each case, any documents or information that the Registrant is deemed to furnish and not file in accordance with Commission rules.</w:t>
      </w:r>
    </w:p>
    <w:p>
      <w:pPr>
        <w:spacing w:after="0" w:line="184" w:lineRule="exact"/>
        <w:rPr>
          <w:rFonts w:ascii="Arial" w:cs="Arial" w:eastAsia="Arial" w:hAnsi="Arial"/>
          <w:sz w:val="18"/>
          <w:szCs w:val="18"/>
          <w:color w:val="0000EE"/>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29" w:lineRule="exact"/>
        <w:rPr>
          <w:rFonts w:ascii="Arial" w:cs="Arial" w:eastAsia="Arial" w:hAnsi="Arial"/>
          <w:sz w:val="18"/>
          <w:szCs w:val="18"/>
          <w:color w:val="0000EE"/>
        </w:rPr>
      </w:pPr>
    </w:p>
    <w:p>
      <w:pPr>
        <w:ind w:firstLine="648"/>
        <w:spacing w:after="0" w:line="271" w:lineRule="auto"/>
        <w:rPr>
          <w:sz w:val="20"/>
          <w:szCs w:val="20"/>
          <w:color w:val="auto"/>
        </w:rPr>
      </w:pPr>
      <w:r>
        <w:rPr>
          <w:rFonts w:ascii="Arial" w:cs="Arial" w:eastAsia="Arial" w:hAnsi="Arial"/>
          <w:sz w:val="17"/>
          <w:szCs w:val="17"/>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corporation—a “derivative action”), if they acted in good faith and in a manner they reasonably believed to be in or not opposed to the best interests of the corporation and, with respect to any criminal actions or proceedings, had no reasonable cause to believe their conduct was unlawful. A similar standard is applicable in the case of derivative actions, except that indemnification only extends to expenses (including attorneys’ fees) actually and reasonably incurred in connection with the defense or settlement of such action, and the DGCL requires court approval before there can be any indemnification where the person seeking indemnification has been found liable to the corporation.</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right="80" w:firstLine="648"/>
        <w:spacing w:after="0" w:line="286" w:lineRule="auto"/>
        <w:rPr>
          <w:sz w:val="20"/>
          <w:szCs w:val="20"/>
          <w:color w:val="auto"/>
        </w:rPr>
      </w:pPr>
      <w:r>
        <w:rPr>
          <w:rFonts w:ascii="Arial" w:cs="Arial" w:eastAsia="Arial" w:hAnsi="Arial"/>
          <w:sz w:val="16"/>
          <w:szCs w:val="16"/>
          <w:color w:val="auto"/>
        </w:rPr>
        <w:t>The Registrant’s Certificate of Incorporation and By-laws require that it provide indemnification to the maximum extent permitted from time to time under DCGL, and upon request shall advance expenses to any person who is or was a party or is threatened to be made a party to any threatened, pending or completed action, suit, proceeding or claim, whether civil, criminal, administrative or investigative, by reason of the fact that such person is or was or has agreed to be a director or officer of the Registrant or any of its direct or indirect subsidiaries or while such a director or officer is or was serving at the request of the Registrant as a director, officer, partner, trustee, employee or agent of any corporation, partnership, joint venture, trust or other enterprise, including service with respect to employee benefit plans, against expenses (including attorney's fees and expenses), judgments, fines, penalties and amounts paid in settlement incurred in connection with the investigation, preparation to defend or defense of such action, suit, proceeding or claim; provided, however, that the Registrant is not required to indemnify or advance expenses to any person in connection with any action, suit, proceeding, claim or counterclaim initiated by or on behalf of such person. Such indemnification is not be exclusive of other indemnification rights arising under any By-laws, agreement, vote of directors or stockholders or otherwise and shall inure to the benefit of the heirs and legal representatives of such person. Additionally, the Registrant has direct contractual obligations to provide indemnification to each of the members of its Board of Directors and each of its executive officers. These agreements provide directors and executive officers with the same indemnification by the Registrant as described above and assure directors and executive officers that indemnification will continue to be provided despite future changes in the By-laws of the Registrant.</w:t>
      </w:r>
    </w:p>
    <w:p>
      <w:pPr>
        <w:spacing w:after="0" w:line="17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for payments of unlawful dividends or unlawful stock repurchases, redemptions or other distributions, or (iv) for any transaction from which the director derived an improper personal benefit. The Registrant’s Certificate of Incorporation provides that no director will be liable to the Registrant or its stockholders for any breach of fiduciary duty, except as limited under DGCL.</w:t>
      </w:r>
    </w:p>
    <w:p>
      <w:pPr>
        <w:spacing w:after="0" w:line="17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Registrant’s directors and officers are covered by insurance policies indemnifying against certain liabilities, including certain liabilities arising under the Securities Act that might be incurred by them in such capacities and against which the Registrant may not indemnify them.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this Registration Statement:</w:t>
      </w:r>
    </w:p>
    <w:p>
      <w:pPr>
        <w:spacing w:after="0" w:line="225" w:lineRule="exact"/>
        <w:rPr>
          <w:sz w:val="20"/>
          <w:szCs w:val="20"/>
          <w:color w:val="auto"/>
        </w:rPr>
      </w:pPr>
    </w:p>
    <w:p>
      <w:pPr>
        <w:ind w:left="580" w:right="20" w:hanging="903"/>
        <w:spacing w:after="0" w:line="277" w:lineRule="auto"/>
        <w:tabs>
          <w:tab w:leader="none" w:pos="560" w:val="left"/>
        </w:tabs>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4.1</w:t>
        </w:r>
      </w:hyperlink>
      <w:r>
        <w:rPr>
          <w:rFonts w:ascii="Arial" w:cs="Arial" w:eastAsia="Arial" w:hAnsi="Arial"/>
          <w:sz w:val="18"/>
          <w:szCs w:val="18"/>
          <w:color w:val="0000EE"/>
        </w:rPr>
        <w:tab/>
      </w:r>
      <w:r>
        <w:rPr>
          <w:rFonts w:ascii="Arial" w:cs="Arial" w:eastAsia="Arial" w:hAnsi="Arial"/>
          <w:sz w:val="18"/>
          <w:szCs w:val="18"/>
          <w:color w:val="0000FF"/>
        </w:rPr>
        <w:t xml:space="preserve">— </w:t>
      </w:r>
      <w:hyperlink r:id="rId29">
        <w:r>
          <w:rPr>
            <w:rFonts w:ascii="Arial" w:cs="Arial" w:eastAsia="Arial" w:hAnsi="Arial"/>
            <w:sz w:val="18"/>
            <w:szCs w:val="18"/>
            <w:u w:val="single" w:color="auto"/>
            <w:color w:val="0000EE"/>
          </w:rPr>
          <w:t>Third Restated Certificate of Incorporation (incorporated by reference to Exhibit 3.1 to the Registrant’s Quarterly Report on Form 10-Q for the</w:t>
        </w:r>
      </w:hyperlink>
      <w:r>
        <w:rPr>
          <w:rFonts w:ascii="Arial" w:cs="Arial" w:eastAsia="Arial" w:hAnsi="Arial"/>
          <w:sz w:val="18"/>
          <w:szCs w:val="18"/>
          <w:color w:val="0000FF"/>
        </w:rPr>
        <w:t xml:space="preserve"> </w:t>
      </w:r>
      <w:hyperlink r:id="rId29">
        <w:r>
          <w:rPr>
            <w:rFonts w:ascii="Arial" w:cs="Arial" w:eastAsia="Arial" w:hAnsi="Arial"/>
            <w:sz w:val="18"/>
            <w:szCs w:val="18"/>
            <w:u w:val="single" w:color="auto"/>
            <w:color w:val="0000EE"/>
          </w:rPr>
          <w:t>quarter ended June 30, 2010).</w:t>
        </w:r>
      </w:hyperlink>
    </w:p>
    <w:p>
      <w:pPr>
        <w:spacing w:after="0" w:line="170" w:lineRule="exact"/>
        <w:rPr>
          <w:rFonts w:ascii="Arial" w:cs="Arial" w:eastAsia="Arial" w:hAnsi="Arial"/>
          <w:sz w:val="18"/>
          <w:szCs w:val="18"/>
          <w:color w:val="0000EE"/>
        </w:rPr>
      </w:pPr>
    </w:p>
    <w:p>
      <w:pPr>
        <w:ind w:left="580" w:right="940" w:hanging="903"/>
        <w:spacing w:after="0" w:line="277" w:lineRule="auto"/>
        <w:tabs>
          <w:tab w:leader="none" w:pos="560" w:val="left"/>
        </w:tabs>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4.2</w:t>
        </w:r>
      </w:hyperlink>
      <w:r>
        <w:rPr>
          <w:rFonts w:ascii="Arial" w:cs="Arial" w:eastAsia="Arial" w:hAnsi="Arial"/>
          <w:sz w:val="18"/>
          <w:szCs w:val="18"/>
          <w:color w:val="0000EE"/>
        </w:rPr>
        <w:tab/>
      </w:r>
      <w:r>
        <w:rPr>
          <w:rFonts w:ascii="Arial" w:cs="Arial" w:eastAsia="Arial" w:hAnsi="Arial"/>
          <w:sz w:val="18"/>
          <w:szCs w:val="18"/>
          <w:color w:val="0000FF"/>
        </w:rPr>
        <w:t xml:space="preserve">— </w:t>
      </w:r>
      <w:hyperlink r:id="rId30">
        <w:r>
          <w:rPr>
            <w:rFonts w:ascii="Arial" w:cs="Arial" w:eastAsia="Arial" w:hAnsi="Arial"/>
            <w:sz w:val="18"/>
            <w:szCs w:val="18"/>
            <w:u w:val="single" w:color="auto"/>
            <w:color w:val="0000EE"/>
          </w:rPr>
          <w:t>Amended and Restated By-laws (incorporated by reference to Exhibit 3.2 to the Registrant’s Current Report on Form 8-K filed on</w:t>
        </w:r>
      </w:hyperlink>
      <w:r>
        <w:rPr>
          <w:rFonts w:ascii="Arial" w:cs="Arial" w:eastAsia="Arial" w:hAnsi="Arial"/>
          <w:sz w:val="18"/>
          <w:szCs w:val="18"/>
          <w:color w:val="0000FF"/>
        </w:rPr>
        <w:t xml:space="preserve"> </w:t>
      </w:r>
      <w:hyperlink r:id="rId30">
        <w:r>
          <w:rPr>
            <w:rFonts w:ascii="Arial" w:cs="Arial" w:eastAsia="Arial" w:hAnsi="Arial"/>
            <w:sz w:val="18"/>
            <w:szCs w:val="18"/>
            <w:u w:val="single" w:color="auto"/>
            <w:color w:val="0000EE"/>
          </w:rPr>
          <w:t>November 20, 2019).</w:t>
        </w:r>
      </w:hyperlink>
    </w:p>
    <w:p>
      <w:pPr>
        <w:spacing w:after="0" w:line="170" w:lineRule="exact"/>
        <w:rPr>
          <w:rFonts w:ascii="Arial" w:cs="Arial" w:eastAsia="Arial" w:hAnsi="Arial"/>
          <w:sz w:val="18"/>
          <w:szCs w:val="18"/>
          <w:color w:val="0000EE"/>
        </w:rPr>
      </w:pPr>
    </w:p>
    <w:p>
      <w:pPr>
        <w:spacing w:after="0"/>
        <w:tabs>
          <w:tab w:leader="none" w:pos="560" w:val="left"/>
          <w:tab w:leader="none" w:pos="90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5.1</w:t>
        </w:r>
      </w:hyperlink>
      <w:r>
        <w:rPr>
          <w:rFonts w:ascii="Arial" w:cs="Arial" w:eastAsia="Arial" w:hAnsi="Arial"/>
          <w:sz w:val="18"/>
          <w:szCs w:val="18"/>
          <w:color w:val="0000EE"/>
        </w:rPr>
        <w:tab/>
      </w:r>
      <w:r>
        <w:rPr>
          <w:rFonts w:ascii="Arial" w:cs="Arial" w:eastAsia="Arial" w:hAnsi="Arial"/>
          <w:sz w:val="18"/>
          <w:szCs w:val="18"/>
          <w:color w:val="0000FF"/>
        </w:rPr>
        <w:t>—</w:t>
      </w:r>
      <w:r>
        <w:rPr>
          <w:rFonts w:ascii="Arial" w:cs="Arial" w:eastAsia="Arial" w:hAnsi="Arial"/>
          <w:sz w:val="18"/>
          <w:szCs w:val="18"/>
          <w:color w:val="0000EE"/>
        </w:rPr>
        <w:tab/>
      </w:r>
      <w:hyperlink w:anchor="page6">
        <w:r>
          <w:rPr>
            <w:rFonts w:ascii="Arial" w:cs="Arial" w:eastAsia="Arial" w:hAnsi="Arial"/>
            <w:sz w:val="16"/>
            <w:szCs w:val="16"/>
            <w:u w:val="single" w:color="auto"/>
            <w:color w:val="0000EE"/>
          </w:rPr>
          <w:t>Opinion of Courtney Tippy.</w:t>
        </w:r>
      </w:hyperlink>
    </w:p>
    <w:p>
      <w:pPr>
        <w:spacing w:after="0" w:line="225" w:lineRule="exact"/>
        <w:rPr>
          <w:sz w:val="20"/>
          <w:szCs w:val="20"/>
          <w:color w:val="auto"/>
        </w:rPr>
      </w:pPr>
    </w:p>
    <w:p>
      <w:pPr>
        <w:spacing w:after="0"/>
        <w:tabs>
          <w:tab w:leader="none" w:pos="560" w:val="left"/>
          <w:tab w:leader="none" w:pos="90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23.1</w:t>
        </w:r>
      </w:hyperlink>
      <w:r>
        <w:rPr>
          <w:rFonts w:ascii="Arial" w:cs="Arial" w:eastAsia="Arial" w:hAnsi="Arial"/>
          <w:sz w:val="18"/>
          <w:szCs w:val="18"/>
          <w:color w:val="0000EE"/>
        </w:rPr>
        <w:tab/>
      </w:r>
      <w:r>
        <w:rPr>
          <w:rFonts w:ascii="Arial" w:cs="Arial" w:eastAsia="Arial" w:hAnsi="Arial"/>
          <w:sz w:val="18"/>
          <w:szCs w:val="18"/>
          <w:color w:val="0000FF"/>
        </w:rPr>
        <w:t>—</w:t>
      </w:r>
      <w:r>
        <w:rPr>
          <w:rFonts w:ascii="Arial" w:cs="Arial" w:eastAsia="Arial" w:hAnsi="Arial"/>
          <w:sz w:val="18"/>
          <w:szCs w:val="18"/>
          <w:color w:val="0000EE"/>
        </w:rPr>
        <w:tab/>
      </w:r>
      <w:hyperlink w:anchor="page7">
        <w:r>
          <w:rPr>
            <w:rFonts w:ascii="Arial" w:cs="Arial" w:eastAsia="Arial" w:hAnsi="Arial"/>
            <w:sz w:val="16"/>
            <w:szCs w:val="16"/>
            <w:u w:val="single" w:color="auto"/>
            <w:color w:val="0000EE"/>
          </w:rPr>
          <w:t>Consent of Ernst &amp; Young LLP</w:t>
        </w:r>
        <w:r>
          <w:rPr>
            <w:rFonts w:ascii="Arial" w:cs="Arial" w:eastAsia="Arial" w:hAnsi="Arial"/>
            <w:sz w:val="16"/>
            <w:szCs w:val="16"/>
            <w:color w:val="0000EE"/>
          </w:rPr>
          <w:t>.</w:t>
        </w:r>
      </w:hyperlink>
    </w:p>
    <w:p>
      <w:pPr>
        <w:spacing w:after="0" w:line="225" w:lineRule="exact"/>
        <w:rPr>
          <w:sz w:val="20"/>
          <w:szCs w:val="20"/>
          <w:color w:val="auto"/>
        </w:rPr>
      </w:pPr>
    </w:p>
    <w:p>
      <w:pPr>
        <w:spacing w:after="0"/>
        <w:tabs>
          <w:tab w:leader="none" w:pos="560" w:val="left"/>
          <w:tab w:leader="none" w:pos="90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23.2</w:t>
        </w:r>
      </w:hyperlink>
      <w:r>
        <w:rPr>
          <w:rFonts w:ascii="Arial" w:cs="Arial" w:eastAsia="Arial" w:hAnsi="Arial"/>
          <w:sz w:val="18"/>
          <w:szCs w:val="18"/>
          <w:color w:val="0000EE"/>
        </w:rPr>
        <w:tab/>
      </w:r>
      <w:r>
        <w:rPr>
          <w:rFonts w:ascii="Arial" w:cs="Arial" w:eastAsia="Arial" w:hAnsi="Arial"/>
          <w:sz w:val="18"/>
          <w:szCs w:val="18"/>
          <w:color w:val="0000FF"/>
        </w:rPr>
        <w:t>—</w:t>
      </w:r>
      <w:r>
        <w:rPr>
          <w:rFonts w:ascii="Arial" w:cs="Arial" w:eastAsia="Arial" w:hAnsi="Arial"/>
          <w:sz w:val="18"/>
          <w:szCs w:val="18"/>
          <w:color w:val="0000EE"/>
        </w:rPr>
        <w:tab/>
      </w:r>
      <w:hyperlink w:anchor="page6">
        <w:r>
          <w:rPr>
            <w:rFonts w:ascii="Arial" w:cs="Arial" w:eastAsia="Arial" w:hAnsi="Arial"/>
            <w:sz w:val="16"/>
            <w:szCs w:val="16"/>
            <w:u w:val="single" w:color="auto"/>
            <w:color w:val="0000EE"/>
          </w:rPr>
          <w:t>Consent of Courtney Tippy (included in Exhibit 5.1)</w:t>
        </w:r>
        <w:r>
          <w:rPr>
            <w:rFonts w:ascii="Arial" w:cs="Arial" w:eastAsia="Arial" w:hAnsi="Arial"/>
            <w:sz w:val="16"/>
            <w:szCs w:val="16"/>
            <w:color w:val="0000EE"/>
          </w:rPr>
          <w:t>.</w:t>
        </w:r>
      </w:hyperlink>
    </w:p>
    <w:p>
      <w:pPr>
        <w:spacing w:after="0" w:line="225" w:lineRule="exact"/>
        <w:rPr>
          <w:sz w:val="20"/>
          <w:szCs w:val="20"/>
          <w:color w:val="auto"/>
        </w:rPr>
      </w:pPr>
    </w:p>
    <w:p>
      <w:pPr>
        <w:spacing w:after="0"/>
        <w:tabs>
          <w:tab w:leader="none" w:pos="560" w:val="left"/>
          <w:tab w:leader="none" w:pos="90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24.1</w:t>
        </w:r>
      </w:hyperlink>
      <w:r>
        <w:rPr>
          <w:rFonts w:ascii="Arial" w:cs="Arial" w:eastAsia="Arial" w:hAnsi="Arial"/>
          <w:sz w:val="18"/>
          <w:szCs w:val="18"/>
          <w:color w:val="0000EE"/>
        </w:rPr>
        <w:tab/>
      </w:r>
      <w:r>
        <w:rPr>
          <w:rFonts w:ascii="Arial" w:cs="Arial" w:eastAsia="Arial" w:hAnsi="Arial"/>
          <w:sz w:val="18"/>
          <w:szCs w:val="18"/>
          <w:color w:val="0000FF"/>
        </w:rPr>
        <w:t>—</w:t>
      </w:r>
      <w:r>
        <w:rPr>
          <w:rFonts w:ascii="Arial" w:cs="Arial" w:eastAsia="Arial" w:hAnsi="Arial"/>
          <w:sz w:val="18"/>
          <w:szCs w:val="18"/>
          <w:color w:val="0000EE"/>
        </w:rPr>
        <w:tab/>
      </w:r>
      <w:hyperlink w:anchor="page5">
        <w:r>
          <w:rPr>
            <w:rFonts w:ascii="Arial" w:cs="Arial" w:eastAsia="Arial" w:hAnsi="Arial"/>
            <w:sz w:val="16"/>
            <w:szCs w:val="16"/>
            <w:u w:val="single" w:color="auto"/>
            <w:color w:val="0000EE"/>
          </w:rPr>
          <w:t>Powers of Attorney (included on the signature page of this Registration Statement).</w:t>
        </w:r>
      </w:hyperlink>
    </w:p>
    <w:p>
      <w:pPr>
        <w:spacing w:after="0" w:line="225" w:lineRule="exact"/>
        <w:rPr>
          <w:sz w:val="20"/>
          <w:szCs w:val="20"/>
          <w:color w:val="auto"/>
        </w:rPr>
      </w:pPr>
    </w:p>
    <w:p>
      <w:pPr>
        <w:ind w:left="580" w:right="460" w:hanging="903"/>
        <w:spacing w:after="0" w:line="277" w:lineRule="auto"/>
        <w:tabs>
          <w:tab w:leader="none" w:pos="560" w:val="left"/>
        </w:tabs>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8"/>
          <w:szCs w:val="18"/>
          <w:color w:val="0000FF"/>
        </w:rPr>
        <w:t xml:space="preserve">— </w:t>
      </w:r>
      <w:hyperlink r:id="rId31">
        <w:r>
          <w:rPr>
            <w:rFonts w:ascii="Arial" w:cs="Arial" w:eastAsia="Arial" w:hAnsi="Arial"/>
            <w:sz w:val="18"/>
            <w:szCs w:val="18"/>
            <w:u w:val="single" w:color="auto"/>
            <w:color w:val="0000EE"/>
          </w:rPr>
          <w:t>Waste Management, Inc. Employee Stock Purchase Plan (incorporated by reference to Exhibit 10.1 to the Registrant’s Current Report on</w:t>
        </w:r>
      </w:hyperlink>
      <w:r>
        <w:rPr>
          <w:rFonts w:ascii="Arial" w:cs="Arial" w:eastAsia="Arial" w:hAnsi="Arial"/>
          <w:sz w:val="18"/>
          <w:szCs w:val="18"/>
          <w:color w:val="0000FF"/>
        </w:rPr>
        <w:t xml:space="preserve"> </w:t>
      </w:r>
      <w:hyperlink r:id="rId31">
        <w:r>
          <w:rPr>
            <w:rFonts w:ascii="Arial" w:cs="Arial" w:eastAsia="Arial" w:hAnsi="Arial"/>
            <w:sz w:val="18"/>
            <w:szCs w:val="18"/>
            <w:u w:val="single" w:color="auto"/>
            <w:color w:val="0000EE"/>
          </w:rPr>
          <w:t>Form 8-K filed with the Commission on May 15, 2020).</w:t>
        </w:r>
      </w:hyperlink>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requirements for filing on Form S-8 and has duly caused this registration statement to be signed on its behalf by the undersigned, thereunto duly authorized, in the City of Houston, State of Texas on the 30th day of July, 2020.</w:t>
      </w:r>
    </w:p>
    <w:p>
      <w:pPr>
        <w:spacing w:after="0" w:line="18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WASTE MANAGEMENT, INC.</w:t>
      </w:r>
    </w:p>
    <w:p>
      <w:pPr>
        <w:spacing w:after="0" w:line="22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James C. Fish,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James C. Fish,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Each person whose signature appears below constitutes and appoints James C. Fish Jr., Devina A. Rankin and Charles C. Boettcher, and each of them severally, his or her true and lawful attorney-in-fact, with the power of substitution, for him or her in any and all capacities, to sign any amendments (including post-effective amendments) to this registration statement, and to file the same, with exhibits thereto and other documents in connection therewith, with the Securities and Exchange Commission, hereby ratifying and confirming all that said attorneys-in-fact, or their substitute or substitutes, may do or cause to be done by virtue hereof.</w:t>
      </w:r>
    </w:p>
    <w:p>
      <w:pPr>
        <w:spacing w:after="0" w:line="18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40" w:type="dxa"/>
            <w:vAlign w:val="bottom"/>
          </w:tcPr>
          <w:p>
            <w:pPr>
              <w:spacing w:after="0"/>
              <w:rPr>
                <w:sz w:val="20"/>
                <w:szCs w:val="20"/>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92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Date</w:t>
            </w:r>
          </w:p>
        </w:tc>
      </w:tr>
      <w:tr>
        <w:trPr>
          <w:trHeight w:val="426"/>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James C. Fish, Jr.</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 and 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6"/>
              </w:rPr>
              <w:t>James C. Fish, Jr.</w:t>
            </w:r>
          </w:p>
        </w:tc>
        <w:tc>
          <w:tcPr>
            <w:tcW w:w="2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Devina A. Rankin</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4"/>
              </w:rPr>
              <w:t>Devina A. Rankin</w:t>
            </w:r>
          </w:p>
        </w:tc>
        <w:tc>
          <w:tcPr>
            <w:tcW w:w="2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/s/ Leslie K. Nagy</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Vice President and Chief Accounting Officer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Leslie K. Nagy</w:t>
            </w:r>
          </w:p>
        </w:tc>
        <w:tc>
          <w:tcPr>
            <w:tcW w:w="240" w:type="dxa"/>
            <w:vAlign w:val="bottom"/>
          </w:tcPr>
          <w:p>
            <w:pPr>
              <w:spacing w:after="0"/>
              <w:rPr>
                <w:sz w:val="19"/>
                <w:szCs w:val="19"/>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Frank M. Clark, Jr.</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Frank M. Clark, Jr.</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Andrés R. Gluski</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1"/>
              </w:rPr>
              <w:t>Andrés R. Gluski</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/s/ Victoria M. Holt</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8"/>
              </w:rPr>
              <w:t>Victoria M. Holt</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Kathleen M. Mazzarella</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3"/>
              </w:rPr>
              <w:t>Kathleen M. Mazzarella</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William B. Plummer</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tcPr>
          <w:p>
            <w:pPr>
              <w:ind w:left="114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5"/>
              </w:rPr>
              <w:t>William B. Plummer</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John C. Pope</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87"/>
              </w:rPr>
              <w:t>John C. Pope</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8"/>
              </w:rPr>
              <w:t>/s/ Thomas H. Weidemeyer</w:t>
            </w:r>
          </w:p>
        </w:tc>
        <w:tc>
          <w:tcPr>
            <w:tcW w:w="240" w:type="dxa"/>
            <w:vAlign w:val="bottom"/>
          </w:tcPr>
          <w:p>
            <w:pPr>
              <w:spacing w:after="0"/>
              <w:rPr>
                <w:sz w:val="24"/>
                <w:szCs w:val="24"/>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Chairman of the Board and Director</w:t>
            </w:r>
          </w:p>
        </w:tc>
        <w:tc>
          <w:tcPr>
            <w:tcW w:w="220" w:type="dxa"/>
            <w:vAlign w:val="bottom"/>
          </w:tcPr>
          <w:p>
            <w:pPr>
              <w:spacing w:after="0"/>
              <w:rPr>
                <w:sz w:val="24"/>
                <w:szCs w:val="24"/>
                <w:color w:val="auto"/>
              </w:rPr>
            </w:pPr>
          </w:p>
        </w:tc>
        <w:tc>
          <w:tcPr>
            <w:tcW w:w="2920" w:type="dxa"/>
            <w:vAlign w:val="bottom"/>
          </w:tcPr>
          <w:p>
            <w:pPr>
              <w:ind w:left="1100"/>
              <w:spacing w:after="0"/>
              <w:rPr>
                <w:sz w:val="20"/>
                <w:szCs w:val="20"/>
                <w:color w:val="auto"/>
              </w:rPr>
            </w:pPr>
            <w:r>
              <w:rPr>
                <w:rFonts w:ascii="Arial" w:cs="Arial" w:eastAsia="Arial" w:hAnsi="Arial"/>
                <w:sz w:val="18"/>
                <w:szCs w:val="18"/>
                <w:color w:val="auto"/>
              </w:rPr>
              <w:t>July 30, 2020</w:t>
            </w:r>
          </w:p>
        </w:tc>
      </w:tr>
      <w:tr>
        <w:trPr>
          <w:trHeight w:val="224"/>
        </w:trPr>
        <w:tc>
          <w:tcPr>
            <w:tcW w:w="3820" w:type="dxa"/>
            <w:vAlign w:val="bottom"/>
          </w:tcPr>
          <w:p>
            <w:pPr>
              <w:jc w:val="center"/>
              <w:spacing w:after="0"/>
              <w:rPr>
                <w:sz w:val="20"/>
                <w:szCs w:val="20"/>
                <w:color w:val="auto"/>
              </w:rPr>
            </w:pPr>
            <w:r>
              <w:rPr>
                <w:rFonts w:ascii="Arial" w:cs="Arial" w:eastAsia="Arial" w:hAnsi="Arial"/>
                <w:sz w:val="18"/>
                <w:szCs w:val="18"/>
                <w:color w:val="auto"/>
                <w:w w:val="90"/>
              </w:rPr>
              <w:t>Thomas H. Weidemeyer</w:t>
            </w:r>
          </w:p>
        </w:tc>
        <w:tc>
          <w:tcPr>
            <w:tcW w:w="24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tcPr>
          <w:p>
            <w:pPr>
              <w:spacing w:after="0"/>
              <w:rPr>
                <w:sz w:val="19"/>
                <w:szCs w:val="19"/>
                <w:color w:val="auto"/>
              </w:rPr>
            </w:pPr>
          </w:p>
        </w:tc>
      </w:tr>
      <w:tr>
        <w:trPr>
          <w:trHeight w:val="661"/>
        </w:trPr>
        <w:tc>
          <w:tcPr>
            <w:tcW w:w="3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[WMI LETTERHEAD]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Re:</w:t>
        <w:tab/>
        <w:t>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I am Vice President, General Counsel – Securities &amp; Governance and Corporate Secretary for Waste Management, Inc., a Delaware corporation (the “Company”), and have acted in such capacity in connection with the registration under the Securities Act of 1933, as amended (the “Act”), of 3,000,000 shares of the Company’s common stock, $0.01 par value (the “Common Stock”), to be offered pursuant to the Company’s Employee Stock Purchase Plan and upon the terms and subject to the conditions set forth in the Registration Statement on Form S-8 (the “Registration Statement”) relating thereto to be filed with the Securities and Exchange Commission on or about July 30, 2020.</w:t>
      </w:r>
    </w:p>
    <w:p>
      <w:pPr>
        <w:spacing w:after="0" w:line="176"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In connection therewith, I have examined originals or copies certified or otherwise identified to my satisfaction of the Registration Statement, the Certificate of Incorporation of the Company, as restated to date, the By-laws of the Company, as amended and restated to date, the Waste Management, Inc. Employee Stock Purchase Plan, as amended and restated to date (the “Plan”), the resolutions of the Board of Directors and records of the Annual Meeting of Stockholders of the Company relating to adoption and approval of the amendment and restatement of the Plan, and such other documents and instruments as I have deemed necessary or appropriate for the expression of the opinions contained herein.</w:t>
      </w:r>
    </w:p>
    <w:p>
      <w:pPr>
        <w:spacing w:after="0" w:line="17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 have assumed the genuineness of all signatures, the authenticity and completeness of all records, certificates and other instruments submitted to me as originals, the conformity to original documents of all records, certificates and other instruments submitted to me as copies, the correctness of all statements of fact contained in all records, certificates and other instruments that I have examined and the legal capacity to sign of all individuals executing records, certificates and other instruments.</w:t>
      </w:r>
    </w:p>
    <w:p>
      <w:pPr>
        <w:spacing w:after="0" w:line="187" w:lineRule="exact"/>
        <w:rPr>
          <w:sz w:val="20"/>
          <w:szCs w:val="20"/>
          <w:color w:val="auto"/>
        </w:rPr>
      </w:pPr>
    </w:p>
    <w:p>
      <w:pPr>
        <w:jc w:val="both"/>
        <w:ind w:right="200" w:firstLine="324"/>
        <w:spacing w:after="0" w:line="342" w:lineRule="auto"/>
        <w:rPr>
          <w:sz w:val="20"/>
          <w:szCs w:val="20"/>
          <w:color w:val="auto"/>
        </w:rPr>
      </w:pPr>
      <w:r>
        <w:rPr>
          <w:rFonts w:ascii="Arial" w:cs="Arial" w:eastAsia="Arial" w:hAnsi="Arial"/>
          <w:sz w:val="16"/>
          <w:szCs w:val="16"/>
          <w:color w:val="auto"/>
        </w:rPr>
        <w:t>Based on the foregoing, and having a regard for such legal considerations as I have deemed relevant, I am of the opinion that the shares of Common Stock have been duly authorized, and when issued and sold in accordance with the Plan, will be legally and validly issued, fully paid and non-assessable.</w:t>
      </w:r>
    </w:p>
    <w:p>
      <w:pPr>
        <w:spacing w:after="0" w:line="12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 hereby consent to the filing of this opinion as an exhibit to the Registration Statement, and I further consent to the use of my name in the Registration Statement and the prospectus that forms a part thereof. In giving this consent, I do not admit thereby that I come within the category of person whose consent is required under Section 7 of the Securities Act of 1933, as amended, or the rules and regulations of the Securities and Exchange Commission promulgated thereunder.</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Courtney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Courtney Tippy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Vice President, General Counsel – Securities &amp; Governance and Corporate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20"/>
        <w:spacing w:after="0" w:line="259" w:lineRule="auto"/>
        <w:rPr>
          <w:sz w:val="20"/>
          <w:szCs w:val="20"/>
          <w:color w:val="auto"/>
        </w:rPr>
      </w:pPr>
      <w:r>
        <w:rPr>
          <w:rFonts w:ascii="Arial" w:cs="Arial" w:eastAsia="Arial" w:hAnsi="Arial"/>
          <w:sz w:val="18"/>
          <w:szCs w:val="18"/>
          <w:color w:val="333333"/>
        </w:rPr>
        <w:t>We consent to the incorporation by reference in the Registration Statement on Form S-8 pertaining to the Waste Management, Inc. Employee Stock Purchase Plan of our reports dated February 13, 2020, with respect to the consolidated financial statements of Waste Management, Inc. and the effectiveness of internal control over financial reporting of Waste Management, Inc. included in its Annual Report (Form 10-K) for the year ended December 31, 2019, filed with the Securities and Exchange Commission.</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8" Type="http://schemas.openxmlformats.org/officeDocument/2006/relationships/image" Target="media/image6.png"/><Relationship Id="rId32" Type="http://schemas.openxmlformats.org/officeDocument/2006/relationships/image" Target="media/image7.png"/><Relationship Id="rId33"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13" Type="http://schemas.openxmlformats.org/officeDocument/2006/relationships/hyperlink" Target="http://www.sec.gov/Archives/edgar/data/823768/000095012906006711/h37353sv8.htm" TargetMode="External"/><Relationship Id="rId14" Type="http://schemas.openxmlformats.org/officeDocument/2006/relationships/hyperlink" Target="http://www.sec.gov/Archives/edgar/data/823768/000095012909001765/h66893sv8.htm" TargetMode="External"/><Relationship Id="rId15" Type="http://schemas.openxmlformats.org/officeDocument/2006/relationships/hyperlink" Target="http://www.sec.gov/Archives/edgar/data/823768/000119312512227650/d350312ds8.htm" TargetMode="External"/><Relationship Id="rId16" Type="http://schemas.openxmlformats.org/officeDocument/2006/relationships/hyperlink" Target="http://www.sec.gov/Archives/edgar/data/823768/000119312515194549/d929789ds8.htm" TargetMode="External"/><Relationship Id="rId17" Type="http://schemas.openxmlformats.org/officeDocument/2006/relationships/hyperlink" Target="http://www.sec.gov/ix?doc=/Archives/edgar/data/823768/000155837020000762/wm-20191231x10kba4080.htm" TargetMode="External"/><Relationship Id="rId18" Type="http://schemas.openxmlformats.org/officeDocument/2006/relationships/hyperlink" Target="http://www.sec.gov/ix?doc=/Archives/edgar/data/823768/000155837020005352/wm-20200506x10q.htm" TargetMode="External"/><Relationship Id="rId19" Type="http://schemas.openxmlformats.org/officeDocument/2006/relationships/hyperlink" Target="http://www.sec.gov/ix?doc=/Archives/edgar/data/823768/000155837020008751/wm-20200630x10q.htm" TargetMode="External"/><Relationship Id="rId20" Type="http://schemas.openxmlformats.org/officeDocument/2006/relationships/hyperlink" Target="http://www.sec.gov/Archives/edgar/data/823768/0000950134-95-001585-index.html" TargetMode="External"/><Relationship Id="rId21" Type="http://schemas.openxmlformats.org/officeDocument/2006/relationships/hyperlink" Target="http://www.sec.gov/ix?doc=/Archives/edgar/data/823768/000110465920024590/tm207498-2_8k.htm" TargetMode="External"/><Relationship Id="rId22" Type="http://schemas.openxmlformats.org/officeDocument/2006/relationships/hyperlink" Target="http://www.sec.gov/ix?doc=/Archives/edgar/data/823768/000110465920042259/tm2014773-1_8k.htm" TargetMode="External"/><Relationship Id="rId23" Type="http://schemas.openxmlformats.org/officeDocument/2006/relationships/hyperlink" Target="http://www.sec.gov/ix?doc=/Archives/edgar/data/823768/000110465920035007/tm2012998d1_8k.htm" TargetMode="External"/><Relationship Id="rId24" Type="http://schemas.openxmlformats.org/officeDocument/2006/relationships/hyperlink" Target="http://www.sec.gov/ix?doc=/Archives/edgar/data/823768/000110465920062449/tm2018602-2_8k.htm" TargetMode="External"/><Relationship Id="rId25" Type="http://schemas.openxmlformats.org/officeDocument/2006/relationships/hyperlink" Target="http://www.sec.gov/ix?doc=/Archives/edgar/data/823768/000110465920076267/tm2023187d1_8k.htm" TargetMode="External"/><Relationship Id="rId26" Type="http://schemas.openxmlformats.org/officeDocument/2006/relationships/hyperlink" Target="http://www.sec.gov/ix?doc=/Archives/edgar/data/823768/000110465920083610/tm2024786d1_8k.htm" TargetMode="External"/><Relationship Id="rId27" Type="http://schemas.openxmlformats.org/officeDocument/2006/relationships/hyperlink" Target="http://www.sec.gov/ix?doc=/Archives/edgar/data/823768/000110465920088121/tm2025932d1_8k.htm" TargetMode="External"/><Relationship Id="rId29" Type="http://schemas.openxmlformats.org/officeDocument/2006/relationships/hyperlink" Target="http://www.sec.gov/Archives/edgar/data/823768/000095012310070947/h74168exv3w1.htm" TargetMode="External"/><Relationship Id="rId30" Type="http://schemas.openxmlformats.org/officeDocument/2006/relationships/hyperlink" Target="http://www.sec.gov/Archives/edgar/data/823768/000110465919065833/tm1923428d1_ex3-2.htm" TargetMode="External"/><Relationship Id="rId31" Type="http://schemas.openxmlformats.org/officeDocument/2006/relationships/hyperlink" Target="http://www.sec.gov/Archives/edgar/data/823768/000110465920062449/tm2018602d2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2020-07-31T05:23:32Z</dcterms:created>
  <dcterms:modified xsi:type="dcterms:W3CDTF">2020-07-31T05:23:32Z</dcterms:modified>
</cp:coreProperties>
</file>