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148590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October 28, 2004</w:t>
      </w: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122" w:right="359" w:bottom="1440" w:gutter="0" w:footer="0" w:header="0"/>
        </w:sectPr>
      </w:pPr>
    </w:p>
    <w:p>
      <w:pPr>
        <w:spacing w:after="0" w:line="229"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2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60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24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4300" w:space="720"/>
            <w:col w:w="2700" w:space="720"/>
            <w:col w:w="2860"/>
          </w:cols>
          <w:pgMar w:left="240" w:top="122" w:right="359" w:bottom="1440" w:gutter="0" w:footer="0" w:header="0"/>
          <w:type w:val="continuous"/>
        </w:sectPr>
      </w:pPr>
    </w:p>
    <w:p>
      <w:pPr>
        <w:spacing w:after="0" w:line="34"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122" w:right="359" w:bottom="1440" w:gutter="0" w:footer="0" w:header="0"/>
          <w:type w:val="continuous"/>
        </w:sectPr>
      </w:pP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3" w:lineRule="exact"/>
        <w:rPr>
          <w:sz w:val="20"/>
          <w:szCs w:val="20"/>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84"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184"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98"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2.02. Results of Operations and Financial Condition.</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7.01. Regulation FD Disclosure.</w:t>
        </w:r>
      </w:hyperlink>
    </w:p>
    <w:p>
      <w:pPr>
        <w:ind w:left="320"/>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230" w:lineRule="auto"/>
        <w:rPr>
          <w:sz w:val="20"/>
          <w:szCs w:val="20"/>
          <w:color w:val="auto"/>
        </w:rPr>
      </w:pPr>
      <w:r>
        <w:rPr>
          <w:rFonts w:ascii="Arial" w:cs="Arial" w:eastAsia="Arial" w:hAnsi="Arial"/>
          <w:sz w:val="22"/>
          <w:szCs w:val="22"/>
          <w:u w:val="single" w:color="auto"/>
          <w:color w:val="0000EE"/>
        </w:rPr>
        <w:t>Earnings Press Release dated 10/28/2004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Capital Allocation Press Release dated 10/28/2004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02"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On October 28, 2004, Waste Management, Inc. (the “Company”) issued a press release (the “Earnings Press Release”) announcing its results of operations for the third quarter ended September 30, 2004. On the same date, the Company held a conference call, which was open to the public, to discuss these results. A copy of the Earnings Press Release is attached as exhibit 99.1. A replay of the conference call is available through 1:00 p.m. Central time on November 11th. The replay of the call may be heard over the Internet, by accessing the Company’s website at http://www.wm.com, or by telephone by dialing 800-642-1687 and entering conference code 1203104.</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89"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On October 28, 2004, the Company issued a press release (the “Capital Allocation Press Release”) announcing that the Company’s Board of Directors had approved a new capital allocation program that authorizes up to $1.2 billion in stock repurchases and dividends each year over the next three years. A copy of the Capital Allocation Press Release is attached hereto as Exhibit 99.2.</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 Exhibits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Arial" w:cs="Arial" w:eastAsia="Arial" w:hAnsi="Arial"/>
                <w:sz w:val="14"/>
                <w:szCs w:val="14"/>
                <w:b w:val="1"/>
                <w:bCs w:val="1"/>
                <w:color w:val="auto"/>
                <w:w w:val="98"/>
              </w:rPr>
              <w:t>Exhibit Number</w:t>
            </w:r>
          </w:p>
        </w:tc>
        <w:tc>
          <w:tcPr>
            <w:tcW w:w="220" w:type="dxa"/>
            <w:vAlign w:val="bottom"/>
          </w:tcPr>
          <w:p>
            <w:pPr>
              <w:spacing w:after="0"/>
              <w:rPr>
                <w:sz w:val="16"/>
                <w:szCs w:val="16"/>
                <w:color w:val="auto"/>
              </w:rPr>
            </w:pPr>
          </w:p>
        </w:tc>
        <w:tc>
          <w:tcPr>
            <w:tcW w:w="6160" w:type="dxa"/>
            <w:vAlign w:val="bottom"/>
          </w:tcPr>
          <w:p>
            <w:pPr>
              <w:ind w:left="2720"/>
              <w:spacing w:after="0"/>
              <w:rPr>
                <w:sz w:val="20"/>
                <w:szCs w:val="20"/>
                <w:color w:val="auto"/>
              </w:rPr>
            </w:pPr>
            <w:r>
              <w:rPr>
                <w:rFonts w:ascii="Arial" w:cs="Arial" w:eastAsia="Arial" w:hAnsi="Arial"/>
                <w:sz w:val="14"/>
                <w:szCs w:val="14"/>
                <w:b w:val="1"/>
                <w:bCs w:val="1"/>
                <w:color w:val="auto"/>
              </w:rPr>
              <w:t>Description</w:t>
            </w:r>
          </w:p>
        </w:tc>
        <w:tc>
          <w:tcPr>
            <w:tcW w:w="2000" w:type="dxa"/>
            <w:vAlign w:val="bottom"/>
          </w:tcPr>
          <w:p>
            <w:pPr>
              <w:spacing w:after="0"/>
              <w:rPr>
                <w:sz w:val="16"/>
                <w:szCs w:val="16"/>
                <w:color w:val="auto"/>
              </w:rPr>
            </w:pPr>
          </w:p>
        </w:tc>
      </w:tr>
      <w:tr>
        <w:trPr>
          <w:trHeight w:val="66"/>
        </w:trPr>
        <w:tc>
          <w:tcPr>
            <w:tcW w:w="2000" w:type="dxa"/>
            <w:vAlign w:val="bottom"/>
          </w:tcPr>
          <w:p>
            <w:pPr>
              <w:spacing w:after="0"/>
              <w:rPr>
                <w:sz w:val="5"/>
                <w:szCs w:val="5"/>
                <w:color w:val="auto"/>
              </w:rPr>
            </w:pPr>
          </w:p>
        </w:tc>
        <w:tc>
          <w:tcPr>
            <w:tcW w:w="104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6160" w:type="dxa"/>
            <w:vAlign w:val="bottom"/>
            <w:tcBorders>
              <w:bottom w:val="single" w:sz="8" w:color="808080"/>
            </w:tcBorders>
          </w:tcPr>
          <w:p>
            <w:pPr>
              <w:spacing w:after="0"/>
              <w:rPr>
                <w:sz w:val="5"/>
                <w:szCs w:val="5"/>
                <w:color w:val="auto"/>
              </w:rPr>
            </w:pPr>
          </w:p>
        </w:tc>
        <w:tc>
          <w:tcPr>
            <w:tcW w:w="2000" w:type="dxa"/>
            <w:vAlign w:val="bottom"/>
          </w:tcPr>
          <w:p>
            <w:pPr>
              <w:spacing w:after="0"/>
              <w:rPr>
                <w:sz w:val="5"/>
                <w:szCs w:val="5"/>
                <w:color w:val="auto"/>
              </w:rPr>
            </w:pPr>
          </w:p>
        </w:tc>
      </w:tr>
      <w:tr>
        <w:trPr>
          <w:trHeight w:val="263"/>
        </w:trPr>
        <w:tc>
          <w:tcPr>
            <w:tcW w:w="2000" w:type="dxa"/>
            <w:vAlign w:val="bottom"/>
          </w:tcPr>
          <w:p>
            <w:pPr>
              <w:spacing w:after="0"/>
              <w:rPr>
                <w:sz w:val="22"/>
                <w:szCs w:val="22"/>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99.1</w:t>
            </w:r>
          </w:p>
        </w:tc>
        <w:tc>
          <w:tcPr>
            <w:tcW w:w="6380" w:type="dxa"/>
            <w:vAlign w:val="bottom"/>
            <w:gridSpan w:val="2"/>
          </w:tcPr>
          <w:p>
            <w:pPr>
              <w:ind w:left="220"/>
              <w:spacing w:after="0"/>
              <w:rPr>
                <w:sz w:val="20"/>
                <w:szCs w:val="20"/>
                <w:color w:val="auto"/>
              </w:rPr>
            </w:pPr>
            <w:r>
              <w:rPr>
                <w:rFonts w:ascii="Arial" w:cs="Arial" w:eastAsia="Arial" w:hAnsi="Arial"/>
                <w:sz w:val="18"/>
                <w:szCs w:val="18"/>
                <w:color w:val="auto"/>
              </w:rPr>
              <w:t>Earnings Press Release dated October 28, 2004.</w:t>
            </w:r>
          </w:p>
        </w:tc>
        <w:tc>
          <w:tcPr>
            <w:tcW w:w="2000" w:type="dxa"/>
            <w:vAlign w:val="bottom"/>
          </w:tcPr>
          <w:p>
            <w:pPr>
              <w:spacing w:after="0"/>
              <w:rPr>
                <w:sz w:val="22"/>
                <w:szCs w:val="22"/>
                <w:color w:val="auto"/>
              </w:rPr>
            </w:pPr>
          </w:p>
        </w:tc>
      </w:tr>
      <w:tr>
        <w:trPr>
          <w:trHeight w:val="230"/>
        </w:trPr>
        <w:tc>
          <w:tcPr>
            <w:tcW w:w="20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99.2</w:t>
            </w:r>
          </w:p>
        </w:tc>
        <w:tc>
          <w:tcPr>
            <w:tcW w:w="6380" w:type="dxa"/>
            <w:vAlign w:val="bottom"/>
            <w:gridSpan w:val="2"/>
          </w:tcPr>
          <w:p>
            <w:pPr>
              <w:ind w:left="220"/>
              <w:spacing w:after="0"/>
              <w:rPr>
                <w:sz w:val="20"/>
                <w:szCs w:val="20"/>
                <w:color w:val="auto"/>
              </w:rPr>
            </w:pPr>
            <w:r>
              <w:rPr>
                <w:rFonts w:ascii="Arial" w:cs="Arial" w:eastAsia="Arial" w:hAnsi="Arial"/>
                <w:sz w:val="18"/>
                <w:szCs w:val="18"/>
                <w:color w:val="auto"/>
              </w:rPr>
              <w:t>Capital Allocation Press Release dated October 28, 2004.</w:t>
            </w:r>
          </w:p>
        </w:tc>
        <w:tc>
          <w:tcPr>
            <w:tcW w:w="2000" w:type="dxa"/>
            <w:vAlign w:val="bottom"/>
          </w:tcPr>
          <w:p>
            <w:pPr>
              <w:spacing w:after="0"/>
              <w:rPr>
                <w:sz w:val="20"/>
                <w:szCs w:val="20"/>
                <w:color w:val="auto"/>
              </w:rPr>
            </w:pPr>
          </w:p>
        </w:tc>
      </w:tr>
      <w:tr>
        <w:trPr>
          <w:trHeight w:val="632"/>
        </w:trPr>
        <w:tc>
          <w:tcPr>
            <w:tcW w:w="20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616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6220" w:type="dxa"/>
            <w:vAlign w:val="bottom"/>
            <w:gridSpan w:val="2"/>
          </w:tcPr>
          <w:p>
            <w:pPr>
              <w:ind w:left="184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October 28, 2004</w:t>
            </w:r>
          </w:p>
        </w:tc>
        <w:tc>
          <w:tcPr>
            <w:tcW w:w="6220" w:type="dxa"/>
            <w:vAlign w:val="bottom"/>
            <w:gridSpan w:val="2"/>
          </w:tcPr>
          <w:p>
            <w:pPr>
              <w:ind w:left="184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5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16"/>
        </w:trPr>
        <w:tc>
          <w:tcPr>
            <w:tcW w:w="35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 General Counsel and Chief</w:t>
            </w:r>
          </w:p>
        </w:tc>
        <w:tc>
          <w:tcPr>
            <w:tcW w:w="1680" w:type="dxa"/>
            <w:vAlign w:val="bottom"/>
          </w:tcPr>
          <w:p>
            <w:pPr>
              <w:spacing w:after="0"/>
              <w:rPr>
                <w:sz w:val="18"/>
                <w:szCs w:val="18"/>
                <w:color w:val="auto"/>
              </w:rPr>
            </w:pPr>
          </w:p>
        </w:tc>
      </w:tr>
      <w:tr>
        <w:trPr>
          <w:trHeight w:val="230"/>
        </w:trPr>
        <w:tc>
          <w:tcPr>
            <w:tcW w:w="35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Compliance Officer</w:t>
            </w:r>
          </w:p>
        </w:tc>
        <w:tc>
          <w:tcPr>
            <w:tcW w:w="1680" w:type="dxa"/>
            <w:vAlign w:val="bottom"/>
          </w:tcPr>
          <w:p>
            <w:pPr>
              <w:spacing w:after="0"/>
              <w:rPr>
                <w:sz w:val="20"/>
                <w:szCs w:val="20"/>
                <w:color w:val="auto"/>
              </w:rPr>
            </w:pPr>
          </w:p>
        </w:tc>
      </w:tr>
      <w:tr>
        <w:trPr>
          <w:trHeight w:val="834"/>
        </w:trPr>
        <w:tc>
          <w:tcPr>
            <w:tcW w:w="35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60" w:type="dxa"/>
            <w:vAlign w:val="bottom"/>
          </w:tcPr>
          <w:p>
            <w:pPr>
              <w:ind w:left="1920"/>
              <w:spacing w:after="0"/>
              <w:rPr>
                <w:sz w:val="20"/>
                <w:szCs w:val="20"/>
                <w:color w:val="auto"/>
              </w:rPr>
            </w:pPr>
            <w:r>
              <w:rPr>
                <w:rFonts w:ascii="Arial" w:cs="Arial" w:eastAsia="Arial" w:hAnsi="Arial"/>
                <w:sz w:val="18"/>
                <w:szCs w:val="18"/>
                <w:b w:val="1"/>
                <w:bCs w:val="1"/>
                <w:color w:val="auto"/>
              </w:rPr>
              <w:t>Exhibit Index</w:t>
            </w:r>
          </w:p>
        </w:tc>
      </w:tr>
      <w:tr>
        <w:trPr>
          <w:trHeight w:val="569"/>
        </w:trPr>
        <w:tc>
          <w:tcPr>
            <w:tcW w:w="1040" w:type="dxa"/>
            <w:vAlign w:val="bottom"/>
          </w:tcPr>
          <w:p>
            <w:pPr>
              <w:spacing w:after="0"/>
              <w:rPr>
                <w:sz w:val="20"/>
                <w:szCs w:val="20"/>
                <w:color w:val="auto"/>
              </w:rPr>
            </w:pPr>
            <w:r>
              <w:rPr>
                <w:rFonts w:ascii="Arial" w:cs="Arial" w:eastAsia="Arial" w:hAnsi="Arial"/>
                <w:sz w:val="14"/>
                <w:szCs w:val="14"/>
                <w:b w:val="1"/>
                <w:bCs w:val="1"/>
                <w:color w:val="auto"/>
                <w:w w:val="98"/>
              </w:rPr>
              <w:t>Exhibit Number</w:t>
            </w:r>
          </w:p>
        </w:tc>
        <w:tc>
          <w:tcPr>
            <w:tcW w:w="220" w:type="dxa"/>
            <w:vAlign w:val="bottom"/>
          </w:tcPr>
          <w:p>
            <w:pPr>
              <w:spacing w:after="0"/>
              <w:rPr>
                <w:sz w:val="24"/>
                <w:szCs w:val="24"/>
                <w:color w:val="auto"/>
              </w:rPr>
            </w:pPr>
          </w:p>
        </w:tc>
        <w:tc>
          <w:tcPr>
            <w:tcW w:w="6160" w:type="dxa"/>
            <w:vAlign w:val="bottom"/>
          </w:tcPr>
          <w:p>
            <w:pPr>
              <w:ind w:left="2720"/>
              <w:spacing w:after="0"/>
              <w:rPr>
                <w:sz w:val="20"/>
                <w:szCs w:val="20"/>
                <w:color w:val="auto"/>
              </w:rPr>
            </w:pPr>
            <w:r>
              <w:rPr>
                <w:rFonts w:ascii="Arial" w:cs="Arial" w:eastAsia="Arial" w:hAnsi="Arial"/>
                <w:sz w:val="14"/>
                <w:szCs w:val="14"/>
                <w:b w:val="1"/>
                <w:bCs w:val="1"/>
                <w:color w:val="auto"/>
              </w:rPr>
              <w:t>Description</w:t>
            </w:r>
          </w:p>
        </w:tc>
      </w:tr>
      <w:tr>
        <w:trPr>
          <w:trHeight w:val="53"/>
        </w:trPr>
        <w:tc>
          <w:tcPr>
            <w:tcW w:w="104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6160" w:type="dxa"/>
            <w:vAlign w:val="bottom"/>
            <w:tcBorders>
              <w:bottom w:val="single" w:sz="8" w:color="808080"/>
            </w:tcBorders>
          </w:tcPr>
          <w:p>
            <w:pPr>
              <w:spacing w:after="0"/>
              <w:rPr>
                <w:sz w:val="4"/>
                <w:szCs w:val="4"/>
                <w:color w:val="auto"/>
              </w:rPr>
            </w:pPr>
          </w:p>
        </w:tc>
      </w:tr>
      <w:tr>
        <w:trPr>
          <w:trHeight w:val="276"/>
        </w:trPr>
        <w:tc>
          <w:tcPr>
            <w:tcW w:w="1040" w:type="dxa"/>
            <w:vAlign w:val="bottom"/>
          </w:tcPr>
          <w:p>
            <w:pPr>
              <w:spacing w:after="0"/>
              <w:rPr>
                <w:sz w:val="20"/>
                <w:szCs w:val="20"/>
                <w:color w:val="auto"/>
              </w:rPr>
            </w:pPr>
            <w:r>
              <w:rPr>
                <w:rFonts w:ascii="Arial" w:cs="Arial" w:eastAsia="Arial" w:hAnsi="Arial"/>
                <w:sz w:val="18"/>
                <w:szCs w:val="18"/>
                <w:color w:val="auto"/>
              </w:rPr>
              <w:t>99.3</w:t>
            </w:r>
          </w:p>
        </w:tc>
        <w:tc>
          <w:tcPr>
            <w:tcW w:w="6380" w:type="dxa"/>
            <w:vAlign w:val="bottom"/>
            <w:gridSpan w:val="2"/>
          </w:tcPr>
          <w:p>
            <w:pPr>
              <w:ind w:left="220"/>
              <w:spacing w:after="0"/>
              <w:rPr>
                <w:sz w:val="20"/>
                <w:szCs w:val="20"/>
                <w:color w:val="auto"/>
              </w:rPr>
            </w:pPr>
            <w:r>
              <w:rPr>
                <w:rFonts w:ascii="Arial" w:cs="Arial" w:eastAsia="Arial" w:hAnsi="Arial"/>
                <w:sz w:val="18"/>
                <w:szCs w:val="18"/>
                <w:color w:val="auto"/>
              </w:rPr>
              <w:t>Earnings Press Release dated October 28, 2004.</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99.4</w:t>
            </w:r>
          </w:p>
        </w:tc>
        <w:tc>
          <w:tcPr>
            <w:tcW w:w="6380" w:type="dxa"/>
            <w:vAlign w:val="bottom"/>
            <w:gridSpan w:val="2"/>
          </w:tcPr>
          <w:p>
            <w:pPr>
              <w:ind w:left="220"/>
              <w:spacing w:after="0"/>
              <w:rPr>
                <w:sz w:val="20"/>
                <w:szCs w:val="20"/>
                <w:color w:val="auto"/>
              </w:rPr>
            </w:pPr>
            <w:r>
              <w:rPr>
                <w:rFonts w:ascii="Arial" w:cs="Arial" w:eastAsia="Arial" w:hAnsi="Arial"/>
                <w:sz w:val="18"/>
                <w:szCs w:val="18"/>
                <w:color w:val="auto"/>
              </w:rPr>
              <w:t>Capital Allocation Press Release dated October 28, 2004.</w:t>
            </w:r>
          </w:p>
        </w:tc>
      </w:tr>
    </w:tbl>
    <w:p>
      <w:pPr>
        <w:sectPr>
          <w:pgSz w:w="11900" w:h="16838" w:orient="portrait"/>
          <w:cols w:equalWidth="0" w:num="1">
            <w:col w:w="10219"/>
          </w:cols>
          <w:pgMar w:left="240" w:top="419"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137795</wp:posOffset>
            </wp:positionV>
            <wp:extent cx="1646555" cy="5829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655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Further Information: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Analysts: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Cherie Rice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713.512.6548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Greg Nikkel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713.265.1358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Media:</w:t>
      </w:r>
    </w:p>
    <w:p>
      <w:pPr>
        <w:spacing w:after="0" w:line="9" w:lineRule="exact"/>
        <w:rPr>
          <w:sz w:val="20"/>
          <w:szCs w:val="20"/>
          <w:color w:val="auto"/>
        </w:rPr>
      </w:pPr>
    </w:p>
    <w:p>
      <w:pPr>
        <w:ind w:left="10260"/>
        <w:spacing w:after="0"/>
        <w:rPr>
          <w:sz w:val="20"/>
          <w:szCs w:val="20"/>
          <w:color w:val="auto"/>
        </w:rPr>
      </w:pPr>
      <w:r>
        <w:rPr>
          <w:rFonts w:ascii="Arial" w:cs="Arial" w:eastAsia="Arial" w:hAnsi="Arial"/>
          <w:sz w:val="15"/>
          <w:szCs w:val="15"/>
          <w:b w:val="1"/>
          <w:bCs w:val="1"/>
          <w:color w:val="auto"/>
        </w:rPr>
        <w:t>Sarah Simpson</w:t>
      </w:r>
    </w:p>
    <w:p>
      <w:pPr>
        <w:spacing w:after="0" w:line="44" w:lineRule="exact"/>
        <w:rPr>
          <w:sz w:val="20"/>
          <w:szCs w:val="20"/>
          <w:color w:val="auto"/>
        </w:rPr>
      </w:pPr>
    </w:p>
    <w:p>
      <w:pPr>
        <w:ind w:left="10440"/>
        <w:spacing w:after="0"/>
        <w:rPr>
          <w:sz w:val="20"/>
          <w:szCs w:val="20"/>
          <w:color w:val="auto"/>
        </w:rPr>
      </w:pPr>
      <w:r>
        <w:rPr>
          <w:rFonts w:ascii="Arial" w:cs="Arial" w:eastAsia="Arial" w:hAnsi="Arial"/>
          <w:sz w:val="16"/>
          <w:szCs w:val="16"/>
          <w:b w:val="1"/>
          <w:bCs w:val="1"/>
          <w:color w:val="auto"/>
        </w:rPr>
        <w:t>713.394.2154</w:t>
      </w:r>
    </w:p>
    <w:p>
      <w:pPr>
        <w:spacing w:after="0" w:line="189" w:lineRule="exact"/>
        <w:rPr>
          <w:sz w:val="20"/>
          <w:szCs w:val="20"/>
          <w:color w:val="auto"/>
        </w:rPr>
      </w:pPr>
    </w:p>
    <w:p>
      <w:pPr>
        <w:ind w:left="10500"/>
        <w:spacing w:after="0"/>
        <w:rPr>
          <w:sz w:val="20"/>
          <w:szCs w:val="20"/>
          <w:color w:val="auto"/>
        </w:rPr>
      </w:pPr>
      <w:r>
        <w:rPr>
          <w:rFonts w:ascii="Arial" w:cs="Arial" w:eastAsia="Arial" w:hAnsi="Arial"/>
          <w:sz w:val="17"/>
          <w:szCs w:val="17"/>
          <w:b w:val="1"/>
          <w:bCs w:val="1"/>
          <w:color w:val="auto"/>
        </w:rPr>
        <w:t>WMI#04-26</w:t>
      </w:r>
    </w:p>
    <w:p>
      <w:pPr>
        <w:spacing w:after="0" w:line="210"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Waste Management Announces Third Quarter 2004 Earnings</w:t>
      </w:r>
    </w:p>
    <w:p>
      <w:pPr>
        <w:spacing w:after="0" w:line="18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Earnings Increase as a Result of Strong Revenue Growth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Favorable Tax Audit Settlements</w:t>
      </w:r>
    </w:p>
    <w:p>
      <w:pPr>
        <w:spacing w:after="0" w:line="166"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 xml:space="preserve">HOUSTON – October 28, 2004 – </w:t>
      </w:r>
      <w:r>
        <w:rPr>
          <w:rFonts w:ascii="Arial" w:cs="Arial" w:eastAsia="Arial" w:hAnsi="Arial"/>
          <w:sz w:val="17"/>
          <w:szCs w:val="17"/>
          <w:color w:val="auto"/>
        </w:rPr>
        <w:t>Waste Management, Inc. (NYSE: WMI) today announced financial results for its third quarter ended September 30, 2004.</w:t>
      </w:r>
      <w:r>
        <w:rPr>
          <w:rFonts w:ascii="Arial" w:cs="Arial" w:eastAsia="Arial" w:hAnsi="Arial"/>
          <w:sz w:val="17"/>
          <w:szCs w:val="17"/>
          <w:b w:val="1"/>
          <w:bCs w:val="1"/>
          <w:color w:val="auto"/>
        </w:rPr>
        <w:t xml:space="preserve"> </w:t>
      </w:r>
      <w:r>
        <w:rPr>
          <w:rFonts w:ascii="Arial" w:cs="Arial" w:eastAsia="Arial" w:hAnsi="Arial"/>
          <w:sz w:val="17"/>
          <w:szCs w:val="17"/>
          <w:color w:val="auto"/>
        </w:rPr>
        <w:t>Revenues for the quarter were $3.27 billion as compared with $3.00 billion in the year ago period, an increase of 9%. Net income reported for the quarter was $302 million, or $0.52 per diluted share, compared with net income of $210 million, or $0.35 per diluted share, for the third quarter 2003, an increase in net income of 44%. This year’s third quarter earnings included a $0.12 per diluted share benefit from favorable tax audit settlements.</w:t>
      </w:r>
    </w:p>
    <w:p>
      <w:pPr>
        <w:spacing w:after="0" w:line="14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third quarter results reflect both improved pricing and continued strong volumes,” stated David P. Steiner, Chief Executive Officer of Waste Management. “Internal revenue growth due to higher yield across our base business was 0.8%. This matches the highest level we have seen in over two years and shows the success of our pricing initiatives on the collection side of our business as well as our ability to raise rates at our transfer stations and to increase prices on municipal solid waste streams coming into our landfills. Our revenue growth due to higher volumes reflected the continuation of a strong economy and included increased volumes from the four hurricanes during the quarter. We attribute $59 million of our higher revenues in the quarter to our Florida hurricane clean-up efforts. We estimate that the earnings contribution from the hurricanes was approximately $5 million before-tax. More importantly, our teams in Florida demonstrated their commitment to their communities and solidified the excellent working relationships with their customers in this time of crisis.</w:t>
      </w:r>
    </w:p>
    <w:p>
      <w:pPr>
        <w:spacing w:after="0" w:line="152" w:lineRule="exact"/>
        <w:rPr>
          <w:sz w:val="20"/>
          <w:szCs w:val="20"/>
          <w:color w:val="auto"/>
        </w:rPr>
      </w:pPr>
    </w:p>
    <w:p>
      <w:pPr>
        <w:ind w:right="40"/>
        <w:spacing w:after="0" w:line="280" w:lineRule="auto"/>
        <w:rPr>
          <w:sz w:val="20"/>
          <w:szCs w:val="20"/>
          <w:color w:val="auto"/>
        </w:rPr>
      </w:pPr>
      <w:r>
        <w:rPr>
          <w:rFonts w:ascii="Arial" w:cs="Arial" w:eastAsia="Arial" w:hAnsi="Arial"/>
          <w:sz w:val="18"/>
          <w:szCs w:val="18"/>
          <w:color w:val="auto"/>
        </w:rPr>
        <w:t>Steiner continued, “We were also pleased with our strong cash generation, as we produced $599 million in cash from operations and $305 million in free cash flow</w:t>
      </w:r>
      <w:r>
        <w:rPr>
          <w:rFonts w:ascii="Arial" w:cs="Arial" w:eastAsia="Arial" w:hAnsi="Arial"/>
          <w:sz w:val="30"/>
          <w:szCs w:val="30"/>
          <w:color w:val="auto"/>
          <w:vertAlign w:val="superscript"/>
        </w:rPr>
        <w:t>(a)</w:t>
      </w:r>
      <w:r>
        <w:rPr>
          <w:rFonts w:ascii="Arial" w:cs="Arial" w:eastAsia="Arial" w:hAnsi="Arial"/>
          <w:sz w:val="18"/>
          <w:szCs w:val="18"/>
          <w:color w:val="auto"/>
        </w:rPr>
        <w:t xml:space="preserve"> for the quarter. That brings our cash generated from operations for the first three quarters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284480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 w:name="page8"/>
    <w:bookmarkEnd w:id="7"/>
    <w:p>
      <w:pPr>
        <w:ind w:right="240"/>
        <w:spacing w:after="0" w:line="277" w:lineRule="auto"/>
        <w:rPr>
          <w:sz w:val="20"/>
          <w:szCs w:val="20"/>
          <w:color w:val="auto"/>
        </w:rPr>
      </w:pPr>
      <w:r>
        <w:rPr>
          <w:rFonts w:ascii="Arial" w:cs="Arial" w:eastAsia="Arial" w:hAnsi="Arial"/>
          <w:sz w:val="18"/>
          <w:szCs w:val="18"/>
          <w:color w:val="auto"/>
        </w:rPr>
        <w:t>$1.6 billion and our total free cash flow to $854 million. Based on this, for the full year we expect to meet or exceed our previously stated ranges of $2.1 to $2.2 billion in cash flow from operations and $900 million to $1 billion in free cash flow.</w:t>
      </w:r>
    </w:p>
    <w:p>
      <w:pPr>
        <w:spacing w:after="0" w:line="14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increased the level of our common stock share repurchases to $240 million during the quarter and expect to repurchase $425 to $500 million for the year. The Company also announced today that our Board of Directors has approved a new capital allocation program that provides up to $1.2 billion annually in cash dividends and common stock repurchases over the next three years. Under this plan, we expect to increase our quarterly dividend payments to a total of $0.80 per share per year, which would result in an increase of $0.05 per share per year compared to the dividends declared in 2004. The balance of the $1.2 billion authorization would be available for share repurchases. This program reinforces our commitment to returning value to our shareholders and our confidence in our ability to generate strong and consistent free cash flows.”</w:t>
      </w:r>
    </w:p>
    <w:p>
      <w:pPr>
        <w:spacing w:after="0" w:line="1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nine months ended September 30, 2004, Waste Management reported operating revenues of $9.31 billion as compared with $8.66 billion for the comparable period last year. Net income was $670 million and diluted earnings per share was $1.15 for the current year nine-month period, as compared with $447 million and $0.75, respectively, for the same period in 2003. The 2004 results include the favorable impact of the cumulative effect of a change in accounting principle of $8 million, or $0.01 per diluted share. The 2003 results included the unfavorable impact of cumulative effect of changes in accounting principles of $46 million, or $0.08 per diluted share. Net income before cumulative effect increased 34% in 2004 as compared to the prior year’s first nine months. Results from the first nine months of 2003 included a pre-tax restructuring charge of $43 million, or $0.04 per diluted share, related to workforce reductions completed in 2003.</w:t>
      </w:r>
    </w:p>
    <w:p>
      <w:pPr>
        <w:spacing w:after="0" w:line="14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The cumulative effect of change in accounting principle in 2004 is related entirely to final implementation of Financial Accounting Standards Board Interpretation No. 46, </w:t>
      </w:r>
      <w:r>
        <w:rPr>
          <w:rFonts w:ascii="Arial" w:cs="Arial" w:eastAsia="Arial" w:hAnsi="Arial"/>
          <w:sz w:val="18"/>
          <w:szCs w:val="18"/>
          <w:i w:val="1"/>
          <w:iCs w:val="1"/>
          <w:color w:val="auto"/>
        </w:rPr>
        <w:t>Consolidation of Variable Interest Entities</w:t>
      </w:r>
      <w:r>
        <w:rPr>
          <w:rFonts w:ascii="Arial" w:cs="Arial" w:eastAsia="Arial" w:hAnsi="Arial"/>
          <w:sz w:val="18"/>
          <w:szCs w:val="18"/>
          <w:color w:val="auto"/>
        </w:rPr>
        <w:t xml:space="preserve">. In 2003, the cumulative effect of changes in accounting principles was primarily related to the implementation of Statement of Financial Accounting Standards No. 143, </w:t>
      </w:r>
      <w:r>
        <w:rPr>
          <w:rFonts w:ascii="Arial" w:cs="Arial" w:eastAsia="Arial" w:hAnsi="Arial"/>
          <w:sz w:val="18"/>
          <w:szCs w:val="18"/>
          <w:i w:val="1"/>
          <w:iCs w:val="1"/>
          <w:color w:val="auto"/>
        </w:rPr>
        <w:t>Accounting for Asset Retirement Obligations</w:t>
      </w:r>
      <w:r>
        <w:rPr>
          <w:rFonts w:ascii="Arial" w:cs="Arial" w:eastAsia="Arial" w:hAnsi="Arial"/>
          <w:sz w:val="18"/>
          <w:szCs w:val="18"/>
          <w:color w:val="auto"/>
        </w:rPr>
        <w:t>, partially offset by accounting policy changes related to certain maintenance activities and loss contracts.</w:t>
      </w:r>
    </w:p>
    <w:p>
      <w:pPr>
        <w:spacing w:after="0" w:line="16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Steiner added, “Our operating costs as a percentage of revenue increased by 90 basis points as compared with the prior year quarter. This increase was attributable largely to the one-time impact of our hurricane clean-up efforts and higher fuel costs. Including the fuel surcharges we paid to sub-contractors in the quarter, higher fuel prices cost us about $10 million of operating income, or $0.01 per diluted share, as compared to last year’s quarter. As a company we remain keenly focused on raising our prices to cover all cost increases and reducing those costs within our control.”</w:t>
      </w:r>
    </w:p>
    <w:p>
      <w:pPr>
        <w:spacing w:after="0" w:line="13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During the third quarter of this year, Waste Management settled federal income tax audits for several subsidiaries, which increased earnings by $71 million, or $0.12 per diluted share. The Company has been actively negotiating tax audit settlements involving tax returns dating as far back as 1988. The Company has made significant progress in settling open tax audits and expects to close the remaining open federal income tax audits over the next few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The following important highlights for the quarter were reported:</w:t>
      </w:r>
    </w:p>
    <w:p>
      <w:pPr>
        <w:spacing w:after="0" w:line="225" w:lineRule="exact"/>
        <w:rPr>
          <w:sz w:val="20"/>
          <w:szCs w:val="20"/>
          <w:color w:val="auto"/>
        </w:rPr>
      </w:pPr>
    </w:p>
    <w:p>
      <w:pPr>
        <w:ind w:left="900" w:right="12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Internal revenue growth on base business of 5.3%, with 4.5% of that from volume and 0.8% of that from yield. The volume component includes the positive impact of 2.0% related to the hurricanes. The yield component excludes combined positive impacts of 1.5% related to higher recycling commodity prices and 0.5% related to higher fuel surcharges, increased fees and taxes and slightly higher electricity rates at Independent Power Production facilities.</w:t>
      </w:r>
    </w:p>
    <w:p>
      <w:pPr>
        <w:spacing w:after="0" w:line="186"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Acquisitions net of divestitures contributed 1.8% to higher third party revenues.</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cash flow of $599 million.</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Capital expenditures of $311 million and proceeds from divestitures of $17 million.</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Free cash flow of $305 million.</w:t>
      </w:r>
    </w:p>
    <w:p>
      <w:pPr>
        <w:spacing w:after="0" w:line="225" w:lineRule="exact"/>
        <w:rPr>
          <w:rFonts w:ascii="Arial" w:cs="Arial" w:eastAsia="Arial" w:hAnsi="Arial"/>
          <w:sz w:val="18"/>
          <w:szCs w:val="18"/>
          <w:color w:val="auto"/>
        </w:rPr>
      </w:pPr>
    </w:p>
    <w:p>
      <w:pPr>
        <w:ind w:left="900" w:hanging="446"/>
        <w:spacing w:after="0" w:line="34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Effective tax rate for the third quarter reduced to 10.4%, a result of favorable tax audit settlement benefits of $62 million and increased tax credits due to investments in synthetic fuel facilities. The effective tax rate excluding the tax audit settlements is expected to be 30.0% for the full year.</w:t>
      </w:r>
    </w:p>
    <w:p>
      <w:pPr>
        <w:spacing w:after="0" w:line="123" w:lineRule="exact"/>
        <w:rPr>
          <w:rFonts w:ascii="Arial" w:cs="Arial" w:eastAsia="Arial" w:hAnsi="Arial"/>
          <w:sz w:val="16"/>
          <w:szCs w:val="16"/>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Interest income of $15 million associated with the favorable tax audit settlements.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460" w:firstLine="4"/>
        <w:spacing w:after="0" w:line="243" w:lineRule="auto"/>
        <w:tabs>
          <w:tab w:leader="none" w:pos="668" w:val="left"/>
        </w:tabs>
        <w:numPr>
          <w:ilvl w:val="1"/>
          <w:numId w:val="2"/>
        </w:numPr>
        <w:rPr>
          <w:rFonts w:ascii="Arial" w:cs="Arial" w:eastAsia="Arial" w:hAnsi="Arial"/>
          <w:sz w:val="25"/>
          <w:szCs w:val="25"/>
          <w:color w:val="auto"/>
          <w:vertAlign w:val="superscript"/>
        </w:rPr>
      </w:pPr>
      <w:r>
        <w:rPr>
          <w:rFonts w:ascii="Arial" w:cs="Arial" w:eastAsia="Arial" w:hAnsi="Arial"/>
          <w:sz w:val="16"/>
          <w:szCs w:val="16"/>
          <w:color w:val="auto"/>
        </w:rPr>
        <w:t>The Company included its free cash flow, which is a non-GAAP financial measure, herein because it believes that investors are interested in the cash produced by the Company from non-financing activities that is available for uses such as the Company’s acquisition program, its share repurchase program, its scheduled debt reduction and the payment of dividends. The Company defines free cash flow as:</w:t>
      </w:r>
    </w:p>
    <w:p>
      <w:pPr>
        <w:spacing w:after="0" w:line="200" w:lineRule="exact"/>
        <w:rPr>
          <w:rFonts w:ascii="Arial" w:cs="Arial" w:eastAsia="Arial" w:hAnsi="Arial"/>
          <w:sz w:val="25"/>
          <w:szCs w:val="25"/>
          <w:color w:val="auto"/>
          <w:vertAlign w:val="superscript"/>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cash provided by operating activities</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Less, capital expenditures</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Plus, proceeds from divestitures of businesses, net of cash divested, and other sales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-1373505</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5" w:lineRule="exact"/>
        <w:rPr>
          <w:sz w:val="20"/>
          <w:szCs w:val="20"/>
          <w:color w:val="auto"/>
        </w:rPr>
      </w:pPr>
    </w:p>
    <w:p>
      <w:pPr>
        <w:ind w:left="460" w:right="360"/>
        <w:spacing w:after="0" w:line="264" w:lineRule="auto"/>
        <w:rPr>
          <w:sz w:val="20"/>
          <w:szCs w:val="20"/>
          <w:color w:val="auto"/>
        </w:rPr>
      </w:pPr>
      <w:r>
        <w:rPr>
          <w:rFonts w:ascii="Arial" w:cs="Arial" w:eastAsia="Arial" w:hAnsi="Arial"/>
          <w:sz w:val="18"/>
          <w:szCs w:val="18"/>
          <w:color w:val="auto"/>
        </w:rPr>
        <w:t>The Company’s definition of free cash flow may not be comparable to similarly titled measures presented by other companies. The Company has reconciled its free cash flow as presented herein to cash flow from operations, which is the most comparable GAAP measure, in the accompanying schedules.</w:t>
      </w:r>
    </w:p>
    <w:p>
      <w:pPr>
        <w:spacing w:after="0" w:line="14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The Company has scheduled an investor and analyst conference call for later today to discuss the results of today’s earnings announcement. The information in this press release should be read in conjunction with the information on the conference call. The call will begin at 10:00 a.m. eastern time, 9:00 a.m. central time, and is open to the public. To listen to the conference call, which will be broadcast live over the Internet, go to the Waste Management Website at http://www.wm.com, and select “3Q2004 Earnings Webcast.” You may also listen to the conference call by telephone by contacting the conference call operator at (877) 710-6139, 5-10 minutes prior to the scheduled start time, and asking for the “Waste Management Conference Call – Call ID 1203104.” For those unable to listen to the live call, a replay will be available 24 hours a day beginning at approximately 1:00 p.m. central time October 28th through 5:00 p.m. on November 11th. To hear a replay of the call over the Internet, access the Waste Management Website at </w:t>
      </w:r>
      <w:r>
        <w:rPr>
          <w:rFonts w:ascii="Arial" w:cs="Arial" w:eastAsia="Arial" w:hAnsi="Arial"/>
          <w:sz w:val="17"/>
          <w:szCs w:val="17"/>
          <w:u w:val="single" w:color="auto"/>
          <w:color w:val="auto"/>
        </w:rPr>
        <w:t>http://www.wm.com</w:t>
      </w:r>
      <w:r>
        <w:rPr>
          <w:rFonts w:ascii="Arial" w:cs="Arial" w:eastAsia="Arial" w:hAnsi="Arial"/>
          <w:sz w:val="17"/>
          <w:szCs w:val="17"/>
          <w:color w:val="auto"/>
        </w:rPr>
        <w:t>. To hear a telephonic replay of the call, dial (800) 642-1687 and enter reservation code 1203104.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 w:name="page10"/>
    <w:bookmarkEnd w:id="9"/>
    <w:p>
      <w:pPr>
        <w:ind w:right="40"/>
        <w:spacing w:after="0" w:line="277" w:lineRule="auto"/>
        <w:rPr>
          <w:sz w:val="20"/>
          <w:szCs w:val="20"/>
          <w:color w:val="auto"/>
        </w:rPr>
      </w:pPr>
      <w:r>
        <w:rPr>
          <w:rFonts w:ascii="Arial" w:cs="Arial" w:eastAsia="Arial" w:hAnsi="Arial"/>
          <w:sz w:val="18"/>
          <w:szCs w:val="18"/>
          <w:color w:val="auto"/>
        </w:rPr>
        <w:t>Waste Management, Inc. is its industry’s leading provider of comprehensive waste management and environmental services. Based in Houston, the Company serves municipal, commercial, industrial, and residential customers throughout North America.</w:t>
      </w:r>
    </w:p>
    <w:p>
      <w:pPr>
        <w:spacing w:after="0" w:line="14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Certain statements contained in this press release include statements that are “forward-looking statements.” Outlined below are some of the risks that the Company faces and that could affect our financial statements for 2004 and beyond and that could cause actual results to be materially different from those that may be set forth in forward-looking statements made by the Company. However, they are not the only risks that the Company faces. There may be additional risks that we do not presently know or that we currently believe are immaterial which could also impair our business. We caution you not to place undue reliance on these forward-looking statements, which speak only as of their dates. We undertake no obligation to publicly update or revise any forward-looking statements, whether as a result of new information, future events or otherwise. In addition, the Company, from time to time, provides estimates of financial and other data relating to future periods. Such estimates and other information are the Company’s expectations at the point in time of issuance but may change at some future point in time. By issuing such estimates the Company has no obligation, and is not undertaking any obligation, to update such estimates or provide any other information relating to such estimates. The following are some of the risks we face:</w:t>
      </w:r>
    </w:p>
    <w:p>
      <w:pPr>
        <w:spacing w:after="0" w:line="167" w:lineRule="exact"/>
        <w:rPr>
          <w:sz w:val="20"/>
          <w:szCs w:val="20"/>
          <w:color w:val="auto"/>
        </w:rPr>
      </w:pPr>
    </w:p>
    <w:p>
      <w:pPr>
        <w:ind w:left="900" w:right="30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effects competition may have on our profitability or cash flows, including the negative impact to our yield on base business resulting from price roll-backs and lower than average pricing to retain and attract customers;</w:t>
      </w:r>
    </w:p>
    <w:p>
      <w:pPr>
        <w:spacing w:after="0" w:line="17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our inability to maintain or expand margins as volumes increase if we are unable to control variable costs or our fixed cost base increases;</w:t>
      </w:r>
    </w:p>
    <w:p>
      <w:pPr>
        <w:spacing w:after="0" w:line="236" w:lineRule="exact"/>
        <w:rPr>
          <w:rFonts w:ascii="Arial" w:cs="Arial" w:eastAsia="Arial" w:hAnsi="Arial"/>
          <w:sz w:val="17"/>
          <w:szCs w:val="17"/>
          <w:color w:val="auto"/>
        </w:rPr>
      </w:pPr>
    </w:p>
    <w:p>
      <w:pPr>
        <w:ind w:left="900" w:right="500" w:hanging="446"/>
        <w:spacing w:after="0" w:line="34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increases in employee-related costs and expenses, including health care and other employee benefits such as unemployment insurance and workers’ compensation, as well as the costs and expenses associated with attracting and retaining qualified personnel;</w:t>
      </w:r>
    </w:p>
    <w:p>
      <w:pPr>
        <w:spacing w:after="0" w:line="123" w:lineRule="exact"/>
        <w:rPr>
          <w:rFonts w:ascii="Arial" w:cs="Arial" w:eastAsia="Arial" w:hAnsi="Arial"/>
          <w:sz w:val="16"/>
          <w:szCs w:val="16"/>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possible increases in expenses due to fuel price increases or fuel supply shortages;</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effect that fluctuating commodity prices may have on our operating revenues and expenses;</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general effects of a weak economy, including the resulting decreases in volumes of waste generated;</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effect the weather has on our quarter to quarter results, as well as the effect of extremely harsh weather on our operations;</w:t>
      </w:r>
    </w:p>
    <w:p>
      <w:pPr>
        <w:spacing w:after="0" w:line="225" w:lineRule="exact"/>
        <w:rPr>
          <w:rFonts w:ascii="Arial" w:cs="Arial" w:eastAsia="Arial" w:hAnsi="Arial"/>
          <w:sz w:val="18"/>
          <w:szCs w:val="18"/>
          <w:color w:val="auto"/>
        </w:rPr>
      </w:pPr>
    </w:p>
    <w:p>
      <w:pPr>
        <w:ind w:left="900" w:right="70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possible changes in our estimates of site remediation requirements, final capping, closure and post-closure obligations, compliance and regulatory developments;</w:t>
      </w:r>
    </w:p>
    <w:p>
      <w:pPr>
        <w:spacing w:after="0" w:line="170" w:lineRule="exact"/>
        <w:rPr>
          <w:rFonts w:ascii="Arial" w:cs="Arial" w:eastAsia="Arial" w:hAnsi="Arial"/>
          <w:sz w:val="18"/>
          <w:szCs w:val="18"/>
          <w:color w:val="auto"/>
        </w:rPr>
      </w:pPr>
    </w:p>
    <w:p>
      <w:pPr>
        <w:ind w:left="900" w:right="620" w:hanging="446"/>
        <w:spacing w:after="0" w:line="308"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the possible impact of regulations on our business, including the cost to comply with regulatory requirements and the potential liabilities associated with disposal operations, as well as our ability to obtain and maintain permits needed to operate our facilities;</w:t>
      </w:r>
    </w:p>
    <w:p>
      <w:pPr>
        <w:spacing w:after="0" w:line="146" w:lineRule="exact"/>
        <w:rPr>
          <w:rFonts w:ascii="Arial" w:cs="Arial" w:eastAsia="Arial" w:hAnsi="Arial"/>
          <w:sz w:val="17"/>
          <w:szCs w:val="17"/>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effect of limitations or bans on disposal or transportation of out-of-state waste or certain categories of waste;</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possible charges against earnings as a result of shut-down operations, uncompleted development or expansion projects or other events;</w:t>
      </w:r>
    </w:p>
    <w:p>
      <w:pPr>
        <w:spacing w:after="0" w:line="236" w:lineRule="exact"/>
        <w:rPr>
          <w:rFonts w:ascii="Arial" w:cs="Arial" w:eastAsia="Arial" w:hAnsi="Arial"/>
          <w:sz w:val="17"/>
          <w:szCs w:val="17"/>
          <w:color w:val="auto"/>
        </w:rPr>
      </w:pPr>
    </w:p>
    <w:p>
      <w:pPr>
        <w:ind w:left="90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effects that trends toward requiring recycling, waste reduction at the source and prohibiting the disposal of certain types of wastes could have on volumes of waste going to landfills and waste-to-energy facilities;</w:t>
      </w:r>
    </w:p>
    <w:p>
      <w:pPr>
        <w:spacing w:after="0" w:line="17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possible diversions of management’s attention and increases in operating expenses due to efforts by labor unions to organize our employees;</w:t>
      </w:r>
    </w:p>
    <w:p>
      <w:pPr>
        <w:spacing w:after="0" w:line="248" w:lineRule="exact"/>
        <w:rPr>
          <w:rFonts w:ascii="Arial" w:cs="Arial" w:eastAsia="Arial" w:hAnsi="Arial"/>
          <w:sz w:val="16"/>
          <w:szCs w:val="16"/>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outcome of litigation or threatened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0" w:name="page11"/>
    <w:bookmarkEnd w:id="10"/>
    <w:p>
      <w:pPr>
        <w:ind w:left="446" w:hanging="446"/>
        <w:spacing w:after="0" w:line="277" w:lineRule="auto"/>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need for additional capital if cash flows are less than we expect or capital expenditures are more than we expect, and the possibility that we cannot obtain additional capital on acceptable terms if needed;</w:t>
      </w:r>
    </w:p>
    <w:p>
      <w:pPr>
        <w:spacing w:after="0" w:line="170" w:lineRule="exact"/>
        <w:rPr>
          <w:rFonts w:ascii="Arial" w:cs="Arial" w:eastAsia="Arial" w:hAnsi="Arial"/>
          <w:sz w:val="18"/>
          <w:szCs w:val="18"/>
          <w:color w:val="auto"/>
        </w:rPr>
      </w:pPr>
    </w:p>
    <w:p>
      <w:pPr>
        <w:ind w:left="446" w:hanging="446"/>
        <w:spacing w:after="0"/>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possible errors or problems upon implementation of new information technology systems; and</w:t>
      </w:r>
    </w:p>
    <w:p>
      <w:pPr>
        <w:spacing w:after="0" w:line="225" w:lineRule="exact"/>
        <w:rPr>
          <w:rFonts w:ascii="Arial" w:cs="Arial" w:eastAsia="Arial" w:hAnsi="Arial"/>
          <w:sz w:val="18"/>
          <w:szCs w:val="18"/>
          <w:color w:val="auto"/>
        </w:rPr>
      </w:pPr>
    </w:p>
    <w:p>
      <w:pPr>
        <w:ind w:left="446" w:right="540" w:hanging="446"/>
        <w:spacing w:after="0" w:line="277" w:lineRule="auto"/>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possible fluctuations in quarterly results of operations or adverse impacts on our results of operations as a result of the adoption of new accounting standards or interpretations.</w:t>
      </w:r>
    </w:p>
    <w:p>
      <w:pPr>
        <w:spacing w:after="0" w:line="170" w:lineRule="exact"/>
        <w:rPr>
          <w:sz w:val="20"/>
          <w:szCs w:val="20"/>
          <w:color w:val="auto"/>
        </w:rPr>
      </w:pPr>
    </w:p>
    <w:p>
      <w:pPr>
        <w:ind w:left="6" w:right="40"/>
        <w:spacing w:after="0" w:line="264" w:lineRule="auto"/>
        <w:rPr>
          <w:sz w:val="20"/>
          <w:szCs w:val="20"/>
          <w:color w:val="auto"/>
        </w:rPr>
      </w:pPr>
      <w:r>
        <w:rPr>
          <w:rFonts w:ascii="Arial" w:cs="Arial" w:eastAsia="Arial" w:hAnsi="Arial"/>
          <w:sz w:val="18"/>
          <w:szCs w:val="18"/>
          <w:i w:val="1"/>
          <w:iCs w:val="1"/>
          <w:color w:val="auto"/>
        </w:rPr>
        <w:t>Additional information regarding these and/or other factors that could materially affect results and the accuracy of the forward-looking statements contained herein may be found in Part I, Item 1 of the Company’s Annual Report on Form 10-K for the year ended December 31, 2003 and Part II of the Company’s Quarterly Report on Form 10-Q for the quarter ended June 30, 2004.</w:t>
      </w:r>
    </w:p>
    <w:p>
      <w:pPr>
        <w:spacing w:after="0" w:line="154" w:lineRule="exact"/>
        <w:rPr>
          <w:sz w:val="20"/>
          <w:szCs w:val="20"/>
          <w:color w:val="auto"/>
        </w:rPr>
      </w:pPr>
    </w:p>
    <w:p>
      <w:pPr>
        <w:jc w:val="center"/>
        <w:ind w:right="254"/>
        <w:spacing w:after="0"/>
        <w:rPr>
          <w:sz w:val="20"/>
          <w:szCs w:val="20"/>
          <w:color w:val="auto"/>
        </w:rPr>
      </w:pP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398780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6"/>
          </w:cols>
          <w:pgMar w:left="694" w:top="935" w:right="41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Quarters Ended September 30,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36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1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33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31"/>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36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1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3,274</w:t>
            </w:r>
          </w:p>
        </w:tc>
        <w:tc>
          <w:tcPr>
            <w:tcW w:w="10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2,996</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38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20"/>
                <w:szCs w:val="20"/>
                <w:color w:val="auto"/>
              </w:rPr>
            </w:pPr>
          </w:p>
        </w:tc>
        <w:tc>
          <w:tcPr>
            <w:tcW w:w="11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808080"/>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Operating (exclusive of depreciation and amortization shown below)</w:t>
            </w:r>
          </w:p>
        </w:tc>
        <w:tc>
          <w:tcPr>
            <w:tcW w:w="10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2,151</w:t>
            </w: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1,941</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20"/>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Asset impairments and unusual items</w:t>
            </w:r>
          </w:p>
        </w:tc>
        <w:tc>
          <w:tcPr>
            <w:tcW w:w="1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w:t>
            </w: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2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2,809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2,561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EEEEEE"/>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EEEEEE"/>
          </w:tcPr>
          <w:p>
            <w:pPr>
              <w:spacing w:after="0"/>
              <w:rPr>
                <w:sz w:val="18"/>
                <w:szCs w:val="18"/>
                <w:color w:val="auto"/>
              </w:rPr>
            </w:pPr>
          </w:p>
        </w:tc>
        <w:tc>
          <w:tcPr>
            <w:tcW w:w="11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1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3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(112)</w:t>
            </w: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2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Equity in earnings (losses) of unconsolidated entities</w:t>
            </w:r>
          </w:p>
        </w:tc>
        <w:tc>
          <w:tcPr>
            <w:tcW w:w="1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(27)</w:t>
            </w: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20"/>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EEEEEE"/>
          </w:tcPr>
          <w:p>
            <w:pPr>
              <w:spacing w:after="0"/>
              <w:rPr>
                <w:sz w:val="18"/>
                <w:szCs w:val="18"/>
                <w:color w:val="auto"/>
              </w:rPr>
            </w:pPr>
          </w:p>
        </w:tc>
        <w:tc>
          <w:tcPr>
            <w:tcW w:w="11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1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11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83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EEEEEE"/>
            </w:tcBorders>
            <w:shd w:val="clear" w:color="auto" w:fill="EEEEEE"/>
          </w:tcPr>
          <w:p>
            <w:pPr>
              <w:spacing w:after="0"/>
              <w:rPr>
                <w:sz w:val="22"/>
                <w:szCs w:val="22"/>
                <w:color w:val="auto"/>
              </w:rPr>
            </w:pPr>
          </w:p>
        </w:tc>
        <w:tc>
          <w:tcPr>
            <w:tcW w:w="500" w:type="dxa"/>
            <w:vAlign w:val="bottom"/>
            <w:tcBorders>
              <w:bottom w:val="single" w:sz="8" w:color="EEEEEE"/>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38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83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EEEEEE"/>
            </w:tcBorders>
            <w:shd w:val="clear" w:color="auto" w:fill="EEEEEE"/>
          </w:tcPr>
          <w:p>
            <w:pPr>
              <w:spacing w:after="0"/>
              <w:rPr>
                <w:sz w:val="22"/>
                <w:szCs w:val="22"/>
                <w:color w:val="auto"/>
              </w:rPr>
            </w:pPr>
          </w:p>
        </w:tc>
        <w:tc>
          <w:tcPr>
            <w:tcW w:w="500" w:type="dxa"/>
            <w:vAlign w:val="bottom"/>
            <w:tcBorders>
              <w:bottom w:val="single" w:sz="8" w:color="EEEEEE"/>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38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83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Diluted common shares outstanding</w:t>
            </w:r>
          </w:p>
        </w:tc>
        <w:tc>
          <w:tcPr>
            <w:tcW w:w="100" w:type="dxa"/>
            <w:vAlign w:val="bottom"/>
            <w:tcBorders>
              <w:bottom w:val="single" w:sz="8" w:color="EEEEEE"/>
            </w:tcBorders>
            <w:shd w:val="clear" w:color="auto" w:fill="EEEEEE"/>
          </w:tcPr>
          <w:p>
            <w:pPr>
              <w:spacing w:after="0"/>
              <w:rPr>
                <w:sz w:val="22"/>
                <w:szCs w:val="22"/>
                <w:color w:val="auto"/>
              </w:rPr>
            </w:pPr>
          </w:p>
        </w:tc>
        <w:tc>
          <w:tcPr>
            <w:tcW w:w="11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581.2</w:t>
            </w:r>
          </w:p>
        </w:tc>
        <w:tc>
          <w:tcPr>
            <w:tcW w:w="100" w:type="dxa"/>
            <w:vAlign w:val="bottom"/>
            <w:tcBorders>
              <w:bottom w:val="single" w:sz="8" w:color="EEEEEE"/>
            </w:tcBorders>
            <w:shd w:val="clear" w:color="auto" w:fill="EEEEEE"/>
          </w:tcPr>
          <w:p>
            <w:pPr>
              <w:spacing w:after="0"/>
              <w:rPr>
                <w:sz w:val="22"/>
                <w:szCs w:val="22"/>
                <w:color w:val="auto"/>
              </w:rPr>
            </w:pPr>
          </w:p>
        </w:tc>
        <w:tc>
          <w:tcPr>
            <w:tcW w:w="360" w:type="dxa"/>
            <w:vAlign w:val="bottom"/>
            <w:tcBorders>
              <w:bottom w:val="single" w:sz="8" w:color="EEEEEE"/>
            </w:tcBorders>
            <w:shd w:val="clear" w:color="auto" w:fill="EEEEEE"/>
          </w:tcPr>
          <w:p>
            <w:pPr>
              <w:spacing w:after="0"/>
              <w:rPr>
                <w:sz w:val="22"/>
                <w:szCs w:val="22"/>
                <w:color w:val="auto"/>
              </w:rPr>
            </w:pPr>
          </w:p>
        </w:tc>
        <w:tc>
          <w:tcPr>
            <w:tcW w:w="140" w:type="dxa"/>
            <w:vAlign w:val="bottom"/>
            <w:tcBorders>
              <w:bottom w:val="single" w:sz="8" w:color="EEEEEE"/>
              <w:right w:val="single" w:sz="8" w:color="EEEEEE"/>
            </w:tcBorders>
            <w:shd w:val="clear" w:color="auto" w:fill="EEEEEE"/>
          </w:tcPr>
          <w:p>
            <w:pPr>
              <w:spacing w:after="0"/>
              <w:rPr>
                <w:sz w:val="22"/>
                <w:szCs w:val="22"/>
                <w:color w:val="auto"/>
              </w:rPr>
            </w:pPr>
          </w:p>
        </w:tc>
        <w:tc>
          <w:tcPr>
            <w:tcW w:w="11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593.8</w:t>
            </w:r>
          </w:p>
        </w:tc>
        <w:tc>
          <w:tcPr>
            <w:tcW w:w="12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380" w:type="dxa"/>
            <w:vAlign w:val="bottom"/>
            <w:gridSpan w:val="2"/>
          </w:tcPr>
          <w:p>
            <w:pPr>
              <w:spacing w:after="0"/>
              <w:rPr>
                <w:sz w:val="20"/>
                <w:szCs w:val="20"/>
                <w:color w:val="auto"/>
              </w:rPr>
            </w:pPr>
            <w:r>
              <w:rPr>
                <w:rFonts w:ascii="Arial" w:cs="Arial" w:eastAsia="Arial" w:hAnsi="Arial"/>
                <w:sz w:val="18"/>
                <w:szCs w:val="18"/>
                <w:color w:val="auto"/>
              </w:rPr>
              <w:t>Cash dividends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Note: Prior year information has been reclassified to conform to 2004 presentation.</w:t>
      </w:r>
    </w:p>
    <w:p>
      <w:pPr>
        <w:spacing w:after="0" w:line="18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rPr>
              <w:t>Quarters Ended September 30,</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36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36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EPS Calculation:</w:t>
            </w:r>
          </w:p>
        </w:tc>
        <w:tc>
          <w:tcPr>
            <w:tcW w:w="12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8"/>
                <w:szCs w:val="18"/>
                <w:color w:val="auto"/>
              </w:rPr>
            </w:pPr>
          </w:p>
        </w:tc>
        <w:tc>
          <w:tcPr>
            <w:tcW w:w="120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Interest on convertible subordinated notes, net of taxes</w:t>
            </w:r>
          </w:p>
        </w:tc>
        <w:tc>
          <w:tcPr>
            <w:tcW w:w="120" w:type="dxa"/>
            <w:vAlign w:val="bottom"/>
            <w:tcBorders>
              <w:right w:val="single" w:sz="8" w:color="EEEEEE"/>
            </w:tcBorders>
            <w:shd w:val="clear" w:color="auto" w:fill="EEEEEE"/>
          </w:tcPr>
          <w:p>
            <w:pPr>
              <w:spacing w:after="0"/>
              <w:rPr>
                <w:sz w:val="18"/>
                <w:szCs w:val="18"/>
                <w:color w:val="auto"/>
              </w:rPr>
            </w:pPr>
          </w:p>
        </w:tc>
        <w:tc>
          <w:tcPr>
            <w:tcW w:w="680" w:type="dxa"/>
            <w:vAlign w:val="bottom"/>
            <w:tcBorders>
              <w:bottom w:val="single" w:sz="8" w:color="808080"/>
            </w:tcBorders>
            <w:shd w:val="clear" w:color="auto" w:fill="EEEEEE"/>
          </w:tcPr>
          <w:p>
            <w:pPr>
              <w:spacing w:after="0"/>
              <w:rPr>
                <w:sz w:val="18"/>
                <w:szCs w:val="18"/>
                <w:color w:val="auto"/>
              </w:rPr>
            </w:pPr>
          </w:p>
        </w:tc>
        <w:tc>
          <w:tcPr>
            <w:tcW w:w="4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20" w:type="dxa"/>
            <w:vAlign w:val="bottom"/>
            <w:tcBorders>
              <w:bottom w:val="single" w:sz="8" w:color="808080"/>
            </w:tcBorders>
            <w:shd w:val="clear" w:color="auto" w:fill="EEEEEE"/>
          </w:tcPr>
          <w:p>
            <w:pPr>
              <w:spacing w:after="0"/>
              <w:rPr>
                <w:sz w:val="18"/>
                <w:szCs w:val="18"/>
                <w:color w:val="auto"/>
              </w:rPr>
            </w:pPr>
          </w:p>
        </w:tc>
        <w:tc>
          <w:tcPr>
            <w:tcW w:w="4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380" w:type="dxa"/>
            <w:vAlign w:val="bottom"/>
            <w:gridSpan w:val="2"/>
          </w:tcPr>
          <w:p>
            <w:pPr>
              <w:spacing w:after="0"/>
              <w:rPr>
                <w:sz w:val="20"/>
                <w:szCs w:val="20"/>
                <w:color w:val="auto"/>
              </w:rPr>
            </w:pPr>
            <w:r>
              <w:rPr>
                <w:rFonts w:ascii="Arial" w:cs="Arial" w:eastAsia="Arial" w:hAnsi="Arial"/>
                <w:sz w:val="18"/>
                <w:szCs w:val="18"/>
                <w:color w:val="auto"/>
              </w:rPr>
              <w:t>Diluted 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0"/>
                <w:szCs w:val="20"/>
                <w:color w:val="auto"/>
              </w:rPr>
            </w:pPr>
          </w:p>
        </w:tc>
        <w:tc>
          <w:tcPr>
            <w:tcW w:w="120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36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EEEEEE"/>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2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572.8</w:t>
            </w: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584.9</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20"/>
              <w:spacing w:after="0"/>
              <w:rPr>
                <w:sz w:val="20"/>
                <w:szCs w:val="20"/>
                <w:color w:val="auto"/>
              </w:rPr>
            </w:pPr>
            <w:r>
              <w:rPr>
                <w:rFonts w:ascii="Arial" w:cs="Arial" w:eastAsia="Arial" w:hAnsi="Arial"/>
                <w:sz w:val="18"/>
                <w:szCs w:val="18"/>
                <w:color w:val="auto"/>
              </w:rPr>
              <w:t>Effect of using weighted average common shares outstanding</w:t>
            </w:r>
          </w:p>
        </w:tc>
        <w:tc>
          <w:tcPr>
            <w:tcW w:w="120" w:type="dxa"/>
            <w:vAlign w:val="bottom"/>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basic common shares outstanding</w:t>
            </w:r>
          </w:p>
        </w:tc>
        <w:tc>
          <w:tcPr>
            <w:tcW w:w="12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576.7</w:t>
            </w: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589.8</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60" w:type="dxa"/>
            <w:vAlign w:val="bottom"/>
          </w:tcPr>
          <w:p>
            <w:pPr>
              <w:ind w:left="120"/>
              <w:spacing w:after="0" w:line="201" w:lineRule="exact"/>
              <w:rPr>
                <w:sz w:val="20"/>
                <w:szCs w:val="20"/>
                <w:color w:val="auto"/>
              </w:rPr>
            </w:pPr>
            <w:r>
              <w:rPr>
                <w:rFonts w:ascii="Arial" w:cs="Arial" w:eastAsia="Arial" w:hAnsi="Arial"/>
                <w:sz w:val="18"/>
                <w:szCs w:val="18"/>
                <w:color w:val="auto"/>
              </w:rPr>
              <w:t>Dilutive effect of common stock options, warrants, restricted stock, convertible subordinated notes and</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60" w:type="dxa"/>
            <w:vAlign w:val="bottom"/>
          </w:tcPr>
          <w:p>
            <w:pPr>
              <w:ind w:left="260"/>
              <w:spacing w:after="0"/>
              <w:rPr>
                <w:sz w:val="20"/>
                <w:szCs w:val="20"/>
                <w:color w:val="auto"/>
              </w:rPr>
            </w:pPr>
            <w:r>
              <w:rPr>
                <w:rFonts w:ascii="Arial" w:cs="Arial" w:eastAsia="Arial" w:hAnsi="Arial"/>
                <w:sz w:val="18"/>
                <w:szCs w:val="18"/>
                <w:color w:val="auto"/>
              </w:rPr>
              <w:t>contingently issuable shares</w:t>
            </w:r>
          </w:p>
        </w:tc>
        <w:tc>
          <w:tcPr>
            <w:tcW w:w="120" w:type="dxa"/>
            <w:vAlign w:val="bottom"/>
          </w:tcPr>
          <w:p>
            <w:pPr>
              <w:spacing w:after="0"/>
              <w:rPr>
                <w:sz w:val="20"/>
                <w:szCs w:val="20"/>
                <w:color w:val="auto"/>
              </w:rPr>
            </w:pPr>
          </w:p>
        </w:tc>
        <w:tc>
          <w:tcPr>
            <w:tcW w:w="680" w:type="dxa"/>
            <w:vAlign w:val="bottom"/>
            <w:tcBorders>
              <w:bottom w:val="single" w:sz="8" w:color="808080"/>
            </w:tcBorders>
          </w:tcPr>
          <w:p>
            <w:pPr>
              <w:spacing w:after="0"/>
              <w:rPr>
                <w:sz w:val="20"/>
                <w:szCs w:val="20"/>
                <w:color w:val="auto"/>
              </w:rPr>
            </w:pPr>
          </w:p>
        </w:tc>
        <w:tc>
          <w:tcPr>
            <w:tcW w:w="4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bottom w:val="single" w:sz="8" w:color="808080"/>
            </w:tcBorders>
          </w:tcPr>
          <w:p>
            <w:pPr>
              <w:spacing w:after="0"/>
              <w:rPr>
                <w:sz w:val="20"/>
                <w:szCs w:val="20"/>
                <w:color w:val="auto"/>
              </w:rPr>
            </w:pPr>
          </w:p>
        </w:tc>
        <w:tc>
          <w:tcPr>
            <w:tcW w:w="4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83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Weighted average diluted common shares outstanding</w:t>
            </w:r>
          </w:p>
        </w:tc>
        <w:tc>
          <w:tcPr>
            <w:tcW w:w="120" w:type="dxa"/>
            <w:vAlign w:val="bottom"/>
            <w:tcBorders>
              <w:bottom w:val="single" w:sz="8" w:color="EEEEEE"/>
              <w:right w:val="single" w:sz="8" w:color="EEEEEE"/>
            </w:tcBorders>
            <w:shd w:val="clear" w:color="auto" w:fill="EEEEEE"/>
          </w:tcPr>
          <w:p>
            <w:pPr>
              <w:spacing w:after="0"/>
              <w:rPr>
                <w:sz w:val="22"/>
                <w:szCs w:val="22"/>
                <w:color w:val="auto"/>
              </w:rPr>
            </w:pPr>
          </w:p>
        </w:tc>
        <w:tc>
          <w:tcPr>
            <w:tcW w:w="680" w:type="dxa"/>
            <w:vAlign w:val="bottom"/>
            <w:tcBorders>
              <w:bottom w:val="single" w:sz="8" w:color="808080"/>
            </w:tcBorders>
            <w:shd w:val="clear" w:color="auto" w:fill="EEEEEE"/>
          </w:tcPr>
          <w:p>
            <w:pPr>
              <w:spacing w:after="0"/>
              <w:rPr>
                <w:sz w:val="22"/>
                <w:szCs w:val="22"/>
                <w:color w:val="auto"/>
              </w:rPr>
            </w:pPr>
          </w:p>
        </w:tc>
        <w:tc>
          <w:tcPr>
            <w:tcW w:w="4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8"/>
              </w:rPr>
              <w:t>581.2</w:t>
            </w:r>
          </w:p>
        </w:tc>
        <w:tc>
          <w:tcPr>
            <w:tcW w:w="100" w:type="dxa"/>
            <w:vAlign w:val="bottom"/>
            <w:tcBorders>
              <w:bottom w:val="single" w:sz="8" w:color="EEEEEE"/>
            </w:tcBorders>
            <w:shd w:val="clear" w:color="auto" w:fill="EEEEEE"/>
          </w:tcPr>
          <w:p>
            <w:pPr>
              <w:spacing w:after="0"/>
              <w:rPr>
                <w:sz w:val="22"/>
                <w:szCs w:val="22"/>
                <w:color w:val="auto"/>
              </w:rPr>
            </w:pPr>
          </w:p>
        </w:tc>
        <w:tc>
          <w:tcPr>
            <w:tcW w:w="360" w:type="dxa"/>
            <w:vAlign w:val="bottom"/>
            <w:tcBorders>
              <w:bottom w:val="single" w:sz="8" w:color="EEEEEE"/>
            </w:tcBorders>
            <w:shd w:val="clear" w:color="auto" w:fill="EEEEEE"/>
          </w:tcPr>
          <w:p>
            <w:pPr>
              <w:spacing w:after="0"/>
              <w:rPr>
                <w:sz w:val="22"/>
                <w:szCs w:val="22"/>
                <w:color w:val="auto"/>
              </w:rPr>
            </w:pPr>
          </w:p>
        </w:tc>
        <w:tc>
          <w:tcPr>
            <w:tcW w:w="120" w:type="dxa"/>
            <w:vAlign w:val="bottom"/>
            <w:tcBorders>
              <w:bottom w:val="single" w:sz="8" w:color="EEEEEE"/>
            </w:tcBorders>
            <w:shd w:val="clear" w:color="auto" w:fill="EEEEEE"/>
          </w:tcPr>
          <w:p>
            <w:pPr>
              <w:spacing w:after="0"/>
              <w:rPr>
                <w:sz w:val="22"/>
                <w:szCs w:val="22"/>
                <w:color w:val="auto"/>
              </w:rPr>
            </w:pPr>
          </w:p>
        </w:tc>
        <w:tc>
          <w:tcPr>
            <w:tcW w:w="720" w:type="dxa"/>
            <w:vAlign w:val="bottom"/>
            <w:tcBorders>
              <w:bottom w:val="single" w:sz="8" w:color="808080"/>
            </w:tcBorders>
            <w:shd w:val="clear" w:color="auto" w:fill="EEEEEE"/>
          </w:tcPr>
          <w:p>
            <w:pPr>
              <w:spacing w:after="0"/>
              <w:rPr>
                <w:sz w:val="22"/>
                <w:szCs w:val="22"/>
                <w:color w:val="auto"/>
              </w:rPr>
            </w:pPr>
          </w:p>
        </w:tc>
        <w:tc>
          <w:tcPr>
            <w:tcW w:w="4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4"/>
              </w:rPr>
              <w:t>593.8</w:t>
            </w:r>
          </w:p>
        </w:tc>
        <w:tc>
          <w:tcPr>
            <w:tcW w:w="12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38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0"/>
                <w:szCs w:val="20"/>
                <w:color w:val="auto"/>
              </w:rPr>
            </w:pPr>
          </w:p>
        </w:tc>
        <w:tc>
          <w:tcPr>
            <w:tcW w:w="120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36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8360" w:type="dxa"/>
            <w:vAlign w:val="bottom"/>
            <w:shd w:val="clear" w:color="auto" w:fill="EEEEEE"/>
          </w:tcPr>
          <w:p>
            <w:pPr>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EEEEEE"/>
          </w:tcPr>
          <w:p>
            <w:pPr>
              <w:spacing w:after="0"/>
              <w:rPr>
                <w:sz w:val="22"/>
                <w:szCs w:val="22"/>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EEEEEE"/>
          </w:tcPr>
          <w:p>
            <w:pPr>
              <w:spacing w:after="0"/>
              <w:rPr>
                <w:sz w:val="22"/>
                <w:szCs w:val="22"/>
                <w:color w:val="auto"/>
              </w:rPr>
            </w:pPr>
          </w:p>
        </w:tc>
        <w:tc>
          <w:tcPr>
            <w:tcW w:w="1200" w:type="dxa"/>
            <w:vAlign w:val="bottom"/>
            <w:gridSpan w:val="3"/>
            <w:shd w:val="clear" w:color="auto" w:fill="EEEEEE"/>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0.35</w:t>
            </w:r>
          </w:p>
        </w:tc>
        <w:tc>
          <w:tcPr>
            <w:tcW w:w="12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8360" w:type="dxa"/>
            <w:vAlign w:val="bottom"/>
            <w:tcBorders>
              <w:top w:val="single" w:sz="8" w:color="EEEEEE"/>
            </w:tcBorders>
          </w:tcPr>
          <w:p>
            <w:pPr>
              <w:ind w:left="5580"/>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EEEEEE"/>
            </w:tcBorders>
          </w:tcPr>
          <w:p>
            <w:pPr>
              <w:spacing w:after="0"/>
              <w:rPr>
                <w:sz w:val="24"/>
                <w:szCs w:val="24"/>
                <w:color w:val="auto"/>
              </w:rPr>
            </w:pPr>
          </w:p>
        </w:tc>
        <w:tc>
          <w:tcPr>
            <w:tcW w:w="680" w:type="dxa"/>
            <w:vAlign w:val="bottom"/>
            <w:tcBorders>
              <w:top w:val="single" w:sz="8" w:color="808080"/>
            </w:tcBorders>
          </w:tcPr>
          <w:p>
            <w:pPr>
              <w:spacing w:after="0"/>
              <w:rPr>
                <w:sz w:val="24"/>
                <w:szCs w:val="24"/>
                <w:color w:val="auto"/>
              </w:rPr>
            </w:pPr>
          </w:p>
        </w:tc>
        <w:tc>
          <w:tcPr>
            <w:tcW w:w="420" w:type="dxa"/>
            <w:vAlign w:val="bottom"/>
            <w:tcBorders>
              <w:top w:val="single" w:sz="8" w:color="808080"/>
            </w:tcBorders>
          </w:tcPr>
          <w:p>
            <w:pPr>
              <w:spacing w:after="0"/>
              <w:rPr>
                <w:sz w:val="24"/>
                <w:szCs w:val="24"/>
                <w:color w:val="auto"/>
              </w:rPr>
            </w:pPr>
          </w:p>
        </w:tc>
        <w:tc>
          <w:tcPr>
            <w:tcW w:w="100" w:type="dxa"/>
            <w:vAlign w:val="bottom"/>
            <w:tcBorders>
              <w:top w:val="single" w:sz="8" w:color="EEEEEE"/>
            </w:tcBorders>
          </w:tcPr>
          <w:p>
            <w:pPr>
              <w:spacing w:after="0"/>
              <w:rPr>
                <w:sz w:val="24"/>
                <w:szCs w:val="24"/>
                <w:color w:val="auto"/>
              </w:rPr>
            </w:pPr>
          </w:p>
        </w:tc>
        <w:tc>
          <w:tcPr>
            <w:tcW w:w="360" w:type="dxa"/>
            <w:vAlign w:val="bottom"/>
            <w:tcBorders>
              <w:top w:val="single" w:sz="8" w:color="EEEEEE"/>
            </w:tcBorders>
          </w:tcPr>
          <w:p>
            <w:pPr>
              <w:spacing w:after="0"/>
              <w:rPr>
                <w:sz w:val="24"/>
                <w:szCs w:val="24"/>
                <w:color w:val="auto"/>
              </w:rPr>
            </w:pPr>
          </w:p>
        </w:tc>
        <w:tc>
          <w:tcPr>
            <w:tcW w:w="120" w:type="dxa"/>
            <w:vAlign w:val="bottom"/>
            <w:tcBorders>
              <w:top w:val="single" w:sz="8" w:color="EEEEEE"/>
            </w:tcBorders>
          </w:tcPr>
          <w:p>
            <w:pPr>
              <w:spacing w:after="0"/>
              <w:rPr>
                <w:sz w:val="24"/>
                <w:szCs w:val="24"/>
                <w:color w:val="auto"/>
              </w:rPr>
            </w:pPr>
          </w:p>
        </w:tc>
        <w:tc>
          <w:tcPr>
            <w:tcW w:w="720" w:type="dxa"/>
            <w:vAlign w:val="bottom"/>
            <w:tcBorders>
              <w:top w:val="single" w:sz="8" w:color="808080"/>
            </w:tcBorders>
          </w:tcPr>
          <w:p>
            <w:pPr>
              <w:spacing w:after="0"/>
              <w:rPr>
                <w:sz w:val="24"/>
                <w:szCs w:val="24"/>
                <w:color w:val="auto"/>
              </w:rPr>
            </w:pPr>
          </w:p>
        </w:tc>
        <w:tc>
          <w:tcPr>
            <w:tcW w:w="400" w:type="dxa"/>
            <w:vAlign w:val="bottom"/>
            <w:tcBorders>
              <w:top w:val="single" w:sz="8" w:color="808080"/>
            </w:tcBorders>
          </w:tcPr>
          <w:p>
            <w:pPr>
              <w:spacing w:after="0"/>
              <w:rPr>
                <w:sz w:val="24"/>
                <w:szCs w:val="24"/>
                <w:color w:val="auto"/>
              </w:rPr>
            </w:pPr>
          </w:p>
        </w:tc>
        <w:tc>
          <w:tcPr>
            <w:tcW w:w="120" w:type="dxa"/>
            <w:vAlign w:val="bottom"/>
            <w:tcBorders>
              <w:top w:val="single" w:sz="8" w:color="EEEEEE"/>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36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1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33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31"/>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36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1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9,308</w:t>
            </w:r>
          </w:p>
        </w:tc>
        <w:tc>
          <w:tcPr>
            <w:tcW w:w="10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8,662</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38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20"/>
                <w:szCs w:val="20"/>
                <w:color w:val="auto"/>
              </w:rPr>
            </w:pPr>
          </w:p>
        </w:tc>
        <w:tc>
          <w:tcPr>
            <w:tcW w:w="11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808080"/>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Operating (exclusive of depreciation and amortization shown below)</w:t>
            </w:r>
          </w:p>
        </w:tc>
        <w:tc>
          <w:tcPr>
            <w:tcW w:w="10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6,111</w:t>
            </w: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5,656</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952</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20"/>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Asset impairments and unusual items</w:t>
            </w:r>
          </w:p>
        </w:tc>
        <w:tc>
          <w:tcPr>
            <w:tcW w:w="1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2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8,057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7,563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EEEEEE"/>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EEEEEE"/>
          </w:tcPr>
          <w:p>
            <w:pPr>
              <w:spacing w:after="0"/>
              <w:rPr>
                <w:sz w:val="18"/>
                <w:szCs w:val="18"/>
                <w:color w:val="auto"/>
              </w:rPr>
            </w:pPr>
          </w:p>
        </w:tc>
        <w:tc>
          <w:tcPr>
            <w:tcW w:w="11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1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1,099</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3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(344)</w:t>
            </w: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2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Equity in earnings (losses) of unconsolidated entities</w:t>
            </w:r>
          </w:p>
        </w:tc>
        <w:tc>
          <w:tcPr>
            <w:tcW w:w="1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(70)</w:t>
            </w: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20"/>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w:t>
            </w: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80808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808080"/>
            </w:tcBorders>
          </w:tcPr>
          <w:p>
            <w:pPr>
              <w:spacing w:after="0" w:line="20" w:lineRule="exact"/>
              <w:rPr>
                <w:sz w:val="1"/>
                <w:szCs w:val="1"/>
                <w:color w:val="auto"/>
              </w:rPr>
            </w:pPr>
          </w:p>
        </w:tc>
        <w:tc>
          <w:tcPr>
            <w:tcW w:w="1100" w:type="dxa"/>
            <w:vAlign w:val="bottom"/>
            <w:shd w:val="clear" w:color="auto" w:fill="80808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(411)</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taxes and cumulative effect of changes in accounting principles</w:t>
            </w:r>
          </w:p>
        </w:tc>
        <w:tc>
          <w:tcPr>
            <w:tcW w:w="10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786</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11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EEEEEE"/>
          </w:tcPr>
          <w:p>
            <w:pPr>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100" w:type="dxa"/>
            <w:vAlign w:val="bottom"/>
            <w:shd w:val="clear" w:color="auto" w:fill="EEEEEE"/>
          </w:tcPr>
          <w:p>
            <w:pPr>
              <w:spacing w:after="0"/>
              <w:rPr>
                <w:sz w:val="18"/>
                <w:szCs w:val="18"/>
                <w:color w:val="auto"/>
              </w:rPr>
            </w:pP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60" w:type="dxa"/>
            <w:vAlign w:val="bottom"/>
          </w:tcPr>
          <w:p>
            <w:pPr>
              <w:spacing w:after="0" w:line="201" w:lineRule="exact"/>
              <w:rPr>
                <w:sz w:val="20"/>
                <w:szCs w:val="20"/>
                <w:color w:val="auto"/>
              </w:rPr>
            </w:pPr>
            <w:r>
              <w:rPr>
                <w:rFonts w:ascii="Arial" w:cs="Arial" w:eastAsia="Arial" w:hAnsi="Arial"/>
                <w:sz w:val="18"/>
                <w:szCs w:val="18"/>
                <w:color w:val="auto"/>
                <w:w w:val="96"/>
              </w:rPr>
              <w:t>Cumulative effect of changes in accounting principles, net of income tax expense of $5 in 2004 and benefit of</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60" w:type="dxa"/>
            <w:vAlign w:val="bottom"/>
          </w:tcPr>
          <w:p>
            <w:pPr>
              <w:ind w:left="120"/>
              <w:spacing w:after="0"/>
              <w:rPr>
                <w:sz w:val="20"/>
                <w:szCs w:val="20"/>
                <w:color w:val="auto"/>
              </w:rPr>
            </w:pPr>
            <w:r>
              <w:rPr>
                <w:rFonts w:ascii="Arial" w:cs="Arial" w:eastAsia="Arial" w:hAnsi="Arial"/>
                <w:sz w:val="18"/>
                <w:szCs w:val="18"/>
                <w:color w:val="auto"/>
              </w:rPr>
              <w:t>$31 in 2003</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83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EEEEEE"/>
            </w:tcBorders>
            <w:shd w:val="clear" w:color="auto" w:fill="EEEEEE"/>
          </w:tcPr>
          <w:p>
            <w:pPr>
              <w:spacing w:after="0"/>
              <w:rPr>
                <w:sz w:val="22"/>
                <w:szCs w:val="22"/>
                <w:color w:val="auto"/>
              </w:rPr>
            </w:pPr>
          </w:p>
        </w:tc>
        <w:tc>
          <w:tcPr>
            <w:tcW w:w="500" w:type="dxa"/>
            <w:vAlign w:val="bottom"/>
            <w:tcBorders>
              <w:bottom w:val="single" w:sz="8" w:color="EEEEEE"/>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838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0.84</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20"/>
              <w:spacing w:after="0"/>
              <w:rPr>
                <w:sz w:val="20"/>
                <w:szCs w:val="20"/>
                <w:color w:val="auto"/>
              </w:rPr>
            </w:pPr>
            <w:r>
              <w:rPr>
                <w:rFonts w:ascii="Arial" w:cs="Arial" w:eastAsia="Arial" w:hAnsi="Arial"/>
                <w:sz w:val="18"/>
                <w:szCs w:val="18"/>
                <w:color w:val="auto"/>
              </w:rPr>
              <w:t>Cumulative effect of changes in accounting principles</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8360" w:type="dxa"/>
            <w:vAlign w:val="bottom"/>
            <w:tcBorders>
              <w:bottom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EEEEEE"/>
            </w:tcBorders>
            <w:shd w:val="clear" w:color="auto" w:fill="EEEEEE"/>
          </w:tcPr>
          <w:p>
            <w:pPr>
              <w:spacing w:after="0"/>
              <w:rPr>
                <w:sz w:val="22"/>
                <w:szCs w:val="22"/>
                <w:color w:val="auto"/>
              </w:rPr>
            </w:pPr>
          </w:p>
        </w:tc>
        <w:tc>
          <w:tcPr>
            <w:tcW w:w="500" w:type="dxa"/>
            <w:vAlign w:val="bottom"/>
            <w:tcBorders>
              <w:bottom w:val="single" w:sz="8" w:color="EEEEEE"/>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0.76</w:t>
            </w:r>
          </w:p>
        </w:tc>
        <w:tc>
          <w:tcPr>
            <w:tcW w:w="12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838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0.83</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20"/>
              <w:spacing w:after="0"/>
              <w:rPr>
                <w:sz w:val="20"/>
                <w:szCs w:val="20"/>
                <w:color w:val="auto"/>
              </w:rPr>
            </w:pPr>
            <w:r>
              <w:rPr>
                <w:rFonts w:ascii="Arial" w:cs="Arial" w:eastAsia="Arial" w:hAnsi="Arial"/>
                <w:sz w:val="18"/>
                <w:szCs w:val="18"/>
                <w:color w:val="auto"/>
              </w:rPr>
              <w:t>Cumulative effect of changes in accounting principles</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8360" w:type="dxa"/>
            <w:vAlign w:val="bottom"/>
            <w:tcBorders>
              <w:bottom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EEEEEE"/>
            </w:tcBorders>
            <w:shd w:val="clear" w:color="auto" w:fill="EEEEEE"/>
          </w:tcPr>
          <w:p>
            <w:pPr>
              <w:spacing w:after="0"/>
              <w:rPr>
                <w:sz w:val="22"/>
                <w:szCs w:val="22"/>
                <w:color w:val="auto"/>
              </w:rPr>
            </w:pPr>
          </w:p>
        </w:tc>
        <w:tc>
          <w:tcPr>
            <w:tcW w:w="500" w:type="dxa"/>
            <w:vAlign w:val="bottom"/>
            <w:tcBorders>
              <w:bottom w:val="single" w:sz="8" w:color="EEEEEE"/>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38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578.0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83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Diluted common shares outstanding</w:t>
            </w:r>
          </w:p>
        </w:tc>
        <w:tc>
          <w:tcPr>
            <w:tcW w:w="100" w:type="dxa"/>
            <w:vAlign w:val="bottom"/>
            <w:tcBorders>
              <w:bottom w:val="single" w:sz="8" w:color="EEEEEE"/>
            </w:tcBorders>
            <w:shd w:val="clear" w:color="auto" w:fill="EEEEEE"/>
          </w:tcPr>
          <w:p>
            <w:pPr>
              <w:spacing w:after="0"/>
              <w:rPr>
                <w:sz w:val="22"/>
                <w:szCs w:val="22"/>
                <w:color w:val="auto"/>
              </w:rPr>
            </w:pPr>
          </w:p>
        </w:tc>
        <w:tc>
          <w:tcPr>
            <w:tcW w:w="11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582.8</w:t>
            </w:r>
          </w:p>
        </w:tc>
        <w:tc>
          <w:tcPr>
            <w:tcW w:w="100" w:type="dxa"/>
            <w:vAlign w:val="bottom"/>
            <w:tcBorders>
              <w:bottom w:val="single" w:sz="8" w:color="EEEEEE"/>
            </w:tcBorders>
            <w:shd w:val="clear" w:color="auto" w:fill="EEEEEE"/>
          </w:tcPr>
          <w:p>
            <w:pPr>
              <w:spacing w:after="0"/>
              <w:rPr>
                <w:sz w:val="22"/>
                <w:szCs w:val="22"/>
                <w:color w:val="auto"/>
              </w:rPr>
            </w:pPr>
          </w:p>
        </w:tc>
        <w:tc>
          <w:tcPr>
            <w:tcW w:w="360" w:type="dxa"/>
            <w:vAlign w:val="bottom"/>
            <w:tcBorders>
              <w:bottom w:val="single" w:sz="8" w:color="EEEEEE"/>
            </w:tcBorders>
            <w:shd w:val="clear" w:color="auto" w:fill="EEEEEE"/>
          </w:tcPr>
          <w:p>
            <w:pPr>
              <w:spacing w:after="0"/>
              <w:rPr>
                <w:sz w:val="22"/>
                <w:szCs w:val="22"/>
                <w:color w:val="auto"/>
              </w:rPr>
            </w:pPr>
          </w:p>
        </w:tc>
        <w:tc>
          <w:tcPr>
            <w:tcW w:w="140" w:type="dxa"/>
            <w:vAlign w:val="bottom"/>
            <w:tcBorders>
              <w:bottom w:val="single" w:sz="8" w:color="EEEEEE"/>
              <w:right w:val="single" w:sz="8" w:color="EEEEEE"/>
            </w:tcBorders>
            <w:shd w:val="clear" w:color="auto" w:fill="EEEEEE"/>
          </w:tcPr>
          <w:p>
            <w:pPr>
              <w:spacing w:after="0"/>
              <w:rPr>
                <w:sz w:val="22"/>
                <w:szCs w:val="22"/>
                <w:color w:val="auto"/>
              </w:rPr>
            </w:pPr>
          </w:p>
        </w:tc>
        <w:tc>
          <w:tcPr>
            <w:tcW w:w="11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594.6</w:t>
            </w:r>
          </w:p>
        </w:tc>
        <w:tc>
          <w:tcPr>
            <w:tcW w:w="12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380" w:type="dxa"/>
            <w:vAlign w:val="bottom"/>
            <w:gridSpan w:val="2"/>
          </w:tcPr>
          <w:p>
            <w:pPr>
              <w:spacing w:after="0"/>
              <w:rPr>
                <w:sz w:val="20"/>
                <w:szCs w:val="20"/>
                <w:color w:val="auto"/>
              </w:rPr>
            </w:pPr>
            <w:r>
              <w:rPr>
                <w:rFonts w:ascii="Arial" w:cs="Arial" w:eastAsia="Arial" w:hAnsi="Arial"/>
                <w:sz w:val="18"/>
                <w:szCs w:val="18"/>
                <w:color w:val="auto"/>
              </w:rPr>
              <w:t>Cash dividends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Note: Prior year information has been reclassified to conform to 2004 presentation.</w:t>
      </w:r>
    </w:p>
    <w:p>
      <w:pPr>
        <w:spacing w:after="0" w:line="18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36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1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31"/>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36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1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EPS Calculation:</w:t>
            </w:r>
          </w:p>
        </w:tc>
        <w:tc>
          <w:tcPr>
            <w:tcW w:w="12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EEEEEE"/>
          </w:tcPr>
          <w:p>
            <w:pPr>
              <w:spacing w:after="0"/>
              <w:rPr>
                <w:sz w:val="20"/>
                <w:szCs w:val="20"/>
                <w:color w:val="auto"/>
              </w:rPr>
            </w:pPr>
            <w:r>
              <w:rPr>
                <w:rFonts w:ascii="Arial" w:cs="Arial" w:eastAsia="Arial" w:hAnsi="Arial"/>
                <w:sz w:val="18"/>
                <w:szCs w:val="18"/>
                <w:color w:val="auto"/>
              </w:rPr>
              <w:t>Cumulative effect of changes in accounting principles</w:t>
            </w:r>
          </w:p>
        </w:tc>
        <w:tc>
          <w:tcPr>
            <w:tcW w:w="12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2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8380" w:type="dxa"/>
            <w:vAlign w:val="bottom"/>
            <w:gridSpan w:val="2"/>
          </w:tcPr>
          <w:p>
            <w:pPr>
              <w:spacing w:after="0" w:line="20" w:lineRule="exact"/>
              <w:rPr>
                <w:sz w:val="1"/>
                <w:szCs w:val="1"/>
                <w:color w:val="auto"/>
              </w:rPr>
            </w:pPr>
          </w:p>
        </w:tc>
        <w:tc>
          <w:tcPr>
            <w:tcW w:w="120" w:type="dxa"/>
            <w:vAlign w:val="bottom"/>
            <w:tcBorders>
              <w:right w:val="single" w:sz="8" w:color="808080"/>
            </w:tcBorders>
          </w:tcPr>
          <w:p>
            <w:pPr>
              <w:spacing w:after="0" w:line="20" w:lineRule="exact"/>
              <w:rPr>
                <w:sz w:val="1"/>
                <w:szCs w:val="1"/>
                <w:color w:val="auto"/>
              </w:rPr>
            </w:pPr>
          </w:p>
        </w:tc>
        <w:tc>
          <w:tcPr>
            <w:tcW w:w="680" w:type="dxa"/>
            <w:vAlign w:val="bottom"/>
            <w:shd w:val="clear" w:color="auto" w:fill="808080"/>
          </w:tcPr>
          <w:p>
            <w:pPr>
              <w:spacing w:after="0" w:line="20" w:lineRule="exact"/>
              <w:rPr>
                <w:sz w:val="1"/>
                <w:szCs w:val="1"/>
                <w:color w:val="auto"/>
              </w:rPr>
            </w:pPr>
          </w:p>
        </w:tc>
        <w:tc>
          <w:tcPr>
            <w:tcW w:w="420" w:type="dxa"/>
            <w:vAlign w:val="bottom"/>
            <w:shd w:val="clear" w:color="auto" w:fill="80808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right w:val="single" w:sz="8" w:color="808080"/>
            </w:tcBorders>
            <w:gridSpan w:val="2"/>
          </w:tcPr>
          <w:p>
            <w:pPr>
              <w:spacing w:after="0" w:line="20" w:lineRule="exact"/>
              <w:rPr>
                <w:sz w:val="1"/>
                <w:szCs w:val="1"/>
                <w:color w:val="auto"/>
              </w:rPr>
            </w:pPr>
          </w:p>
        </w:tc>
        <w:tc>
          <w:tcPr>
            <w:tcW w:w="1100" w:type="dxa"/>
            <w:vAlign w:val="bottom"/>
            <w:shd w:val="clear" w:color="auto" w:fill="80808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8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36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EEEEEE"/>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2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572.8</w:t>
            </w: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584.9</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20"/>
              <w:spacing w:after="0"/>
              <w:rPr>
                <w:sz w:val="20"/>
                <w:szCs w:val="20"/>
                <w:color w:val="auto"/>
              </w:rPr>
            </w:pPr>
            <w:r>
              <w:rPr>
                <w:rFonts w:ascii="Arial" w:cs="Arial" w:eastAsia="Arial" w:hAnsi="Arial"/>
                <w:sz w:val="18"/>
                <w:szCs w:val="18"/>
                <w:color w:val="auto"/>
              </w:rPr>
              <w:t>Effect of using weighted average common shares outstanding</w:t>
            </w:r>
          </w:p>
        </w:tc>
        <w:tc>
          <w:tcPr>
            <w:tcW w:w="120" w:type="dxa"/>
            <w:vAlign w:val="bottom"/>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basic common shares outstanding</w:t>
            </w:r>
          </w:p>
        </w:tc>
        <w:tc>
          <w:tcPr>
            <w:tcW w:w="12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578.0</w:t>
            </w: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591.7</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20"/>
              <w:spacing w:after="0"/>
              <w:rPr>
                <w:sz w:val="20"/>
                <w:szCs w:val="20"/>
                <w:color w:val="auto"/>
              </w:rPr>
            </w:pPr>
            <w:r>
              <w:rPr>
                <w:rFonts w:ascii="Arial" w:cs="Arial" w:eastAsia="Arial" w:hAnsi="Arial"/>
                <w:sz w:val="18"/>
                <w:szCs w:val="18"/>
                <w:color w:val="auto"/>
              </w:rPr>
              <w:t>Dilutive effect of common stock options, warrants, restricted stock and contingently issuable shares</w:t>
            </w:r>
          </w:p>
        </w:tc>
        <w:tc>
          <w:tcPr>
            <w:tcW w:w="120" w:type="dxa"/>
            <w:vAlign w:val="bottom"/>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83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Weighted average diluted common shares outstanding</w:t>
            </w:r>
          </w:p>
        </w:tc>
        <w:tc>
          <w:tcPr>
            <w:tcW w:w="120" w:type="dxa"/>
            <w:vAlign w:val="bottom"/>
            <w:tcBorders>
              <w:bottom w:val="single" w:sz="8" w:color="EEEEEE"/>
              <w:right w:val="single" w:sz="8" w:color="EEEEEE"/>
            </w:tcBorders>
            <w:shd w:val="clear" w:color="auto" w:fill="EEEEEE"/>
          </w:tcPr>
          <w:p>
            <w:pPr>
              <w:spacing w:after="0"/>
              <w:rPr>
                <w:sz w:val="22"/>
                <w:szCs w:val="22"/>
                <w:color w:val="auto"/>
              </w:rPr>
            </w:pPr>
          </w:p>
        </w:tc>
        <w:tc>
          <w:tcPr>
            <w:tcW w:w="680" w:type="dxa"/>
            <w:vAlign w:val="bottom"/>
            <w:tcBorders>
              <w:bottom w:val="single" w:sz="8" w:color="808080"/>
            </w:tcBorders>
            <w:shd w:val="clear" w:color="auto" w:fill="EEEEEE"/>
          </w:tcPr>
          <w:p>
            <w:pPr>
              <w:spacing w:after="0"/>
              <w:rPr>
                <w:sz w:val="22"/>
                <w:szCs w:val="22"/>
                <w:color w:val="auto"/>
              </w:rPr>
            </w:pPr>
          </w:p>
        </w:tc>
        <w:tc>
          <w:tcPr>
            <w:tcW w:w="4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8"/>
              </w:rPr>
              <w:t>582.8</w:t>
            </w:r>
          </w:p>
        </w:tc>
        <w:tc>
          <w:tcPr>
            <w:tcW w:w="100" w:type="dxa"/>
            <w:vAlign w:val="bottom"/>
            <w:tcBorders>
              <w:bottom w:val="single" w:sz="8" w:color="EEEEEE"/>
            </w:tcBorders>
            <w:shd w:val="clear" w:color="auto" w:fill="EEEEEE"/>
          </w:tcPr>
          <w:p>
            <w:pPr>
              <w:spacing w:after="0"/>
              <w:rPr>
                <w:sz w:val="22"/>
                <w:szCs w:val="22"/>
                <w:color w:val="auto"/>
              </w:rPr>
            </w:pPr>
          </w:p>
        </w:tc>
        <w:tc>
          <w:tcPr>
            <w:tcW w:w="360" w:type="dxa"/>
            <w:vAlign w:val="bottom"/>
            <w:tcBorders>
              <w:bottom w:val="single" w:sz="8" w:color="EEEEEE"/>
            </w:tcBorders>
            <w:shd w:val="clear" w:color="auto" w:fill="EEEEEE"/>
          </w:tcPr>
          <w:p>
            <w:pPr>
              <w:spacing w:after="0"/>
              <w:rPr>
                <w:sz w:val="22"/>
                <w:szCs w:val="22"/>
                <w:color w:val="auto"/>
              </w:rPr>
            </w:pPr>
          </w:p>
        </w:tc>
        <w:tc>
          <w:tcPr>
            <w:tcW w:w="140" w:type="dxa"/>
            <w:vAlign w:val="bottom"/>
            <w:tcBorders>
              <w:bottom w:val="single" w:sz="8" w:color="EEEEEE"/>
              <w:right w:val="single" w:sz="8" w:color="EEEEEE"/>
            </w:tcBorders>
            <w:shd w:val="clear" w:color="auto" w:fill="EEEEEE"/>
          </w:tcPr>
          <w:p>
            <w:pPr>
              <w:spacing w:after="0"/>
              <w:rPr>
                <w:sz w:val="22"/>
                <w:szCs w:val="22"/>
                <w:color w:val="auto"/>
              </w:rPr>
            </w:pPr>
          </w:p>
        </w:tc>
        <w:tc>
          <w:tcPr>
            <w:tcW w:w="11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594.6</w:t>
            </w:r>
          </w:p>
        </w:tc>
        <w:tc>
          <w:tcPr>
            <w:tcW w:w="12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838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1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0.84</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260"/>
              <w:spacing w:after="0"/>
              <w:rPr>
                <w:sz w:val="20"/>
                <w:szCs w:val="20"/>
                <w:color w:val="auto"/>
              </w:rPr>
            </w:pPr>
            <w:r>
              <w:rPr>
                <w:rFonts w:ascii="Arial" w:cs="Arial" w:eastAsia="Arial" w:hAnsi="Arial"/>
                <w:sz w:val="18"/>
                <w:szCs w:val="18"/>
                <w:color w:val="auto"/>
              </w:rPr>
              <w:t>Cumulative effect of changes in accounting principles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808080"/>
            </w:tcBorders>
          </w:tcPr>
          <w:p>
            <w:pPr>
              <w:spacing w:after="0" w:line="20" w:lineRule="exact"/>
              <w:rPr>
                <w:sz w:val="1"/>
                <w:szCs w:val="1"/>
                <w:color w:val="auto"/>
              </w:rPr>
            </w:pPr>
          </w:p>
        </w:tc>
        <w:tc>
          <w:tcPr>
            <w:tcW w:w="420" w:type="dxa"/>
            <w:vAlign w:val="bottom"/>
            <w:tcBorders>
              <w:top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83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Net income</w:t>
            </w:r>
          </w:p>
        </w:tc>
        <w:tc>
          <w:tcPr>
            <w:tcW w:w="1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0.76</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360" w:type="dxa"/>
            <w:vAlign w:val="bottom"/>
            <w:shd w:val="clear" w:color="auto" w:fill="EEEEEE"/>
          </w:tcPr>
          <w:p>
            <w:pPr>
              <w:spacing w:after="0"/>
              <w:rPr>
                <w:sz w:val="3"/>
                <w:szCs w:val="3"/>
                <w:color w:val="auto"/>
              </w:rPr>
            </w:pPr>
          </w:p>
        </w:tc>
        <w:tc>
          <w:tcPr>
            <w:tcW w:w="120" w:type="dxa"/>
            <w:vAlign w:val="bottom"/>
            <w:tcBorders>
              <w:right w:val="single" w:sz="8" w:color="808080"/>
            </w:tcBorders>
            <w:shd w:val="clear" w:color="auto" w:fill="EEEEEE"/>
          </w:tcPr>
          <w:p>
            <w:pPr>
              <w:spacing w:after="0"/>
              <w:rPr>
                <w:sz w:val="3"/>
                <w:szCs w:val="3"/>
                <w:color w:val="auto"/>
              </w:rPr>
            </w:pPr>
          </w:p>
        </w:tc>
        <w:tc>
          <w:tcPr>
            <w:tcW w:w="680" w:type="dxa"/>
            <w:vAlign w:val="bottom"/>
            <w:tcBorders>
              <w:bottom w:val="single" w:sz="8" w:color="808080"/>
            </w:tcBorders>
            <w:shd w:val="clear" w:color="auto" w:fill="808080"/>
          </w:tcPr>
          <w:p>
            <w:pPr>
              <w:spacing w:after="0"/>
              <w:rPr>
                <w:sz w:val="3"/>
                <w:szCs w:val="3"/>
                <w:color w:val="auto"/>
              </w:rPr>
            </w:pPr>
          </w:p>
        </w:tc>
        <w:tc>
          <w:tcPr>
            <w:tcW w:w="420" w:type="dxa"/>
            <w:vAlign w:val="bottom"/>
            <w:tcBorders>
              <w:bottom w:val="single" w:sz="8" w:color="808080"/>
            </w:tcBorders>
            <w:shd w:val="clear" w:color="auto" w:fill="808080"/>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140" w:type="dxa"/>
            <w:vAlign w:val="bottom"/>
            <w:tcBorders>
              <w:right w:val="single" w:sz="8" w:color="808080"/>
            </w:tcBorders>
            <w:shd w:val="clear" w:color="auto" w:fill="EEEEEE"/>
          </w:tcPr>
          <w:p>
            <w:pPr>
              <w:spacing w:after="0"/>
              <w:rPr>
                <w:sz w:val="3"/>
                <w:szCs w:val="3"/>
                <w:color w:val="auto"/>
              </w:rPr>
            </w:pPr>
          </w:p>
        </w:tc>
        <w:tc>
          <w:tcPr>
            <w:tcW w:w="1100" w:type="dxa"/>
            <w:vAlign w:val="bottom"/>
            <w:tcBorders>
              <w:bottom w:val="single" w:sz="8" w:color="808080"/>
            </w:tcBorders>
            <w:shd w:val="clear" w:color="auto" w:fill="808080"/>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838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1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0.83</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260"/>
              <w:spacing w:after="0"/>
              <w:rPr>
                <w:sz w:val="20"/>
                <w:szCs w:val="20"/>
                <w:color w:val="auto"/>
              </w:rPr>
            </w:pPr>
            <w:r>
              <w:rPr>
                <w:rFonts w:ascii="Arial" w:cs="Arial" w:eastAsia="Arial" w:hAnsi="Arial"/>
                <w:sz w:val="18"/>
                <w:szCs w:val="18"/>
                <w:color w:val="auto"/>
              </w:rPr>
              <w:t>Cumulative effect of changes in accounting principles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808080"/>
            </w:tcBorders>
          </w:tcPr>
          <w:p>
            <w:pPr>
              <w:spacing w:after="0" w:line="20" w:lineRule="exact"/>
              <w:rPr>
                <w:sz w:val="1"/>
                <w:szCs w:val="1"/>
                <w:color w:val="auto"/>
              </w:rPr>
            </w:pPr>
          </w:p>
        </w:tc>
        <w:tc>
          <w:tcPr>
            <w:tcW w:w="420" w:type="dxa"/>
            <w:vAlign w:val="bottom"/>
            <w:tcBorders>
              <w:top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83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Net income</w:t>
            </w:r>
          </w:p>
        </w:tc>
        <w:tc>
          <w:tcPr>
            <w:tcW w:w="1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EEEEEE"/>
          </w:tcPr>
          <w:p>
            <w:pPr>
              <w:spacing w:after="0"/>
              <w:rPr>
                <w:sz w:val="22"/>
                <w:szCs w:val="22"/>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EEEEEE"/>
          </w:tcPr>
          <w:p>
            <w:pPr>
              <w:spacing w:after="0"/>
              <w:rPr>
                <w:sz w:val="22"/>
                <w:szCs w:val="22"/>
                <w:color w:val="auto"/>
              </w:rPr>
            </w:pPr>
          </w:p>
        </w:tc>
        <w:tc>
          <w:tcPr>
            <w:tcW w:w="5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0.75</w:t>
            </w:r>
          </w:p>
        </w:tc>
        <w:tc>
          <w:tcPr>
            <w:tcW w:w="12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8360" w:type="dxa"/>
            <w:vAlign w:val="bottom"/>
            <w:tcBorders>
              <w:top w:val="single" w:sz="8" w:color="EEEEEE"/>
            </w:tcBorders>
          </w:tcPr>
          <w:p>
            <w:pPr>
              <w:ind w:left="5580"/>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EEEEEE"/>
            </w:tcBorders>
          </w:tcPr>
          <w:p>
            <w:pPr>
              <w:spacing w:after="0"/>
              <w:rPr>
                <w:sz w:val="24"/>
                <w:szCs w:val="24"/>
                <w:color w:val="auto"/>
              </w:rPr>
            </w:pPr>
          </w:p>
        </w:tc>
        <w:tc>
          <w:tcPr>
            <w:tcW w:w="680" w:type="dxa"/>
            <w:vAlign w:val="bottom"/>
            <w:tcBorders>
              <w:top w:val="single" w:sz="8" w:color="808080"/>
            </w:tcBorders>
          </w:tcPr>
          <w:p>
            <w:pPr>
              <w:spacing w:after="0"/>
              <w:rPr>
                <w:sz w:val="24"/>
                <w:szCs w:val="24"/>
                <w:color w:val="auto"/>
              </w:rPr>
            </w:pPr>
          </w:p>
        </w:tc>
        <w:tc>
          <w:tcPr>
            <w:tcW w:w="420" w:type="dxa"/>
            <w:vAlign w:val="bottom"/>
            <w:tcBorders>
              <w:top w:val="single" w:sz="8" w:color="808080"/>
            </w:tcBorders>
          </w:tcPr>
          <w:p>
            <w:pPr>
              <w:spacing w:after="0"/>
              <w:rPr>
                <w:sz w:val="24"/>
                <w:szCs w:val="24"/>
                <w:color w:val="auto"/>
              </w:rPr>
            </w:pPr>
          </w:p>
        </w:tc>
        <w:tc>
          <w:tcPr>
            <w:tcW w:w="100" w:type="dxa"/>
            <w:vAlign w:val="bottom"/>
            <w:tcBorders>
              <w:top w:val="single" w:sz="8" w:color="EEEEEE"/>
            </w:tcBorders>
          </w:tcPr>
          <w:p>
            <w:pPr>
              <w:spacing w:after="0"/>
              <w:rPr>
                <w:sz w:val="24"/>
                <w:szCs w:val="24"/>
                <w:color w:val="auto"/>
              </w:rPr>
            </w:pPr>
          </w:p>
        </w:tc>
        <w:tc>
          <w:tcPr>
            <w:tcW w:w="360" w:type="dxa"/>
            <w:vAlign w:val="bottom"/>
            <w:tcBorders>
              <w:top w:val="single" w:sz="8" w:color="EEEEEE"/>
            </w:tcBorders>
          </w:tcPr>
          <w:p>
            <w:pPr>
              <w:spacing w:after="0"/>
              <w:rPr>
                <w:sz w:val="24"/>
                <w:szCs w:val="24"/>
                <w:color w:val="auto"/>
              </w:rPr>
            </w:pPr>
          </w:p>
        </w:tc>
        <w:tc>
          <w:tcPr>
            <w:tcW w:w="140" w:type="dxa"/>
            <w:vAlign w:val="bottom"/>
            <w:tcBorders>
              <w:top w:val="single" w:sz="8" w:color="EEEEEE"/>
            </w:tcBorders>
          </w:tcPr>
          <w:p>
            <w:pPr>
              <w:spacing w:after="0"/>
              <w:rPr>
                <w:sz w:val="24"/>
                <w:szCs w:val="24"/>
                <w:color w:val="auto"/>
              </w:rPr>
            </w:pPr>
          </w:p>
        </w:tc>
        <w:tc>
          <w:tcPr>
            <w:tcW w:w="1100" w:type="dxa"/>
            <w:vAlign w:val="bottom"/>
            <w:tcBorders>
              <w:top w:val="single" w:sz="8" w:color="808080"/>
            </w:tcBorders>
          </w:tcPr>
          <w:p>
            <w:pPr>
              <w:spacing w:after="0"/>
              <w:rPr>
                <w:sz w:val="24"/>
                <w:szCs w:val="24"/>
                <w:color w:val="auto"/>
              </w:rPr>
            </w:pPr>
          </w:p>
        </w:tc>
        <w:tc>
          <w:tcPr>
            <w:tcW w:w="120" w:type="dxa"/>
            <w:vAlign w:val="bottom"/>
            <w:tcBorders>
              <w:top w:val="single" w:sz="8" w:color="EEEEEE"/>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32"/>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6"/>
                <w:szCs w:val="16"/>
                <w:color w:val="auto"/>
              </w:rPr>
            </w:pPr>
          </w:p>
        </w:tc>
      </w:tr>
      <w:tr>
        <w:trPr>
          <w:trHeight w:val="53"/>
        </w:trPr>
        <w:tc>
          <w:tcPr>
            <w:tcW w:w="838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1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1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r>
      <w:tr>
        <w:trPr>
          <w:trHeight w:val="223"/>
        </w:trPr>
        <w:tc>
          <w:tcPr>
            <w:tcW w:w="8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(Unaudited)</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right w:val="single" w:sz="8" w:color="EEEEEE"/>
            </w:tcBorders>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3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EEEEEE"/>
          </w:tcPr>
          <w:p>
            <w:pPr>
              <w:spacing w:after="0"/>
              <w:rPr>
                <w:sz w:val="18"/>
                <w:szCs w:val="18"/>
                <w:color w:val="auto"/>
              </w:rPr>
            </w:pPr>
          </w:p>
        </w:tc>
      </w:tr>
      <w:tr>
        <w:trPr>
          <w:trHeight w:val="216"/>
        </w:trPr>
        <w:tc>
          <w:tcPr>
            <w:tcW w:w="838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1,811</w:t>
            </w:r>
          </w:p>
        </w:tc>
        <w:tc>
          <w:tcPr>
            <w:tcW w:w="120" w:type="dxa"/>
            <w:vAlign w:val="bottom"/>
          </w:tcPr>
          <w:p>
            <w:pPr>
              <w:spacing w:after="0"/>
              <w:rPr>
                <w:sz w:val="18"/>
                <w:szCs w:val="18"/>
                <w:color w:val="auto"/>
              </w:rPr>
            </w:pPr>
          </w:p>
        </w:tc>
      </w:tr>
      <w:tr>
        <w:trPr>
          <w:trHeight w:val="216"/>
        </w:trPr>
        <w:tc>
          <w:tcPr>
            <w:tcW w:w="83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tcBorders>
              <w:right w:val="single" w:sz="8" w:color="EEEEEE"/>
            </w:tcBorders>
            <w:shd w:val="clear" w:color="auto" w:fill="EEEEEE"/>
          </w:tcPr>
          <w:p>
            <w:pPr>
              <w:spacing w:after="0"/>
              <w:rPr>
                <w:sz w:val="18"/>
                <w:szCs w:val="18"/>
                <w:color w:val="auto"/>
              </w:rPr>
            </w:pPr>
          </w:p>
        </w:tc>
        <w:tc>
          <w:tcPr>
            <w:tcW w:w="11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1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642</w:t>
            </w:r>
          </w:p>
        </w:tc>
        <w:tc>
          <w:tcPr>
            <w:tcW w:w="120" w:type="dxa"/>
            <w:vAlign w:val="bottom"/>
            <w:shd w:val="clear" w:color="auto" w:fill="EEEEEE"/>
          </w:tcPr>
          <w:p>
            <w:pPr>
              <w:spacing w:after="0"/>
              <w:rPr>
                <w:sz w:val="18"/>
                <w:szCs w:val="18"/>
                <w:color w:val="auto"/>
              </w:rPr>
            </w:pPr>
          </w:p>
        </w:tc>
      </w:tr>
      <w:tr>
        <w:trPr>
          <w:trHeight w:val="237"/>
        </w:trPr>
        <w:tc>
          <w:tcPr>
            <w:tcW w:w="838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3,305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2,670</w:t>
            </w:r>
          </w:p>
        </w:tc>
        <w:tc>
          <w:tcPr>
            <w:tcW w:w="120" w:type="dxa"/>
            <w:vAlign w:val="bottom"/>
          </w:tcPr>
          <w:p>
            <w:pPr>
              <w:spacing w:after="0"/>
              <w:rPr>
                <w:sz w:val="20"/>
                <w:szCs w:val="20"/>
                <w:color w:val="auto"/>
              </w:rPr>
            </w:pPr>
          </w:p>
        </w:tc>
      </w:tr>
      <w:tr>
        <w:trPr>
          <w:trHeight w:val="216"/>
        </w:trPr>
        <w:tc>
          <w:tcPr>
            <w:tcW w:w="8380" w:type="dxa"/>
            <w:vAlign w:val="bottom"/>
            <w:shd w:val="clear" w:color="auto" w:fill="EEEEEE"/>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right w:val="single" w:sz="8" w:color="EEEEEE"/>
            </w:tcBorders>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11,395</w:t>
            </w: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11,411</w:t>
            </w:r>
          </w:p>
        </w:tc>
        <w:tc>
          <w:tcPr>
            <w:tcW w:w="120" w:type="dxa"/>
            <w:vAlign w:val="bottom"/>
            <w:shd w:val="clear" w:color="auto" w:fill="EEEEEE"/>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5,266</w:t>
            </w:r>
          </w:p>
        </w:tc>
        <w:tc>
          <w:tcPr>
            <w:tcW w:w="120" w:type="dxa"/>
            <w:vAlign w:val="bottom"/>
          </w:tcPr>
          <w:p>
            <w:pPr>
              <w:spacing w:after="0"/>
              <w:rPr>
                <w:sz w:val="18"/>
                <w:szCs w:val="18"/>
                <w:color w:val="auto"/>
              </w:rPr>
            </w:pPr>
          </w:p>
        </w:tc>
      </w:tr>
      <w:tr>
        <w:trPr>
          <w:trHeight w:val="216"/>
        </w:trPr>
        <w:tc>
          <w:tcPr>
            <w:tcW w:w="8380" w:type="dxa"/>
            <w:vAlign w:val="bottom"/>
            <w:shd w:val="clear" w:color="auto" w:fill="EEEEEE"/>
          </w:tcPr>
          <w:p>
            <w:pPr>
              <w:spacing w:after="0"/>
              <w:rPr>
                <w:sz w:val="20"/>
                <w:szCs w:val="20"/>
                <w:color w:val="auto"/>
              </w:rPr>
            </w:pPr>
            <w:r>
              <w:rPr>
                <w:rFonts w:ascii="Arial" w:cs="Arial" w:eastAsia="Arial" w:hAnsi="Arial"/>
                <w:sz w:val="18"/>
                <w:szCs w:val="18"/>
                <w:color w:val="auto"/>
              </w:rPr>
              <w:t>Other intangible assets, net</w:t>
            </w:r>
          </w:p>
        </w:tc>
        <w:tc>
          <w:tcPr>
            <w:tcW w:w="120" w:type="dxa"/>
            <w:vAlign w:val="bottom"/>
            <w:tcBorders>
              <w:right w:val="single" w:sz="8" w:color="EEEEEE"/>
            </w:tcBorders>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EEEEEE"/>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1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1,235</w:t>
            </w:r>
          </w:p>
        </w:tc>
        <w:tc>
          <w:tcPr>
            <w:tcW w:w="120" w:type="dxa"/>
            <w:vAlign w:val="bottom"/>
          </w:tcPr>
          <w:p>
            <w:pPr>
              <w:spacing w:after="0"/>
              <w:rPr>
                <w:sz w:val="18"/>
                <w:szCs w:val="18"/>
                <w:color w:val="auto"/>
              </w:rPr>
            </w:pPr>
          </w:p>
        </w:tc>
      </w:tr>
      <w:tr>
        <w:trPr>
          <w:trHeight w:val="21"/>
        </w:trPr>
        <w:tc>
          <w:tcPr>
            <w:tcW w:w="8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3"/>
        </w:trPr>
        <w:tc>
          <w:tcPr>
            <w:tcW w:w="83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Total assets</w:t>
            </w:r>
          </w:p>
        </w:tc>
        <w:tc>
          <w:tcPr>
            <w:tcW w:w="1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21,428</w:t>
            </w:r>
          </w:p>
        </w:tc>
        <w:tc>
          <w:tcPr>
            <w:tcW w:w="100" w:type="dxa"/>
            <w:vAlign w:val="bottom"/>
            <w:shd w:val="clear" w:color="auto" w:fill="EEEEEE"/>
          </w:tcPr>
          <w:p>
            <w:pPr>
              <w:spacing w:after="0"/>
              <w:rPr>
                <w:sz w:val="22"/>
                <w:szCs w:val="22"/>
                <w:color w:val="auto"/>
              </w:rPr>
            </w:pPr>
          </w:p>
        </w:tc>
        <w:tc>
          <w:tcPr>
            <w:tcW w:w="5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20,738</w:t>
            </w:r>
          </w:p>
        </w:tc>
        <w:tc>
          <w:tcPr>
            <w:tcW w:w="120" w:type="dxa"/>
            <w:vAlign w:val="bottom"/>
            <w:shd w:val="clear" w:color="auto" w:fill="EEEEEE"/>
          </w:tcPr>
          <w:p>
            <w:pPr>
              <w:spacing w:after="0"/>
              <w:rPr>
                <w:sz w:val="22"/>
                <w:szCs w:val="22"/>
                <w:color w:val="auto"/>
              </w:rPr>
            </w:pPr>
          </w:p>
        </w:tc>
      </w:tr>
      <w:tr>
        <w:trPr>
          <w:trHeight w:val="240"/>
        </w:trPr>
        <w:tc>
          <w:tcPr>
            <w:tcW w:w="8380" w:type="dxa"/>
            <w:vAlign w:val="bottom"/>
            <w:tcBorders>
              <w:top w:val="single" w:sz="8" w:color="EEEEEE"/>
            </w:tcBorders>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EEEEEE"/>
            </w:tcBorders>
          </w:tcPr>
          <w:p>
            <w:pPr>
              <w:spacing w:after="0"/>
              <w:rPr>
                <w:sz w:val="20"/>
                <w:szCs w:val="20"/>
                <w:color w:val="auto"/>
              </w:rPr>
            </w:pPr>
          </w:p>
        </w:tc>
        <w:tc>
          <w:tcPr>
            <w:tcW w:w="1100" w:type="dxa"/>
            <w:vAlign w:val="bottom"/>
            <w:tcBorders>
              <w:top w:val="single" w:sz="8" w:color="808080"/>
            </w:tcBorders>
          </w:tcPr>
          <w:p>
            <w:pPr>
              <w:spacing w:after="0"/>
              <w:rPr>
                <w:sz w:val="20"/>
                <w:szCs w:val="20"/>
                <w:color w:val="auto"/>
              </w:rPr>
            </w:pPr>
          </w:p>
        </w:tc>
        <w:tc>
          <w:tcPr>
            <w:tcW w:w="100" w:type="dxa"/>
            <w:vAlign w:val="bottom"/>
            <w:tcBorders>
              <w:top w:val="single" w:sz="8" w:color="EEEEEE"/>
            </w:tcBorders>
          </w:tcPr>
          <w:p>
            <w:pPr>
              <w:spacing w:after="0"/>
              <w:rPr>
                <w:sz w:val="20"/>
                <w:szCs w:val="20"/>
                <w:color w:val="auto"/>
              </w:rPr>
            </w:pPr>
          </w:p>
        </w:tc>
        <w:tc>
          <w:tcPr>
            <w:tcW w:w="360" w:type="dxa"/>
            <w:vAlign w:val="bottom"/>
            <w:tcBorders>
              <w:top w:val="single" w:sz="8" w:color="EEEEEE"/>
            </w:tcBorders>
          </w:tcPr>
          <w:p>
            <w:pPr>
              <w:spacing w:after="0"/>
              <w:rPr>
                <w:sz w:val="20"/>
                <w:szCs w:val="20"/>
                <w:color w:val="auto"/>
              </w:rPr>
            </w:pPr>
          </w:p>
        </w:tc>
        <w:tc>
          <w:tcPr>
            <w:tcW w:w="140" w:type="dxa"/>
            <w:vAlign w:val="bottom"/>
            <w:tcBorders>
              <w:top w:val="single" w:sz="8" w:color="EEEEEE"/>
            </w:tcBorders>
          </w:tcPr>
          <w:p>
            <w:pPr>
              <w:spacing w:after="0"/>
              <w:rPr>
                <w:sz w:val="20"/>
                <w:szCs w:val="20"/>
                <w:color w:val="auto"/>
              </w:rPr>
            </w:pPr>
          </w:p>
        </w:tc>
        <w:tc>
          <w:tcPr>
            <w:tcW w:w="1100" w:type="dxa"/>
            <w:vAlign w:val="bottom"/>
            <w:tcBorders>
              <w:top w:val="single" w:sz="8" w:color="808080"/>
            </w:tcBorders>
          </w:tcPr>
          <w:p>
            <w:pPr>
              <w:spacing w:after="0"/>
              <w:rPr>
                <w:sz w:val="20"/>
                <w:szCs w:val="20"/>
                <w:color w:val="auto"/>
              </w:rPr>
            </w:pPr>
          </w:p>
        </w:tc>
        <w:tc>
          <w:tcPr>
            <w:tcW w:w="120" w:type="dxa"/>
            <w:vAlign w:val="bottom"/>
            <w:tcBorders>
              <w:top w:val="single" w:sz="8" w:color="EEEEEE"/>
            </w:tcBorders>
          </w:tcPr>
          <w:p>
            <w:pPr>
              <w:spacing w:after="0"/>
              <w:rPr>
                <w:sz w:val="20"/>
                <w:szCs w:val="20"/>
                <w:color w:val="auto"/>
              </w:rPr>
            </w:pPr>
          </w:p>
        </w:tc>
      </w:tr>
      <w:tr>
        <w:trPr>
          <w:trHeight w:val="216"/>
        </w:trPr>
        <w:tc>
          <w:tcPr>
            <w:tcW w:w="838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Borders>
              <w:right w:val="single" w:sz="8" w:color="EEEEEE"/>
            </w:tcBorders>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r>
      <w:tr>
        <w:trPr>
          <w:trHeight w:val="216"/>
        </w:trPr>
        <w:tc>
          <w:tcPr>
            <w:tcW w:w="8380" w:type="dxa"/>
            <w:vAlign w:val="bottom"/>
          </w:tcPr>
          <w:p>
            <w:pPr>
              <w:ind w:left="140"/>
              <w:spacing w:after="0"/>
              <w:rPr>
                <w:sz w:val="20"/>
                <w:szCs w:val="20"/>
                <w:color w:val="auto"/>
              </w:rPr>
            </w:pPr>
            <w:r>
              <w:rPr>
                <w:rFonts w:ascii="Arial" w:cs="Arial" w:eastAsia="Arial" w:hAnsi="Arial"/>
                <w:sz w:val="18"/>
                <w:szCs w:val="18"/>
                <w:color w:val="auto"/>
              </w:rPr>
              <w:t>Accounts payable, accrued liabilities and deferred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2,966</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2,861</w:t>
            </w:r>
          </w:p>
        </w:tc>
        <w:tc>
          <w:tcPr>
            <w:tcW w:w="120" w:type="dxa"/>
            <w:vAlign w:val="bottom"/>
          </w:tcPr>
          <w:p>
            <w:pPr>
              <w:spacing w:after="0"/>
              <w:rPr>
                <w:sz w:val="18"/>
                <w:szCs w:val="18"/>
                <w:color w:val="auto"/>
              </w:rPr>
            </w:pPr>
          </w:p>
        </w:tc>
      </w:tr>
      <w:tr>
        <w:trPr>
          <w:trHeight w:val="216"/>
        </w:trPr>
        <w:tc>
          <w:tcPr>
            <w:tcW w:w="83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Borders>
              <w:right w:val="single" w:sz="8" w:color="EEEEEE"/>
            </w:tcBorders>
            <w:shd w:val="clear" w:color="auto" w:fill="EEEEEE"/>
          </w:tcPr>
          <w:p>
            <w:pPr>
              <w:spacing w:after="0"/>
              <w:rPr>
                <w:sz w:val="18"/>
                <w:szCs w:val="18"/>
                <w:color w:val="auto"/>
              </w:rPr>
            </w:pPr>
          </w:p>
        </w:tc>
        <w:tc>
          <w:tcPr>
            <w:tcW w:w="11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1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EEEEEE"/>
          </w:tcPr>
          <w:p>
            <w:pPr>
              <w:spacing w:after="0"/>
              <w:rPr>
                <w:sz w:val="18"/>
                <w:szCs w:val="18"/>
                <w:color w:val="auto"/>
              </w:rPr>
            </w:pPr>
          </w:p>
        </w:tc>
      </w:tr>
      <w:tr>
        <w:trPr>
          <w:trHeight w:val="237"/>
        </w:trPr>
        <w:tc>
          <w:tcPr>
            <w:tcW w:w="838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3,601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3,375</w:t>
            </w:r>
          </w:p>
        </w:tc>
        <w:tc>
          <w:tcPr>
            <w:tcW w:w="120" w:type="dxa"/>
            <w:vAlign w:val="bottom"/>
          </w:tcPr>
          <w:p>
            <w:pPr>
              <w:spacing w:after="0"/>
              <w:rPr>
                <w:sz w:val="20"/>
                <w:szCs w:val="20"/>
                <w:color w:val="auto"/>
              </w:rPr>
            </w:pPr>
          </w:p>
        </w:tc>
      </w:tr>
      <w:tr>
        <w:trPr>
          <w:trHeight w:val="216"/>
        </w:trPr>
        <w:tc>
          <w:tcPr>
            <w:tcW w:w="8380" w:type="dxa"/>
            <w:vAlign w:val="bottom"/>
            <w:shd w:val="clear" w:color="auto" w:fill="EEEEEE"/>
          </w:tcPr>
          <w:p>
            <w:pPr>
              <w:spacing w:after="0"/>
              <w:rPr>
                <w:sz w:val="20"/>
                <w:szCs w:val="20"/>
                <w:color w:val="auto"/>
              </w:rPr>
            </w:pPr>
            <w:r>
              <w:rPr>
                <w:rFonts w:ascii="Arial" w:cs="Arial" w:eastAsia="Arial" w:hAnsi="Arial"/>
                <w:sz w:val="18"/>
                <w:szCs w:val="18"/>
                <w:color w:val="auto"/>
              </w:rPr>
              <w:t>Long-term debt, less current portion</w:t>
            </w:r>
          </w:p>
        </w:tc>
        <w:tc>
          <w:tcPr>
            <w:tcW w:w="120" w:type="dxa"/>
            <w:vAlign w:val="bottom"/>
            <w:tcBorders>
              <w:right w:val="single" w:sz="8" w:color="EEEEEE"/>
            </w:tcBorders>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8,152</w:t>
            </w: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7,997</w:t>
            </w:r>
          </w:p>
        </w:tc>
        <w:tc>
          <w:tcPr>
            <w:tcW w:w="120" w:type="dxa"/>
            <w:vAlign w:val="bottom"/>
            <w:shd w:val="clear" w:color="auto" w:fill="EEEEEE"/>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11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3,554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3,514</w:t>
            </w:r>
          </w:p>
        </w:tc>
        <w:tc>
          <w:tcPr>
            <w:tcW w:w="120" w:type="dxa"/>
            <w:vAlign w:val="bottom"/>
          </w:tcPr>
          <w:p>
            <w:pPr>
              <w:spacing w:after="0"/>
              <w:rPr>
                <w:sz w:val="18"/>
                <w:szCs w:val="18"/>
                <w:color w:val="auto"/>
              </w:rPr>
            </w:pPr>
          </w:p>
        </w:tc>
      </w:tr>
      <w:tr>
        <w:trPr>
          <w:trHeight w:val="21"/>
        </w:trPr>
        <w:tc>
          <w:tcPr>
            <w:tcW w:w="8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83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Total liabilities</w:t>
            </w:r>
          </w:p>
        </w:tc>
        <w:tc>
          <w:tcPr>
            <w:tcW w:w="120" w:type="dxa"/>
            <w:vAlign w:val="bottom"/>
            <w:tcBorders>
              <w:right w:val="single" w:sz="8" w:color="EEEEEE"/>
            </w:tcBorders>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15,307</w:t>
            </w: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14,886</w:t>
            </w:r>
          </w:p>
        </w:tc>
        <w:tc>
          <w:tcPr>
            <w:tcW w:w="120" w:type="dxa"/>
            <w:vAlign w:val="bottom"/>
            <w:shd w:val="clear" w:color="auto" w:fill="EEEEEE"/>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Minority interest in subsidiaries and variable interest entities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r>
      <w:tr>
        <w:trPr>
          <w:trHeight w:val="216"/>
        </w:trPr>
        <w:tc>
          <w:tcPr>
            <w:tcW w:w="838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Borders>
              <w:right w:val="single" w:sz="8" w:color="EEEEEE"/>
            </w:tcBorders>
            <w:shd w:val="clear" w:color="auto" w:fill="EEEEEE"/>
          </w:tcPr>
          <w:p>
            <w:pPr>
              <w:spacing w:after="0"/>
              <w:rPr>
                <w:sz w:val="18"/>
                <w:szCs w:val="18"/>
                <w:color w:val="auto"/>
              </w:rPr>
            </w:pPr>
          </w:p>
        </w:tc>
        <w:tc>
          <w:tcPr>
            <w:tcW w:w="11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5,846</w:t>
            </w: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1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5,602</w:t>
            </w:r>
          </w:p>
        </w:tc>
        <w:tc>
          <w:tcPr>
            <w:tcW w:w="120" w:type="dxa"/>
            <w:vAlign w:val="bottom"/>
            <w:shd w:val="clear" w:color="auto" w:fill="EEEEEE"/>
          </w:tcPr>
          <w:p>
            <w:pPr>
              <w:spacing w:after="0"/>
              <w:rPr>
                <w:sz w:val="18"/>
                <w:szCs w:val="18"/>
                <w:color w:val="auto"/>
              </w:rPr>
            </w:pPr>
          </w:p>
        </w:tc>
      </w:tr>
      <w:tr>
        <w:trPr>
          <w:trHeight w:val="233"/>
        </w:trPr>
        <w:tc>
          <w:tcPr>
            <w:tcW w:w="8380" w:type="dxa"/>
            <w:vAlign w:val="bottom"/>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21,428</w:t>
            </w:r>
          </w:p>
        </w:tc>
        <w:tc>
          <w:tcPr>
            <w:tcW w:w="10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20,738</w:t>
            </w:r>
          </w:p>
        </w:tc>
        <w:tc>
          <w:tcPr>
            <w:tcW w:w="120" w:type="dxa"/>
            <w:vAlign w:val="bottom"/>
          </w:tcPr>
          <w:p>
            <w:pPr>
              <w:spacing w:after="0"/>
              <w:rPr>
                <w:sz w:val="20"/>
                <w:szCs w:val="20"/>
                <w:color w:val="auto"/>
              </w:rPr>
            </w:pPr>
          </w:p>
        </w:tc>
      </w:tr>
      <w:tr>
        <w:trPr>
          <w:trHeight w:val="61"/>
        </w:trPr>
        <w:tc>
          <w:tcPr>
            <w:tcW w:w="83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Note: Prior year information has been reclassified to conform to 2004 presentation.</w:t>
      </w:r>
    </w:p>
    <w:p>
      <w:pPr>
        <w:spacing w:after="0" w:line="18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36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1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31"/>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36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1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260"/>
              <w:spacing w:after="0"/>
              <w:rPr>
                <w:sz w:val="20"/>
                <w:szCs w:val="20"/>
                <w:color w:val="auto"/>
              </w:rPr>
            </w:pPr>
            <w:r>
              <w:rPr>
                <w:rFonts w:ascii="Arial" w:cs="Arial" w:eastAsia="Arial" w:hAnsi="Arial"/>
                <w:sz w:val="18"/>
                <w:szCs w:val="18"/>
                <w:color w:val="auto"/>
              </w:rPr>
              <w:t>Cumulative effect of changes in accounting principles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1,018</w:t>
            </w: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952</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2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2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(251)</w:t>
            </w: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2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37"/>
        </w:trPr>
        <w:tc>
          <w:tcPr>
            <w:tcW w:w="83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Pr>
          <w:p>
            <w:pPr>
              <w:spacing w:after="0"/>
              <w:rPr>
                <w:sz w:val="20"/>
                <w:szCs w:val="20"/>
                <w:color w:val="auto"/>
              </w:rPr>
            </w:pPr>
          </w:p>
        </w:tc>
        <w:tc>
          <w:tcPr>
            <w:tcW w:w="680" w:type="dxa"/>
            <w:vAlign w:val="bottom"/>
            <w:tcBorders>
              <w:top w:val="single" w:sz="8" w:color="808080"/>
              <w:bottom w:val="single" w:sz="8" w:color="808080"/>
            </w:tcBorders>
          </w:tcPr>
          <w:p>
            <w:pPr>
              <w:spacing w:after="0"/>
              <w:rPr>
                <w:sz w:val="20"/>
                <w:szCs w:val="20"/>
                <w:color w:val="auto"/>
              </w:rPr>
            </w:pPr>
          </w:p>
        </w:tc>
        <w:tc>
          <w:tcPr>
            <w:tcW w:w="4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8"/>
              </w:rPr>
              <w:t>1,618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1,286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20"/>
              <w:spacing w:after="0"/>
              <w:rPr>
                <w:sz w:val="20"/>
                <w:szCs w:val="20"/>
                <w:color w:val="auto"/>
              </w:rPr>
            </w:pPr>
            <w:r>
              <w:rPr>
                <w:rFonts w:ascii="Arial" w:cs="Arial" w:eastAsia="Arial" w:hAnsi="Arial"/>
                <w:sz w:val="18"/>
                <w:szCs w:val="18"/>
                <w:color w:val="auto"/>
              </w:rPr>
              <w:t>Acquisitions of businesses, net of cash acquired</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Capital expenditures</w:t>
            </w:r>
          </w:p>
        </w:tc>
        <w:tc>
          <w:tcPr>
            <w:tcW w:w="12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(837)</w:t>
            </w: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2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20"/>
              <w:spacing w:after="0"/>
              <w:rPr>
                <w:sz w:val="20"/>
                <w:szCs w:val="20"/>
                <w:color w:val="auto"/>
              </w:rPr>
            </w:pPr>
            <w:r>
              <w:rPr>
                <w:rFonts w:ascii="Arial" w:cs="Arial" w:eastAsia="Arial" w:hAnsi="Arial"/>
                <w:sz w:val="18"/>
                <w:szCs w:val="18"/>
                <w:color w:val="auto"/>
              </w:rPr>
              <w:t>Net receipts from restricted funds, business divestitures, asset sales and other</w:t>
            </w:r>
          </w:p>
        </w:tc>
        <w:tc>
          <w:tcPr>
            <w:tcW w:w="120" w:type="dxa"/>
            <w:vAlign w:val="bottom"/>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EEEEEE"/>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(583)</w:t>
            </w: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2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37"/>
        </w:trPr>
        <w:tc>
          <w:tcPr>
            <w:tcW w:w="83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Pr>
          <w:p>
            <w:pPr>
              <w:spacing w:after="0"/>
              <w:rPr>
                <w:sz w:val="20"/>
                <w:szCs w:val="20"/>
                <w:color w:val="auto"/>
              </w:rPr>
            </w:pPr>
          </w:p>
        </w:tc>
        <w:tc>
          <w:tcPr>
            <w:tcW w:w="680" w:type="dxa"/>
            <w:vAlign w:val="bottom"/>
            <w:tcBorders>
              <w:top w:val="single" w:sz="8" w:color="808080"/>
            </w:tcBorders>
          </w:tcPr>
          <w:p>
            <w:pPr>
              <w:spacing w:after="0"/>
              <w:rPr>
                <w:sz w:val="20"/>
                <w:szCs w:val="20"/>
                <w:color w:val="auto"/>
              </w:rPr>
            </w:pPr>
          </w:p>
        </w:tc>
        <w:tc>
          <w:tcPr>
            <w:tcW w:w="4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808080"/>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New borrowings</w:t>
            </w:r>
          </w:p>
        </w:tc>
        <w:tc>
          <w:tcPr>
            <w:tcW w:w="12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20"/>
              <w:spacing w:after="0"/>
              <w:rPr>
                <w:sz w:val="20"/>
                <w:szCs w:val="20"/>
                <w:color w:val="auto"/>
              </w:rPr>
            </w:pPr>
            <w:r>
              <w:rPr>
                <w:rFonts w:ascii="Arial" w:cs="Arial" w:eastAsia="Arial" w:hAnsi="Arial"/>
                <w:sz w:val="18"/>
                <w:szCs w:val="18"/>
                <w:color w:val="auto"/>
              </w:rPr>
              <w:t>Debt repayments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(434)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Common stock repurchases</w:t>
            </w:r>
          </w:p>
        </w:tc>
        <w:tc>
          <w:tcPr>
            <w:tcW w:w="12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(353)</w:t>
            </w: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2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20"/>
              <w:spacing w:after="0"/>
              <w:rPr>
                <w:sz w:val="20"/>
                <w:szCs w:val="20"/>
                <w:color w:val="auto"/>
              </w:rPr>
            </w:pPr>
            <w:r>
              <w:rPr>
                <w:rFonts w:ascii="Arial" w:cs="Arial" w:eastAsia="Arial" w:hAnsi="Arial"/>
                <w:sz w:val="18"/>
                <w:szCs w:val="18"/>
                <w:color w:val="auto"/>
              </w:rPr>
              <w:t>Cash dividends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(326)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Exercise of common stock options and warrants</w:t>
            </w:r>
          </w:p>
        </w:tc>
        <w:tc>
          <w:tcPr>
            <w:tcW w:w="12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808080"/>
            </w:tcBorders>
          </w:tcPr>
          <w:p>
            <w:pPr>
              <w:spacing w:after="0" w:line="20" w:lineRule="exact"/>
              <w:rPr>
                <w:sz w:val="1"/>
                <w:szCs w:val="1"/>
                <w:color w:val="auto"/>
              </w:rPr>
            </w:pPr>
          </w:p>
        </w:tc>
        <w:tc>
          <w:tcPr>
            <w:tcW w:w="420" w:type="dxa"/>
            <w:vAlign w:val="bottom"/>
            <w:tcBorders>
              <w:top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EEEEEE"/>
          </w:tcPr>
          <w:p>
            <w:pPr>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(633)</w:t>
            </w: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2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37"/>
        </w:trPr>
        <w:tc>
          <w:tcPr>
            <w:tcW w:w="83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tcPr>
          <w:p>
            <w:pPr>
              <w:spacing w:after="0"/>
              <w:rPr>
                <w:sz w:val="20"/>
                <w:szCs w:val="20"/>
                <w:color w:val="auto"/>
              </w:rPr>
            </w:pPr>
          </w:p>
        </w:tc>
        <w:tc>
          <w:tcPr>
            <w:tcW w:w="680" w:type="dxa"/>
            <w:vAlign w:val="bottom"/>
            <w:tcBorders>
              <w:top w:val="single" w:sz="8" w:color="808080"/>
              <w:bottom w:val="single" w:sz="8" w:color="808080"/>
            </w:tcBorders>
          </w:tcPr>
          <w:p>
            <w:pPr>
              <w:spacing w:after="0"/>
              <w:rPr>
                <w:sz w:val="20"/>
                <w:szCs w:val="20"/>
                <w:color w:val="auto"/>
              </w:rPr>
            </w:pPr>
          </w:p>
        </w:tc>
        <w:tc>
          <w:tcPr>
            <w:tcW w:w="4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EEEEEE"/>
          </w:tcPr>
          <w:p>
            <w:pPr>
              <w:spacing w:after="0"/>
              <w:rPr>
                <w:sz w:val="20"/>
                <w:szCs w:val="20"/>
                <w:color w:val="auto"/>
              </w:rPr>
            </w:pPr>
            <w:r>
              <w:rPr>
                <w:rFonts w:ascii="Arial" w:cs="Arial" w:eastAsia="Arial" w:hAnsi="Arial"/>
                <w:sz w:val="18"/>
                <w:szCs w:val="18"/>
                <w:color w:val="auto"/>
              </w:rPr>
              <w:t>Increase in cash and cash equivalents</w:t>
            </w:r>
          </w:p>
        </w:tc>
        <w:tc>
          <w:tcPr>
            <w:tcW w:w="120" w:type="dxa"/>
            <w:vAlign w:val="bottom"/>
            <w:tcBorders>
              <w:right w:val="single" w:sz="8" w:color="EEEEEE"/>
            </w:tcBorders>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836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360" w:type="dxa"/>
            <w:vAlign w:val="bottom"/>
            <w:tcBorders>
              <w:top w:val="single" w:sz="8" w:color="EEEEEE"/>
            </w:tcBorders>
          </w:tcPr>
          <w:p>
            <w:pPr>
              <w:spacing w:after="0"/>
              <w:rPr>
                <w:sz w:val="3"/>
                <w:szCs w:val="3"/>
                <w:color w:val="auto"/>
              </w:rPr>
            </w:pPr>
          </w:p>
        </w:tc>
        <w:tc>
          <w:tcPr>
            <w:tcW w:w="120" w:type="dxa"/>
            <w:vAlign w:val="bottom"/>
            <w:tcBorders>
              <w:top w:val="single" w:sz="8" w:color="EEEEEE"/>
              <w:right w:val="single" w:sz="8" w:color="808080"/>
            </w:tcBorders>
          </w:tcPr>
          <w:p>
            <w:pPr>
              <w:spacing w:after="0"/>
              <w:rPr>
                <w:sz w:val="3"/>
                <w:szCs w:val="3"/>
                <w:color w:val="auto"/>
              </w:rPr>
            </w:pPr>
          </w:p>
        </w:tc>
        <w:tc>
          <w:tcPr>
            <w:tcW w:w="680" w:type="dxa"/>
            <w:vAlign w:val="bottom"/>
            <w:tcBorders>
              <w:top w:val="single" w:sz="8" w:color="808080"/>
            </w:tcBorders>
            <w:shd w:val="clear" w:color="auto" w:fill="808080"/>
          </w:tcPr>
          <w:p>
            <w:pPr>
              <w:spacing w:after="0"/>
              <w:rPr>
                <w:sz w:val="3"/>
                <w:szCs w:val="3"/>
                <w:color w:val="auto"/>
              </w:rPr>
            </w:pPr>
          </w:p>
        </w:tc>
        <w:tc>
          <w:tcPr>
            <w:tcW w:w="420" w:type="dxa"/>
            <w:vAlign w:val="bottom"/>
            <w:tcBorders>
              <w:top w:val="single" w:sz="8" w:color="808080"/>
            </w:tcBorders>
            <w:shd w:val="clear" w:color="auto" w:fill="808080"/>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360" w:type="dxa"/>
            <w:vAlign w:val="bottom"/>
            <w:tcBorders>
              <w:top w:val="single" w:sz="8" w:color="EEEEEE"/>
            </w:tcBorders>
          </w:tcPr>
          <w:p>
            <w:pPr>
              <w:spacing w:after="0"/>
              <w:rPr>
                <w:sz w:val="3"/>
                <w:szCs w:val="3"/>
                <w:color w:val="auto"/>
              </w:rPr>
            </w:pPr>
          </w:p>
        </w:tc>
        <w:tc>
          <w:tcPr>
            <w:tcW w:w="140" w:type="dxa"/>
            <w:vAlign w:val="bottom"/>
            <w:tcBorders>
              <w:top w:val="single" w:sz="8" w:color="EEEEEE"/>
              <w:right w:val="single" w:sz="8" w:color="808080"/>
            </w:tcBorders>
          </w:tcPr>
          <w:p>
            <w:pPr>
              <w:spacing w:after="0"/>
              <w:rPr>
                <w:sz w:val="3"/>
                <w:szCs w:val="3"/>
                <w:color w:val="auto"/>
              </w:rPr>
            </w:pPr>
          </w:p>
        </w:tc>
        <w:tc>
          <w:tcPr>
            <w:tcW w:w="1100" w:type="dxa"/>
            <w:vAlign w:val="bottom"/>
            <w:tcBorders>
              <w:top w:val="single" w:sz="8" w:color="808080"/>
            </w:tcBorders>
            <w:shd w:val="clear" w:color="auto" w:fill="808080"/>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Note: Prior year information has been reclassified to conform to 2004 presentation.</w:t>
      </w:r>
    </w:p>
    <w:p>
      <w:pPr>
        <w:spacing w:after="0" w:line="18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w w:val="98"/>
              </w:rPr>
              <w:t>Quarters Ended</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6"/>
          </w:tcPr>
          <w:p>
            <w:pPr>
              <w:ind w:left="2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ind w:left="10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172"/>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73"/>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Operating Revenues by Lines of Business (a)</w:t>
            </w:r>
          </w:p>
        </w:tc>
        <w:tc>
          <w:tcPr>
            <w:tcW w:w="120" w:type="dxa"/>
            <w:vAlign w:val="bottom"/>
            <w:tcBorders>
              <w:right w:val="single" w:sz="8" w:color="EEEEEE"/>
            </w:tcBorders>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Arial" w:cs="Arial" w:eastAsia="Arial" w:hAnsi="Arial"/>
                <w:sz w:val="18"/>
                <w:szCs w:val="18"/>
                <w:color w:val="auto"/>
              </w:rPr>
              <w:t>NASW:</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Collection</w:t>
            </w:r>
          </w:p>
        </w:tc>
        <w:tc>
          <w:tcPr>
            <w:tcW w:w="120" w:type="dxa"/>
            <w:vAlign w:val="bottom"/>
            <w:tcBorders>
              <w:right w:val="single" w:sz="8" w:color="EEEEEE"/>
            </w:tcBorders>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2,154</w:t>
            </w:r>
          </w:p>
        </w:tc>
        <w:tc>
          <w:tcPr>
            <w:tcW w:w="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gridSpan w:val="3"/>
            <w:shd w:val="clear" w:color="auto" w:fill="EEEEEE"/>
          </w:tcPr>
          <w:p>
            <w:pPr>
              <w:jc w:val="right"/>
              <w:ind w:right="48"/>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2,059</w:t>
            </w: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1,983</w:t>
            </w:r>
          </w:p>
        </w:tc>
        <w:tc>
          <w:tcPr>
            <w:tcW w:w="1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60"/>
              <w:spacing w:after="0"/>
              <w:rPr>
                <w:sz w:val="20"/>
                <w:szCs w:val="20"/>
                <w:color w:val="auto"/>
              </w:rPr>
            </w:pPr>
            <w:r>
              <w:rPr>
                <w:rFonts w:ascii="Arial" w:cs="Arial" w:eastAsia="Arial" w:hAnsi="Arial"/>
                <w:sz w:val="18"/>
                <w:szCs w:val="18"/>
                <w:color w:val="auto"/>
              </w:rPr>
              <w:t>Landfill</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Transfer</w:t>
            </w:r>
          </w:p>
        </w:tc>
        <w:tc>
          <w:tcPr>
            <w:tcW w:w="120" w:type="dxa"/>
            <w:vAlign w:val="bottom"/>
            <w:tcBorders>
              <w:right w:val="single" w:sz="8" w:color="EEEEEE"/>
            </w:tcBorders>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423</w:t>
            </w:r>
          </w:p>
        </w:tc>
        <w:tc>
          <w:tcPr>
            <w:tcW w:w="1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60"/>
              <w:spacing w:after="0"/>
              <w:rPr>
                <w:sz w:val="20"/>
                <w:szCs w:val="20"/>
                <w:color w:val="auto"/>
              </w:rPr>
            </w:pPr>
            <w:r>
              <w:rPr>
                <w:rFonts w:ascii="Arial" w:cs="Arial" w:eastAsia="Arial" w:hAnsi="Arial"/>
                <w:sz w:val="18"/>
                <w:szCs w:val="18"/>
                <w:color w:val="auto"/>
              </w:rPr>
              <w:t>Wheelabrator</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Recycling and other</w:t>
            </w:r>
          </w:p>
        </w:tc>
        <w:tc>
          <w:tcPr>
            <w:tcW w:w="120" w:type="dxa"/>
            <w:vAlign w:val="bottom"/>
            <w:tcBorders>
              <w:right w:val="single" w:sz="8" w:color="EEEEEE"/>
            </w:tcBorders>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231</w:t>
            </w:r>
          </w:p>
        </w:tc>
        <w:tc>
          <w:tcPr>
            <w:tcW w:w="1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ind w:left="260"/>
              <w:spacing w:after="0"/>
              <w:rPr>
                <w:sz w:val="20"/>
                <w:szCs w:val="20"/>
                <w:color w:val="auto"/>
              </w:rPr>
            </w:pPr>
            <w:r>
              <w:rPr>
                <w:rFonts w:ascii="Arial" w:cs="Arial" w:eastAsia="Arial" w:hAnsi="Arial"/>
                <w:sz w:val="18"/>
                <w:szCs w:val="18"/>
                <w:color w:val="auto"/>
              </w:rPr>
              <w:t>Intercompany</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(633)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(617)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400"/>
              <w:spacing w:after="0"/>
              <w:rPr>
                <w:sz w:val="20"/>
                <w:szCs w:val="20"/>
                <w:color w:val="auto"/>
              </w:rPr>
            </w:pPr>
            <w:r>
              <w:rPr>
                <w:rFonts w:ascii="Arial" w:cs="Arial" w:eastAsia="Arial" w:hAnsi="Arial"/>
                <w:sz w:val="18"/>
                <w:szCs w:val="18"/>
                <w:color w:val="auto"/>
              </w:rPr>
              <w:t>Operating revenues</w:t>
            </w:r>
          </w:p>
        </w:tc>
        <w:tc>
          <w:tcPr>
            <w:tcW w:w="120" w:type="dxa"/>
            <w:vAlign w:val="bottom"/>
            <w:tcBorders>
              <w:right w:val="single" w:sz="8" w:color="EEEEEE"/>
            </w:tcBorders>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3,274</w:t>
            </w:r>
          </w:p>
        </w:tc>
        <w:tc>
          <w:tcPr>
            <w:tcW w:w="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gridSpan w:val="3"/>
            <w:shd w:val="clear" w:color="auto" w:fill="EEEEEE"/>
          </w:tcPr>
          <w:p>
            <w:pPr>
              <w:jc w:val="right"/>
              <w:ind w:right="48"/>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3,138</w:t>
            </w: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2,996</w:t>
            </w:r>
          </w:p>
        </w:tc>
        <w:tc>
          <w:tcPr>
            <w:tcW w:w="1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58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2"/>
              </w:rPr>
              <w:t>Internal Growth of Operating Revenues from Comparable Prior Periods (a)</w:t>
            </w: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5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58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Internal growth</w:t>
            </w:r>
          </w:p>
        </w:tc>
        <w:tc>
          <w:tcPr>
            <w:tcW w:w="120" w:type="dxa"/>
            <w:vAlign w:val="bottom"/>
            <w:tcBorders>
              <w:right w:val="single" w:sz="8" w:color="EEEEEE"/>
            </w:tcBorders>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4.6%</w:t>
            </w:r>
          </w:p>
        </w:tc>
        <w:tc>
          <w:tcPr>
            <w:tcW w:w="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gridSpan w:val="5"/>
          </w:tcPr>
          <w:p>
            <w:pPr>
              <w:ind w:left="120"/>
              <w:spacing w:after="0"/>
              <w:rPr>
                <w:sz w:val="20"/>
                <w:szCs w:val="20"/>
                <w:color w:val="auto"/>
              </w:rPr>
            </w:pPr>
            <w:r>
              <w:rPr>
                <w:rFonts w:ascii="Arial" w:cs="Arial" w:eastAsia="Arial" w:hAnsi="Arial"/>
                <w:sz w:val="18"/>
                <w:szCs w:val="18"/>
                <w:color w:val="auto"/>
              </w:rPr>
              <w:t>Less: Yield changes due to recycling commodities, electricity (IPP), and fuel surcharge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Adjusted internal growth</w:t>
            </w:r>
          </w:p>
        </w:tc>
        <w:tc>
          <w:tcPr>
            <w:tcW w:w="120" w:type="dxa"/>
            <w:vAlign w:val="bottom"/>
            <w:tcBorders>
              <w:right w:val="single" w:sz="8" w:color="EEEEEE"/>
            </w:tcBorders>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2.9%</w:t>
            </w:r>
          </w:p>
        </w:tc>
        <w:tc>
          <w:tcPr>
            <w:tcW w:w="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78"/>
        </w:trPr>
        <w:tc>
          <w:tcPr>
            <w:tcW w:w="5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Acquisition Summary (b)</w:t>
            </w: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5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58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Gross annualized revenue acquired</w:t>
            </w:r>
          </w:p>
        </w:tc>
        <w:tc>
          <w:tcPr>
            <w:tcW w:w="120" w:type="dxa"/>
            <w:vAlign w:val="bottom"/>
            <w:tcBorders>
              <w:right w:val="single" w:sz="8" w:color="EEEEEE"/>
            </w:tcBorders>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gridSpan w:val="3"/>
            <w:shd w:val="clear" w:color="auto" w:fill="EEEEEE"/>
          </w:tcPr>
          <w:p>
            <w:pPr>
              <w:jc w:val="right"/>
              <w:ind w:right="48"/>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5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gridSpan w:val="2"/>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gridSpan w:val="2"/>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gridSpan w:val="2"/>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5840" w:type="dxa"/>
            <w:vAlign w:val="bottom"/>
          </w:tcPr>
          <w:p>
            <w:pPr>
              <w:ind w:left="120"/>
              <w:spacing w:after="0"/>
              <w:rPr>
                <w:sz w:val="20"/>
                <w:szCs w:val="20"/>
                <w:color w:val="auto"/>
              </w:rPr>
            </w:pPr>
            <w:r>
              <w:rPr>
                <w:rFonts w:ascii="Arial" w:cs="Arial" w:eastAsia="Arial" w:hAnsi="Arial"/>
                <w:sz w:val="18"/>
                <w:szCs w:val="18"/>
                <w:color w:val="auto"/>
              </w:rPr>
              <w:t>Total consideration</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gridSpan w:val="3"/>
          </w:tcPr>
          <w:p>
            <w:pPr>
              <w:jc w:val="right"/>
              <w:ind w:right="48"/>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5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5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Cash paid for acquisitions</w:t>
            </w:r>
          </w:p>
        </w:tc>
        <w:tc>
          <w:tcPr>
            <w:tcW w:w="120" w:type="dxa"/>
            <w:vAlign w:val="bottom"/>
            <w:tcBorders>
              <w:right w:val="single" w:sz="8" w:color="EEEEEE"/>
            </w:tcBorders>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gridSpan w:val="3"/>
            <w:shd w:val="clear" w:color="auto" w:fill="EEEEEE"/>
          </w:tcPr>
          <w:p>
            <w:pPr>
              <w:jc w:val="right"/>
              <w:ind w:right="48"/>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w:t>
            </w:r>
          </w:p>
        </w:tc>
        <w:tc>
          <w:tcPr>
            <w:tcW w:w="1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5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Recycling Segment Supplemental Data (c)</w:t>
            </w: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5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58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Operating revenues</w:t>
            </w:r>
          </w:p>
        </w:tc>
        <w:tc>
          <w:tcPr>
            <w:tcW w:w="120" w:type="dxa"/>
            <w:vAlign w:val="bottom"/>
            <w:tcBorders>
              <w:right w:val="single" w:sz="8" w:color="EEEEEE"/>
            </w:tcBorders>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gridSpan w:val="3"/>
            <w:shd w:val="clear" w:color="auto" w:fill="EEEEEE"/>
          </w:tcPr>
          <w:p>
            <w:pPr>
              <w:jc w:val="right"/>
              <w:ind w:right="48"/>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60" w:type="dxa"/>
            <w:vAlign w:val="bottom"/>
            <w:tcBorders>
              <w:right w:val="single" w:sz="8" w:color="EEEEEE"/>
            </w:tcBorders>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138</w:t>
            </w:r>
          </w:p>
        </w:tc>
        <w:tc>
          <w:tcPr>
            <w:tcW w:w="1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5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gridSpan w:val="2"/>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gridSpan w:val="2"/>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gridSpan w:val="2"/>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5840" w:type="dxa"/>
            <w:vAlign w:val="bottom"/>
          </w:tcPr>
          <w:p>
            <w:pPr>
              <w:ind w:left="120"/>
              <w:spacing w:after="0"/>
              <w:rPr>
                <w:sz w:val="20"/>
                <w:szCs w:val="20"/>
                <w:color w:val="auto"/>
              </w:rPr>
            </w:pPr>
            <w:r>
              <w:rPr>
                <w:rFonts w:ascii="Arial" w:cs="Arial" w:eastAsia="Arial" w:hAnsi="Arial"/>
                <w:sz w:val="18"/>
                <w:szCs w:val="18"/>
                <w:color w:val="auto"/>
              </w:rPr>
              <w:t>Operating expenses (exclusive of depreciation and amortization)</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gridSpan w:val="3"/>
          </w:tcPr>
          <w:p>
            <w:pPr>
              <w:jc w:val="right"/>
              <w:ind w:right="48"/>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5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gridSpan w:val="3"/>
          </w:tcPr>
          <w:p>
            <w:pPr>
              <w:spacing w:after="0"/>
              <w:rPr>
                <w:sz w:val="6"/>
                <w:szCs w:val="6"/>
                <w:color w:val="auto"/>
              </w:rPr>
            </w:pPr>
          </w:p>
        </w:tc>
        <w:tc>
          <w:tcPr>
            <w:tcW w:w="880" w:type="dxa"/>
            <w:vAlign w:val="bottom"/>
            <w:gridSpan w:val="2"/>
          </w:tcPr>
          <w:p>
            <w:pPr>
              <w:spacing w:after="0"/>
              <w:rPr>
                <w:sz w:val="6"/>
                <w:szCs w:val="6"/>
                <w:color w:val="auto"/>
              </w:rPr>
            </w:pPr>
          </w:p>
        </w:tc>
        <w:tc>
          <w:tcPr>
            <w:tcW w:w="120" w:type="dxa"/>
            <w:vAlign w:val="bottom"/>
            <w:gridSpan w:val="2"/>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gridSpan w:val="2"/>
          </w:tcPr>
          <w:p>
            <w:pPr>
              <w:spacing w:after="0"/>
              <w:rPr>
                <w:sz w:val="6"/>
                <w:szCs w:val="6"/>
                <w:color w:val="auto"/>
              </w:rPr>
            </w:pPr>
          </w:p>
        </w:tc>
        <w:tc>
          <w:tcPr>
            <w:tcW w:w="120" w:type="dxa"/>
            <w:vAlign w:val="bottom"/>
            <w:gridSpan w:val="2"/>
          </w:tcPr>
          <w:p>
            <w:pPr>
              <w:spacing w:after="0"/>
              <w:rPr>
                <w:sz w:val="6"/>
                <w:szCs w:val="6"/>
                <w:color w:val="auto"/>
              </w:rPr>
            </w:pPr>
          </w:p>
        </w:tc>
        <w:tc>
          <w:tcPr>
            <w:tcW w:w="380" w:type="dxa"/>
            <w:vAlign w:val="bottom"/>
            <w:gridSpan w:val="2"/>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gridSpan w:val="2"/>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gridSpan w:val="2"/>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gridSpan w:val="2"/>
          </w:tcPr>
          <w:p>
            <w:pPr>
              <w:spacing w:after="0"/>
              <w:rPr>
                <w:sz w:val="5"/>
                <w:szCs w:val="5"/>
                <w:color w:val="auto"/>
              </w:rPr>
            </w:pPr>
          </w:p>
        </w:tc>
        <w:tc>
          <w:tcPr>
            <w:tcW w:w="380" w:type="dxa"/>
            <w:vAlign w:val="bottom"/>
            <w:gridSpan w:val="2"/>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10"/>
          </w:tcPr>
          <w:p>
            <w:pPr>
              <w:ind w:left="200"/>
              <w:spacing w:after="0"/>
              <w:rPr>
                <w:sz w:val="20"/>
                <w:szCs w:val="20"/>
                <w:color w:val="auto"/>
              </w:rPr>
            </w:pPr>
            <w:r>
              <w:rPr>
                <w:rFonts w:ascii="Arial" w:cs="Arial" w:eastAsia="Arial" w:hAnsi="Arial"/>
                <w:sz w:val="14"/>
                <w:szCs w:val="14"/>
                <w:b w:val="1"/>
                <w:bCs w:val="1"/>
                <w:color w:val="auto"/>
              </w:rPr>
              <w:t>Quarters Ended September 30,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gridSpan w:val="9"/>
          </w:tcPr>
          <w:p>
            <w:pPr>
              <w:ind w:left="1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84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216"/>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72"/>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152"/>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84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Free Cash Flow Analysis (d)</w:t>
            </w:r>
          </w:p>
        </w:tc>
        <w:tc>
          <w:tcPr>
            <w:tcW w:w="120" w:type="dxa"/>
            <w:vAlign w:val="bottom"/>
            <w:tcBorders>
              <w:right w:val="single" w:sz="8" w:color="EEEEEE"/>
            </w:tcBorders>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gridSpan w:val="3"/>
          </w:tcPr>
          <w:p>
            <w:pPr>
              <w:ind w:left="10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1,618</w:t>
            </w:r>
          </w:p>
        </w:tc>
        <w:tc>
          <w:tcPr>
            <w:tcW w:w="80" w:type="dxa"/>
            <w:vAlign w:val="bottom"/>
          </w:tcPr>
          <w:p>
            <w:pPr>
              <w:spacing w:after="0"/>
              <w:rPr>
                <w:sz w:val="18"/>
                <w:szCs w:val="18"/>
                <w:color w:val="auto"/>
              </w:rPr>
            </w:pPr>
          </w:p>
        </w:tc>
        <w:tc>
          <w:tcPr>
            <w:tcW w:w="5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1,286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(311)</w:t>
            </w: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(297)</w:t>
            </w:r>
          </w:p>
        </w:tc>
        <w:tc>
          <w:tcPr>
            <w:tcW w:w="3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(837)</w:t>
            </w:r>
          </w:p>
        </w:tc>
        <w:tc>
          <w:tcPr>
            <w:tcW w:w="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40" w:type="dxa"/>
            <w:vAlign w:val="bottom"/>
          </w:tcPr>
          <w:p>
            <w:pPr>
              <w:spacing w:after="0" w:line="201" w:lineRule="exact"/>
              <w:rPr>
                <w:sz w:val="20"/>
                <w:szCs w:val="20"/>
                <w:color w:val="auto"/>
              </w:rPr>
            </w:pPr>
            <w:r>
              <w:rPr>
                <w:rFonts w:ascii="Arial" w:cs="Arial" w:eastAsia="Arial" w:hAnsi="Arial"/>
                <w:sz w:val="18"/>
                <w:szCs w:val="18"/>
                <w:color w:val="auto"/>
                <w:w w:val="99"/>
              </w:rPr>
              <w:t>Proceeds from divestitures of businesses, net of cash divested, and other</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ind w:left="120"/>
              <w:spacing w:after="0"/>
              <w:rPr>
                <w:sz w:val="20"/>
                <w:szCs w:val="20"/>
                <w:color w:val="auto"/>
              </w:rPr>
            </w:pPr>
            <w:r>
              <w:rPr>
                <w:rFonts w:ascii="Arial" w:cs="Arial" w:eastAsia="Arial" w:hAnsi="Arial"/>
                <w:sz w:val="18"/>
                <w:szCs w:val="18"/>
                <w:color w:val="auto"/>
              </w:rPr>
              <w:t>sales of assets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808080"/>
            </w:tcBorders>
          </w:tcPr>
          <w:p>
            <w:pPr>
              <w:spacing w:after="0" w:line="20" w:lineRule="exact"/>
              <w:rPr>
                <w:sz w:val="1"/>
                <w:szCs w:val="1"/>
                <w:color w:val="auto"/>
              </w:rPr>
            </w:pPr>
          </w:p>
        </w:tc>
        <w:tc>
          <w:tcPr>
            <w:tcW w:w="12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80808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Free cash flow</w:t>
            </w:r>
          </w:p>
        </w:tc>
        <w:tc>
          <w:tcPr>
            <w:tcW w:w="1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(74)</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gridSpan w:val="3"/>
            <w:shd w:val="clear" w:color="auto" w:fill="EEEEEE"/>
          </w:tcPr>
          <w:p>
            <w:pPr>
              <w:ind w:left="1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854</w:t>
            </w:r>
          </w:p>
        </w:tc>
        <w:tc>
          <w:tcPr>
            <w:tcW w:w="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532</w:t>
            </w:r>
          </w:p>
        </w:tc>
        <w:tc>
          <w:tcPr>
            <w:tcW w:w="1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5840" w:type="dxa"/>
            <w:vAlign w:val="bottom"/>
            <w:shd w:val="clear" w:color="auto" w:fill="EEEEEE"/>
          </w:tcPr>
          <w:p>
            <w:pPr>
              <w:spacing w:after="0"/>
              <w:rPr>
                <w:sz w:val="3"/>
                <w:szCs w:val="3"/>
                <w:color w:val="auto"/>
              </w:rPr>
            </w:pPr>
          </w:p>
        </w:tc>
        <w:tc>
          <w:tcPr>
            <w:tcW w:w="120" w:type="dxa"/>
            <w:vAlign w:val="bottom"/>
            <w:tcBorders>
              <w:right w:val="single" w:sz="8" w:color="808080"/>
            </w:tcBorders>
            <w:shd w:val="clear" w:color="auto" w:fill="EEEEEE"/>
          </w:tcPr>
          <w:p>
            <w:pPr>
              <w:spacing w:after="0"/>
              <w:rPr>
                <w:sz w:val="3"/>
                <w:szCs w:val="3"/>
                <w:color w:val="auto"/>
              </w:rPr>
            </w:pPr>
          </w:p>
        </w:tc>
        <w:tc>
          <w:tcPr>
            <w:tcW w:w="860" w:type="dxa"/>
            <w:vAlign w:val="bottom"/>
            <w:tcBorders>
              <w:bottom w:val="single" w:sz="8" w:color="808080"/>
              <w:right w:val="single" w:sz="8" w:color="808080"/>
            </w:tcBorders>
            <w:shd w:val="clear" w:color="auto" w:fill="808080"/>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26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76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120" w:type="dxa"/>
            <w:vAlign w:val="bottom"/>
            <w:tcBorders>
              <w:right w:val="single" w:sz="8" w:color="808080"/>
            </w:tcBorders>
            <w:shd w:val="clear" w:color="auto" w:fill="EEEEEE"/>
          </w:tcPr>
          <w:p>
            <w:pPr>
              <w:spacing w:after="0"/>
              <w:rPr>
                <w:sz w:val="3"/>
                <w:szCs w:val="3"/>
                <w:color w:val="auto"/>
              </w:rPr>
            </w:pPr>
          </w:p>
        </w:tc>
        <w:tc>
          <w:tcPr>
            <w:tcW w:w="760" w:type="dxa"/>
            <w:vAlign w:val="bottom"/>
            <w:tcBorders>
              <w:bottom w:val="single" w:sz="8" w:color="808080"/>
            </w:tcBorders>
            <w:shd w:val="clear" w:color="auto" w:fill="808080"/>
          </w:tcPr>
          <w:p>
            <w:pPr>
              <w:spacing w:after="0"/>
              <w:rPr>
                <w:sz w:val="3"/>
                <w:szCs w:val="3"/>
                <w:color w:val="auto"/>
              </w:rPr>
            </w:pPr>
          </w:p>
        </w:tc>
        <w:tc>
          <w:tcPr>
            <w:tcW w:w="100" w:type="dxa"/>
            <w:vAlign w:val="bottom"/>
            <w:tcBorders>
              <w:bottom w:val="single" w:sz="8" w:color="808080"/>
            </w:tcBorders>
            <w:shd w:val="clear" w:color="auto" w:fill="808080"/>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340" w:type="dxa"/>
            <w:vAlign w:val="bottom"/>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140" w:type="dxa"/>
            <w:vAlign w:val="bottom"/>
            <w:tcBorders>
              <w:right w:val="single" w:sz="8" w:color="EEEEEE"/>
            </w:tcBorders>
            <w:shd w:val="clear" w:color="auto" w:fill="EEEEEE"/>
          </w:tcPr>
          <w:p>
            <w:pPr>
              <w:spacing w:after="0"/>
              <w:rPr>
                <w:sz w:val="3"/>
                <w:szCs w:val="3"/>
                <w:color w:val="auto"/>
              </w:rPr>
            </w:pPr>
          </w:p>
        </w:tc>
        <w:tc>
          <w:tcPr>
            <w:tcW w:w="820" w:type="dxa"/>
            <w:vAlign w:val="bottom"/>
            <w:shd w:val="clear" w:color="auto" w:fill="EEEEEE"/>
          </w:tcPr>
          <w:p>
            <w:pPr>
              <w:spacing w:after="0"/>
              <w:rPr>
                <w:sz w:val="3"/>
                <w:szCs w:val="3"/>
                <w:color w:val="auto"/>
              </w:rPr>
            </w:pPr>
          </w:p>
        </w:tc>
        <w:tc>
          <w:tcPr>
            <w:tcW w:w="180" w:type="dxa"/>
            <w:vAlign w:val="bottom"/>
            <w:tcBorders>
              <w:left w:val="single" w:sz="8" w:color="EEEEEE"/>
            </w:tcBorders>
            <w:shd w:val="clear" w:color="auto" w:fill="EEEEEE"/>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5860" w:type="dxa"/>
            <w:vAlign w:val="bottom"/>
            <w:gridSpan w:val="2"/>
          </w:tcPr>
          <w:p>
            <w:pPr>
              <w:spacing w:after="0"/>
              <w:rPr>
                <w:sz w:val="20"/>
                <w:szCs w:val="20"/>
                <w:color w:val="auto"/>
              </w:rPr>
            </w:pPr>
            <w:r>
              <w:rPr>
                <w:rFonts w:ascii="Arial" w:cs="Arial" w:eastAsia="Arial" w:hAnsi="Arial"/>
                <w:sz w:val="18"/>
                <w:szCs w:val="18"/>
                <w:color w:val="auto"/>
              </w:rPr>
              <w:t>Pro forma adjustments:</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Shareholder litigation payments, net of income tax and other</w:t>
            </w:r>
          </w:p>
        </w:tc>
        <w:tc>
          <w:tcPr>
            <w:tcW w:w="120" w:type="dxa"/>
            <w:vAlign w:val="bottom"/>
            <w:tcBorders>
              <w:right w:val="single" w:sz="8" w:color="EEEEEE"/>
            </w:tcBorders>
            <w:shd w:val="clear" w:color="auto" w:fill="EEEEEE"/>
          </w:tcPr>
          <w:p>
            <w:pPr>
              <w:spacing w:after="0"/>
              <w:rPr>
                <w:sz w:val="18"/>
                <w:szCs w:val="18"/>
                <w:color w:val="auto"/>
              </w:rPr>
            </w:pPr>
          </w:p>
        </w:tc>
        <w:tc>
          <w:tcPr>
            <w:tcW w:w="86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80" w:type="dxa"/>
            <w:vAlign w:val="bottom"/>
            <w:tcBorders>
              <w:bottom w:val="single" w:sz="8" w:color="808080"/>
            </w:tcBorders>
            <w:gridSpan w:val="2"/>
            <w:shd w:val="clear" w:color="auto" w:fill="EEEEEE"/>
          </w:tcPr>
          <w:p>
            <w:pPr>
              <w:jc w:val="right"/>
              <w:spacing w:after="0"/>
              <w:rPr>
                <w:sz w:val="20"/>
                <w:szCs w:val="20"/>
                <w:color w:val="auto"/>
              </w:rPr>
            </w:pPr>
            <w:r>
              <w:rPr>
                <w:rFonts w:ascii="Arial" w:cs="Arial" w:eastAsia="Arial" w:hAnsi="Arial"/>
                <w:sz w:val="18"/>
                <w:szCs w:val="18"/>
                <w:color w:val="auto"/>
              </w:rPr>
              <w:t>325</w:t>
            </w: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8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259</w:t>
            </w:r>
          </w:p>
        </w:tc>
        <w:tc>
          <w:tcPr>
            <w:tcW w:w="1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860" w:type="dxa"/>
            <w:vAlign w:val="bottom"/>
            <w:gridSpan w:val="2"/>
          </w:tcPr>
          <w:p>
            <w:pPr>
              <w:spacing w:after="0"/>
              <w:rPr>
                <w:sz w:val="20"/>
                <w:szCs w:val="20"/>
                <w:color w:val="auto"/>
              </w:rPr>
            </w:pPr>
            <w:r>
              <w:rPr>
                <w:rFonts w:ascii="Arial" w:cs="Arial" w:eastAsia="Arial" w:hAnsi="Arial"/>
                <w:sz w:val="18"/>
                <w:szCs w:val="18"/>
                <w:color w:val="auto"/>
              </w:rPr>
              <w:t>Adjusted free cash flow</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791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8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Prior year information has been reclassified to conform to 2004 presentation.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Information provided is after the elimination of intercompany revenues and related expenses.</w:t>
      </w:r>
    </w:p>
    <w:p>
      <w:pPr>
        <w:spacing w:after="0" w:line="225" w:lineRule="exact"/>
        <w:rPr>
          <w:rFonts w:ascii="Arial" w:cs="Arial" w:eastAsia="Arial" w:hAnsi="Arial"/>
          <w:sz w:val="18"/>
          <w:szCs w:val="18"/>
          <w:color w:val="auto"/>
        </w:rPr>
      </w:pPr>
    </w:p>
    <w:p>
      <w:pPr>
        <w:ind w:left="340" w:hanging="332"/>
        <w:spacing w:after="0" w:line="255"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summary of free cash flow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 We are projecting full-year 2004 free cash flow to meet or exceed our previously stated range of $900 million to $1 billion, based on estimated net cash provided by operating activities meeting or exceeding a range of $2.1 to $2.2 billion, capital expenditures of between $1.25 billion and $1.3 billion, and proceeds from divestitures, net of cash divested and other sales of assets of $80 million to $100 million.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68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1"/>
              </w:rPr>
              <w:t>Quarters Ended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9"/>
              </w:rPr>
              <w:t>September 30,</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172"/>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173"/>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192"/>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Balance Sheet Data</w:t>
            </w:r>
          </w:p>
        </w:tc>
        <w:tc>
          <w:tcPr>
            <w:tcW w:w="12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and cash equivalents (a)</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619</w:t>
            </w:r>
          </w:p>
        </w:tc>
        <w:tc>
          <w:tcPr>
            <w:tcW w:w="1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553</w:t>
            </w: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1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EEEEEE"/>
          </w:tcPr>
          <w:p>
            <w:pPr>
              <w:spacing w:after="0"/>
              <w:rPr>
                <w:sz w:val="20"/>
                <w:szCs w:val="20"/>
                <w:color w:val="auto"/>
              </w:rPr>
            </w:pPr>
            <w:r>
              <w:rPr>
                <w:rFonts w:ascii="Arial" w:cs="Arial" w:eastAsia="Arial" w:hAnsi="Arial"/>
                <w:sz w:val="18"/>
                <w:szCs w:val="18"/>
                <w:color w:val="auto"/>
              </w:rPr>
              <w:t>Debt-to-total capital ratio:</w:t>
            </w:r>
          </w:p>
        </w:tc>
        <w:tc>
          <w:tcPr>
            <w:tcW w:w="12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Long-term indebtedness, including current portion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8,787</w:t>
            </w:r>
          </w:p>
        </w:tc>
        <w:tc>
          <w:tcPr>
            <w:tcW w:w="1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8,722</w:t>
            </w: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8,560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Total equity</w:t>
            </w:r>
          </w:p>
        </w:tc>
        <w:tc>
          <w:tcPr>
            <w:tcW w:w="120" w:type="dxa"/>
            <w:vAlign w:val="bottom"/>
            <w:tcBorders>
              <w:right w:val="single" w:sz="8" w:color="EEEEEE"/>
            </w:tcBorders>
            <w:shd w:val="clear" w:color="auto" w:fill="EEEEEE"/>
          </w:tcPr>
          <w:p>
            <w:pPr>
              <w:spacing w:after="0"/>
              <w:rPr>
                <w:sz w:val="18"/>
                <w:szCs w:val="18"/>
                <w:color w:val="auto"/>
              </w:rPr>
            </w:pPr>
          </w:p>
        </w:tc>
        <w:tc>
          <w:tcPr>
            <w:tcW w:w="8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5,846</w:t>
            </w: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86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5,792</w:t>
            </w: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5,637</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180" w:type="dxa"/>
            <w:vAlign w:val="bottom"/>
          </w:tcPr>
          <w:p>
            <w:pPr>
              <w:ind w:left="260"/>
              <w:spacing w:after="0"/>
              <w:rPr>
                <w:sz w:val="20"/>
                <w:szCs w:val="20"/>
                <w:color w:val="auto"/>
              </w:rPr>
            </w:pPr>
            <w:r>
              <w:rPr>
                <w:rFonts w:ascii="Arial" w:cs="Arial" w:eastAsia="Arial" w:hAnsi="Arial"/>
                <w:sz w:val="18"/>
                <w:szCs w:val="18"/>
                <w:color w:val="auto"/>
              </w:rPr>
              <w:t>Total capital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14,633</w:t>
            </w:r>
          </w:p>
        </w:tc>
        <w:tc>
          <w:tcPr>
            <w:tcW w:w="16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14,514</w:t>
            </w:r>
          </w:p>
        </w:tc>
        <w:tc>
          <w:tcPr>
            <w:tcW w:w="18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14,197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1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7180" w:type="dxa"/>
            <w:vAlign w:val="bottom"/>
            <w:shd w:val="clear" w:color="auto" w:fill="EEEEEE"/>
          </w:tcPr>
          <w:p>
            <w:pPr>
              <w:spacing w:after="0"/>
              <w:rPr>
                <w:sz w:val="20"/>
                <w:szCs w:val="20"/>
                <w:color w:val="auto"/>
              </w:rPr>
            </w:pPr>
            <w:r>
              <w:rPr>
                <w:rFonts w:ascii="Arial" w:cs="Arial" w:eastAsia="Arial" w:hAnsi="Arial"/>
                <w:sz w:val="18"/>
                <w:szCs w:val="18"/>
                <w:color w:val="auto"/>
              </w:rPr>
              <w:t>Debt-to-total capital</w:t>
            </w:r>
          </w:p>
        </w:tc>
        <w:tc>
          <w:tcPr>
            <w:tcW w:w="12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60.0%</w:t>
            </w:r>
          </w:p>
        </w:tc>
        <w:tc>
          <w:tcPr>
            <w:tcW w:w="3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10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60.1%</w:t>
            </w:r>
          </w:p>
        </w:tc>
        <w:tc>
          <w:tcPr>
            <w:tcW w:w="3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180" w:type="dxa"/>
            <w:vAlign w:val="bottom"/>
            <w:tcBorders>
              <w:top w:val="single" w:sz="8" w:color="EEEEEE"/>
            </w:tcBorders>
          </w:tcPr>
          <w:p>
            <w:pPr>
              <w:spacing w:after="0"/>
              <w:rPr>
                <w:sz w:val="3"/>
                <w:szCs w:val="3"/>
                <w:color w:val="auto"/>
              </w:rPr>
            </w:pPr>
          </w:p>
        </w:tc>
        <w:tc>
          <w:tcPr>
            <w:tcW w:w="120" w:type="dxa"/>
            <w:vAlign w:val="bottom"/>
            <w:tcBorders>
              <w:top w:val="single" w:sz="8" w:color="EEEEEE"/>
              <w:right w:val="single" w:sz="8" w:color="808080"/>
            </w:tcBorders>
          </w:tcPr>
          <w:p>
            <w:pPr>
              <w:spacing w:after="0"/>
              <w:rPr>
                <w:sz w:val="3"/>
                <w:szCs w:val="3"/>
                <w:color w:val="auto"/>
              </w:rPr>
            </w:pPr>
          </w:p>
        </w:tc>
        <w:tc>
          <w:tcPr>
            <w:tcW w:w="840" w:type="dxa"/>
            <w:vAlign w:val="bottom"/>
            <w:tcBorders>
              <w:top w:val="single" w:sz="8" w:color="808080"/>
            </w:tcBorders>
            <w:shd w:val="clear" w:color="auto" w:fill="808080"/>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500" w:type="dxa"/>
            <w:vAlign w:val="bottom"/>
            <w:tcBorders>
              <w:top w:val="single" w:sz="8" w:color="EEEEEE"/>
              <w:right w:val="single" w:sz="8" w:color="808080"/>
            </w:tcBorders>
            <w:gridSpan w:val="2"/>
          </w:tcPr>
          <w:p>
            <w:pPr>
              <w:spacing w:after="0"/>
              <w:rPr>
                <w:sz w:val="3"/>
                <w:szCs w:val="3"/>
                <w:color w:val="auto"/>
              </w:rPr>
            </w:pPr>
          </w:p>
        </w:tc>
        <w:tc>
          <w:tcPr>
            <w:tcW w:w="860" w:type="dxa"/>
            <w:vAlign w:val="bottom"/>
            <w:tcBorders>
              <w:top w:val="single" w:sz="8" w:color="808080"/>
            </w:tcBorders>
            <w:shd w:val="clear" w:color="auto" w:fill="808080"/>
          </w:tcPr>
          <w:p>
            <w:pPr>
              <w:spacing w:after="0"/>
              <w:rPr>
                <w:sz w:val="3"/>
                <w:szCs w:val="3"/>
                <w:color w:val="auto"/>
              </w:rPr>
            </w:pPr>
          </w:p>
        </w:tc>
        <w:tc>
          <w:tcPr>
            <w:tcW w:w="180" w:type="dxa"/>
            <w:vAlign w:val="bottom"/>
            <w:tcBorders>
              <w:top w:val="single" w:sz="8" w:color="EEEEEE"/>
            </w:tcBorders>
          </w:tcPr>
          <w:p>
            <w:pPr>
              <w:spacing w:after="0"/>
              <w:rPr>
                <w:sz w:val="3"/>
                <w:szCs w:val="3"/>
                <w:color w:val="auto"/>
              </w:rPr>
            </w:pPr>
          </w:p>
        </w:tc>
        <w:tc>
          <w:tcPr>
            <w:tcW w:w="500" w:type="dxa"/>
            <w:vAlign w:val="bottom"/>
            <w:tcBorders>
              <w:top w:val="single" w:sz="8" w:color="EEEEEE"/>
              <w:right w:val="single" w:sz="8" w:color="808080"/>
            </w:tcBorders>
            <w:gridSpan w:val="2"/>
          </w:tcPr>
          <w:p>
            <w:pPr>
              <w:spacing w:after="0"/>
              <w:rPr>
                <w:sz w:val="3"/>
                <w:szCs w:val="3"/>
                <w:color w:val="auto"/>
              </w:rPr>
            </w:pPr>
          </w:p>
        </w:tc>
        <w:tc>
          <w:tcPr>
            <w:tcW w:w="880" w:type="dxa"/>
            <w:vAlign w:val="bottom"/>
            <w:tcBorders>
              <w:top w:val="single" w:sz="8" w:color="808080"/>
            </w:tcBorders>
            <w:shd w:val="clear" w:color="auto" w:fill="808080"/>
          </w:tcPr>
          <w:p>
            <w:pPr>
              <w:spacing w:after="0"/>
              <w:rPr>
                <w:sz w:val="3"/>
                <w:szCs w:val="3"/>
                <w:color w:val="auto"/>
              </w:rPr>
            </w:pPr>
          </w:p>
        </w:tc>
        <w:tc>
          <w:tcPr>
            <w:tcW w:w="18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20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1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Other Operational Data</w:t>
            </w:r>
          </w:p>
        </w:tc>
        <w:tc>
          <w:tcPr>
            <w:tcW w:w="12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Internalization of waste, based on disposal costs</w:t>
            </w: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64.8%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65.0%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1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EEEEEE"/>
          </w:tcPr>
          <w:p>
            <w:pPr>
              <w:spacing w:after="0"/>
              <w:rPr>
                <w:sz w:val="20"/>
                <w:szCs w:val="20"/>
                <w:color w:val="auto"/>
              </w:rPr>
            </w:pPr>
            <w:r>
              <w:rPr>
                <w:rFonts w:ascii="Arial" w:cs="Arial" w:eastAsia="Arial" w:hAnsi="Arial"/>
                <w:sz w:val="18"/>
                <w:szCs w:val="18"/>
                <w:color w:val="auto"/>
              </w:rPr>
              <w:t>Total landfill disposal volumes (tons in millions)</w:t>
            </w:r>
          </w:p>
        </w:tc>
        <w:tc>
          <w:tcPr>
            <w:tcW w:w="12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33.0</w:t>
            </w: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31.8</w:t>
            </w: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31.0</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Total waste to energy disposal volumes (tons in millions)</w:t>
            </w:r>
          </w:p>
        </w:tc>
        <w:tc>
          <w:tcPr>
            <w:tcW w:w="120" w:type="dxa"/>
            <w:vAlign w:val="bottom"/>
          </w:tcPr>
          <w:p>
            <w:pPr>
              <w:spacing w:after="0"/>
              <w:rPr>
                <w:sz w:val="18"/>
                <w:szCs w:val="18"/>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718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disposal volumes (tons in millions)</w:t>
            </w:r>
          </w:p>
        </w:tc>
        <w:tc>
          <w:tcPr>
            <w:tcW w:w="120" w:type="dxa"/>
            <w:vAlign w:val="bottom"/>
            <w:tcBorders>
              <w:bottom w:val="single" w:sz="8" w:color="EEEEEE"/>
              <w:right w:val="single" w:sz="8" w:color="EEEEEE"/>
            </w:tcBorders>
            <w:shd w:val="clear" w:color="auto" w:fill="EEEEEE"/>
          </w:tcPr>
          <w:p>
            <w:pPr>
              <w:spacing w:after="0"/>
              <w:rPr>
                <w:sz w:val="22"/>
                <w:szCs w:val="22"/>
                <w:color w:val="auto"/>
              </w:rPr>
            </w:pPr>
          </w:p>
        </w:tc>
        <w:tc>
          <w:tcPr>
            <w:tcW w:w="8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34.7</w:t>
            </w:r>
          </w:p>
        </w:tc>
        <w:tc>
          <w:tcPr>
            <w:tcW w:w="160" w:type="dxa"/>
            <w:vAlign w:val="bottom"/>
            <w:tcBorders>
              <w:bottom w:val="single" w:sz="8" w:color="EEEEEE"/>
            </w:tcBorders>
            <w:shd w:val="clear" w:color="auto" w:fill="EEEEEE"/>
          </w:tcPr>
          <w:p>
            <w:pPr>
              <w:spacing w:after="0"/>
              <w:rPr>
                <w:sz w:val="22"/>
                <w:szCs w:val="22"/>
                <w:color w:val="auto"/>
              </w:rPr>
            </w:pPr>
          </w:p>
        </w:tc>
        <w:tc>
          <w:tcPr>
            <w:tcW w:w="380" w:type="dxa"/>
            <w:vAlign w:val="bottom"/>
            <w:tcBorders>
              <w:bottom w:val="single" w:sz="8" w:color="EEEEEE"/>
            </w:tcBorders>
            <w:shd w:val="clear" w:color="auto" w:fill="EEEEEE"/>
          </w:tcPr>
          <w:p>
            <w:pPr>
              <w:spacing w:after="0"/>
              <w:rPr>
                <w:sz w:val="22"/>
                <w:szCs w:val="22"/>
                <w:color w:val="auto"/>
              </w:rPr>
            </w:pPr>
          </w:p>
        </w:tc>
        <w:tc>
          <w:tcPr>
            <w:tcW w:w="120" w:type="dxa"/>
            <w:vAlign w:val="bottom"/>
            <w:tcBorders>
              <w:bottom w:val="single" w:sz="8" w:color="EEEEEE"/>
              <w:right w:val="single" w:sz="8" w:color="EEEEEE"/>
            </w:tcBorders>
            <w:shd w:val="clear" w:color="auto" w:fill="EEEEEE"/>
          </w:tcPr>
          <w:p>
            <w:pPr>
              <w:spacing w:after="0"/>
              <w:rPr>
                <w:sz w:val="22"/>
                <w:szCs w:val="22"/>
                <w:color w:val="auto"/>
              </w:rPr>
            </w:pPr>
          </w:p>
        </w:tc>
        <w:tc>
          <w:tcPr>
            <w:tcW w:w="86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33.5</w:t>
            </w:r>
          </w:p>
        </w:tc>
        <w:tc>
          <w:tcPr>
            <w:tcW w:w="180" w:type="dxa"/>
            <w:vAlign w:val="bottom"/>
            <w:tcBorders>
              <w:bottom w:val="single" w:sz="8" w:color="EEEEEE"/>
            </w:tcBorders>
            <w:shd w:val="clear" w:color="auto" w:fill="EEEEEE"/>
          </w:tcPr>
          <w:p>
            <w:pPr>
              <w:spacing w:after="0"/>
              <w:rPr>
                <w:sz w:val="22"/>
                <w:szCs w:val="22"/>
                <w:color w:val="auto"/>
              </w:rPr>
            </w:pPr>
          </w:p>
        </w:tc>
        <w:tc>
          <w:tcPr>
            <w:tcW w:w="380" w:type="dxa"/>
            <w:vAlign w:val="bottom"/>
            <w:tcBorders>
              <w:bottom w:val="single" w:sz="8" w:color="EEEEEE"/>
            </w:tcBorders>
            <w:shd w:val="clear" w:color="auto" w:fill="EEEEEE"/>
          </w:tcPr>
          <w:p>
            <w:pPr>
              <w:spacing w:after="0"/>
              <w:rPr>
                <w:sz w:val="22"/>
                <w:szCs w:val="22"/>
                <w:color w:val="auto"/>
              </w:rPr>
            </w:pPr>
          </w:p>
        </w:tc>
        <w:tc>
          <w:tcPr>
            <w:tcW w:w="120" w:type="dxa"/>
            <w:vAlign w:val="bottom"/>
            <w:tcBorders>
              <w:bottom w:val="single" w:sz="8" w:color="EEEEEE"/>
              <w:right w:val="single" w:sz="8" w:color="EEEEEE"/>
            </w:tcBorders>
            <w:shd w:val="clear" w:color="auto" w:fill="EEEEEE"/>
          </w:tcPr>
          <w:p>
            <w:pPr>
              <w:spacing w:after="0"/>
              <w:rPr>
                <w:sz w:val="22"/>
                <w:szCs w:val="22"/>
                <w:color w:val="auto"/>
              </w:rPr>
            </w:pPr>
          </w:p>
        </w:tc>
        <w:tc>
          <w:tcPr>
            <w:tcW w:w="8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33.0</w:t>
            </w:r>
          </w:p>
        </w:tc>
        <w:tc>
          <w:tcPr>
            <w:tcW w:w="18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200" w:type="dxa"/>
            <w:vAlign w:val="bottom"/>
            <w:gridSpan w:val="2"/>
          </w:tcPr>
          <w:p>
            <w:pPr>
              <w:spacing w:after="0"/>
              <w:rPr>
                <w:sz w:val="20"/>
                <w:szCs w:val="20"/>
                <w:color w:val="auto"/>
              </w:rPr>
            </w:pPr>
            <w:r>
              <w:rPr>
                <w:rFonts w:ascii="Arial" w:cs="Arial" w:eastAsia="Arial" w:hAnsi="Arial"/>
                <w:sz w:val="18"/>
                <w:szCs w:val="18"/>
                <w:color w:val="auto"/>
              </w:rPr>
              <w:t>Active landfills</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289</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290</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1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718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Landfills reporting volume</w:t>
            </w:r>
          </w:p>
        </w:tc>
        <w:tc>
          <w:tcPr>
            <w:tcW w:w="120" w:type="dxa"/>
            <w:vAlign w:val="bottom"/>
            <w:tcBorders>
              <w:bottom w:val="single" w:sz="8" w:color="EEEEEE"/>
              <w:right w:val="single" w:sz="8" w:color="EEEEEE"/>
            </w:tcBorders>
            <w:shd w:val="clear" w:color="auto" w:fill="EEEEEE"/>
          </w:tcPr>
          <w:p>
            <w:pPr>
              <w:spacing w:after="0"/>
              <w:rPr>
                <w:sz w:val="22"/>
                <w:szCs w:val="22"/>
                <w:color w:val="auto"/>
              </w:rPr>
            </w:pPr>
          </w:p>
        </w:tc>
        <w:tc>
          <w:tcPr>
            <w:tcW w:w="8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265</w:t>
            </w:r>
          </w:p>
        </w:tc>
        <w:tc>
          <w:tcPr>
            <w:tcW w:w="160" w:type="dxa"/>
            <w:vAlign w:val="bottom"/>
            <w:tcBorders>
              <w:bottom w:val="single" w:sz="8" w:color="EEEEEE"/>
            </w:tcBorders>
            <w:shd w:val="clear" w:color="auto" w:fill="EEEEEE"/>
          </w:tcPr>
          <w:p>
            <w:pPr>
              <w:spacing w:after="0"/>
              <w:rPr>
                <w:sz w:val="22"/>
                <w:szCs w:val="22"/>
                <w:color w:val="auto"/>
              </w:rPr>
            </w:pPr>
          </w:p>
        </w:tc>
        <w:tc>
          <w:tcPr>
            <w:tcW w:w="380" w:type="dxa"/>
            <w:vAlign w:val="bottom"/>
            <w:tcBorders>
              <w:bottom w:val="single" w:sz="8" w:color="EEEEEE"/>
            </w:tcBorders>
            <w:shd w:val="clear" w:color="auto" w:fill="EEEEEE"/>
          </w:tcPr>
          <w:p>
            <w:pPr>
              <w:spacing w:after="0"/>
              <w:rPr>
                <w:sz w:val="22"/>
                <w:szCs w:val="22"/>
                <w:color w:val="auto"/>
              </w:rPr>
            </w:pPr>
          </w:p>
        </w:tc>
        <w:tc>
          <w:tcPr>
            <w:tcW w:w="120" w:type="dxa"/>
            <w:vAlign w:val="bottom"/>
            <w:tcBorders>
              <w:bottom w:val="single" w:sz="8" w:color="EEEEEE"/>
              <w:right w:val="single" w:sz="8" w:color="EEEEEE"/>
            </w:tcBorders>
            <w:shd w:val="clear" w:color="auto" w:fill="EEEEEE"/>
          </w:tcPr>
          <w:p>
            <w:pPr>
              <w:spacing w:after="0"/>
              <w:rPr>
                <w:sz w:val="22"/>
                <w:szCs w:val="22"/>
                <w:color w:val="auto"/>
              </w:rPr>
            </w:pPr>
          </w:p>
        </w:tc>
        <w:tc>
          <w:tcPr>
            <w:tcW w:w="86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268</w:t>
            </w:r>
          </w:p>
        </w:tc>
        <w:tc>
          <w:tcPr>
            <w:tcW w:w="180" w:type="dxa"/>
            <w:vAlign w:val="bottom"/>
            <w:tcBorders>
              <w:bottom w:val="single" w:sz="8" w:color="EEEEEE"/>
            </w:tcBorders>
            <w:shd w:val="clear" w:color="auto" w:fill="EEEEEE"/>
          </w:tcPr>
          <w:p>
            <w:pPr>
              <w:spacing w:after="0"/>
              <w:rPr>
                <w:sz w:val="22"/>
                <w:szCs w:val="22"/>
                <w:color w:val="auto"/>
              </w:rPr>
            </w:pPr>
          </w:p>
        </w:tc>
        <w:tc>
          <w:tcPr>
            <w:tcW w:w="380" w:type="dxa"/>
            <w:vAlign w:val="bottom"/>
            <w:tcBorders>
              <w:bottom w:val="single" w:sz="8" w:color="EEEEEE"/>
            </w:tcBorders>
            <w:shd w:val="clear" w:color="auto" w:fill="EEEEEE"/>
          </w:tcPr>
          <w:p>
            <w:pPr>
              <w:spacing w:after="0"/>
              <w:rPr>
                <w:sz w:val="22"/>
                <w:szCs w:val="22"/>
                <w:color w:val="auto"/>
              </w:rPr>
            </w:pPr>
          </w:p>
        </w:tc>
        <w:tc>
          <w:tcPr>
            <w:tcW w:w="120" w:type="dxa"/>
            <w:vAlign w:val="bottom"/>
            <w:tcBorders>
              <w:bottom w:val="single" w:sz="8" w:color="EEEEEE"/>
              <w:right w:val="single" w:sz="8" w:color="EEEEEE"/>
            </w:tcBorders>
            <w:shd w:val="clear" w:color="auto" w:fill="EEEEEE"/>
          </w:tcPr>
          <w:p>
            <w:pPr>
              <w:spacing w:after="0"/>
              <w:rPr>
                <w:sz w:val="22"/>
                <w:szCs w:val="22"/>
                <w:color w:val="auto"/>
              </w:rPr>
            </w:pPr>
          </w:p>
        </w:tc>
        <w:tc>
          <w:tcPr>
            <w:tcW w:w="8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267</w:t>
            </w:r>
          </w:p>
        </w:tc>
        <w:tc>
          <w:tcPr>
            <w:tcW w:w="18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w w:val="99"/>
              </w:rPr>
              <w:t>Amortization and SFAS No. 143 Expenses for Landfills Included in Operating Groups</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EEEEEE"/>
          </w:tcPr>
          <w:p>
            <w:pPr>
              <w:spacing w:after="0"/>
              <w:rPr>
                <w:sz w:val="20"/>
                <w:szCs w:val="20"/>
                <w:color w:val="auto"/>
              </w:rPr>
            </w:pPr>
            <w:r>
              <w:rPr>
                <w:rFonts w:ascii="Arial" w:cs="Arial" w:eastAsia="Arial" w:hAnsi="Arial"/>
                <w:sz w:val="18"/>
                <w:szCs w:val="18"/>
                <w:color w:val="auto"/>
              </w:rPr>
              <w:t>Non — SFAS No. 143 amortization expense</w:t>
            </w:r>
          </w:p>
        </w:tc>
        <w:tc>
          <w:tcPr>
            <w:tcW w:w="1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106.0</w:t>
            </w:r>
          </w:p>
        </w:tc>
        <w:tc>
          <w:tcPr>
            <w:tcW w:w="16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104.8</w:t>
            </w: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98.5</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Amortization expense related to SFAS No. 143 obligations</w:t>
            </w:r>
          </w:p>
        </w:tc>
        <w:tc>
          <w:tcPr>
            <w:tcW w:w="120" w:type="dxa"/>
            <w:vAlign w:val="bottom"/>
          </w:tcPr>
          <w:p>
            <w:pPr>
              <w:spacing w:after="0"/>
              <w:rPr>
                <w:sz w:val="18"/>
                <w:szCs w:val="18"/>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Total amortization expense</w:t>
            </w:r>
          </w:p>
        </w:tc>
        <w:tc>
          <w:tcPr>
            <w:tcW w:w="12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124.2</w:t>
            </w: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128.3</w:t>
            </w: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113.9</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Accretion and other related expense</w:t>
            </w:r>
          </w:p>
        </w:tc>
        <w:tc>
          <w:tcPr>
            <w:tcW w:w="120" w:type="dxa"/>
            <w:vAlign w:val="bottom"/>
          </w:tcPr>
          <w:p>
            <w:pPr>
              <w:spacing w:after="0"/>
              <w:rPr>
                <w:sz w:val="18"/>
                <w:szCs w:val="18"/>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7180" w:type="dxa"/>
            <w:vAlign w:val="bottom"/>
            <w:shd w:val="clear" w:color="auto" w:fill="EEEEEE"/>
          </w:tcPr>
          <w:p>
            <w:pPr>
              <w:spacing w:after="0"/>
              <w:rPr>
                <w:sz w:val="20"/>
                <w:szCs w:val="20"/>
                <w:color w:val="auto"/>
              </w:rPr>
            </w:pPr>
            <w:r>
              <w:rPr>
                <w:rFonts w:ascii="Arial" w:cs="Arial" w:eastAsia="Arial" w:hAnsi="Arial"/>
                <w:sz w:val="18"/>
                <w:szCs w:val="18"/>
                <w:color w:val="auto"/>
              </w:rPr>
              <w:t>Landfill amortization, accretion and other related expense</w:t>
            </w:r>
          </w:p>
        </w:tc>
        <w:tc>
          <w:tcPr>
            <w:tcW w:w="1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138.5</w:t>
            </w:r>
          </w:p>
        </w:tc>
        <w:tc>
          <w:tcPr>
            <w:tcW w:w="16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141.3</w:t>
            </w: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125.7</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180" w:type="dxa"/>
            <w:vAlign w:val="bottom"/>
            <w:tcBorders>
              <w:top w:val="single" w:sz="8" w:color="EEEEEE"/>
            </w:tcBorders>
          </w:tcPr>
          <w:p>
            <w:pPr>
              <w:spacing w:after="0"/>
              <w:rPr>
                <w:sz w:val="3"/>
                <w:szCs w:val="3"/>
                <w:color w:val="auto"/>
              </w:rPr>
            </w:pPr>
          </w:p>
        </w:tc>
        <w:tc>
          <w:tcPr>
            <w:tcW w:w="120" w:type="dxa"/>
            <w:vAlign w:val="bottom"/>
            <w:tcBorders>
              <w:top w:val="single" w:sz="8" w:color="EEEEEE"/>
              <w:right w:val="single" w:sz="8" w:color="808080"/>
            </w:tcBorders>
          </w:tcPr>
          <w:p>
            <w:pPr>
              <w:spacing w:after="0"/>
              <w:rPr>
                <w:sz w:val="3"/>
                <w:szCs w:val="3"/>
                <w:color w:val="auto"/>
              </w:rPr>
            </w:pPr>
          </w:p>
        </w:tc>
        <w:tc>
          <w:tcPr>
            <w:tcW w:w="840" w:type="dxa"/>
            <w:vAlign w:val="bottom"/>
            <w:tcBorders>
              <w:top w:val="single" w:sz="8" w:color="808080"/>
            </w:tcBorders>
            <w:shd w:val="clear" w:color="auto" w:fill="808080"/>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380" w:type="dxa"/>
            <w:vAlign w:val="bottom"/>
            <w:tcBorders>
              <w:top w:val="single" w:sz="8" w:color="EEEEEE"/>
            </w:tcBorders>
          </w:tcPr>
          <w:p>
            <w:pPr>
              <w:spacing w:after="0"/>
              <w:rPr>
                <w:sz w:val="3"/>
                <w:szCs w:val="3"/>
                <w:color w:val="auto"/>
              </w:rPr>
            </w:pPr>
          </w:p>
        </w:tc>
        <w:tc>
          <w:tcPr>
            <w:tcW w:w="120" w:type="dxa"/>
            <w:vAlign w:val="bottom"/>
            <w:tcBorders>
              <w:top w:val="single" w:sz="8" w:color="EEEEEE"/>
              <w:right w:val="single" w:sz="8" w:color="808080"/>
            </w:tcBorders>
          </w:tcPr>
          <w:p>
            <w:pPr>
              <w:spacing w:after="0"/>
              <w:rPr>
                <w:sz w:val="3"/>
                <w:szCs w:val="3"/>
                <w:color w:val="auto"/>
              </w:rPr>
            </w:pPr>
          </w:p>
        </w:tc>
        <w:tc>
          <w:tcPr>
            <w:tcW w:w="860" w:type="dxa"/>
            <w:vAlign w:val="bottom"/>
            <w:tcBorders>
              <w:top w:val="single" w:sz="8" w:color="808080"/>
            </w:tcBorders>
            <w:shd w:val="clear" w:color="auto" w:fill="808080"/>
          </w:tcPr>
          <w:p>
            <w:pPr>
              <w:spacing w:after="0"/>
              <w:rPr>
                <w:sz w:val="3"/>
                <w:szCs w:val="3"/>
                <w:color w:val="auto"/>
              </w:rPr>
            </w:pPr>
          </w:p>
        </w:tc>
        <w:tc>
          <w:tcPr>
            <w:tcW w:w="180" w:type="dxa"/>
            <w:vAlign w:val="bottom"/>
            <w:tcBorders>
              <w:top w:val="single" w:sz="8" w:color="EEEEEE"/>
            </w:tcBorders>
          </w:tcPr>
          <w:p>
            <w:pPr>
              <w:spacing w:after="0"/>
              <w:rPr>
                <w:sz w:val="3"/>
                <w:szCs w:val="3"/>
                <w:color w:val="auto"/>
              </w:rPr>
            </w:pPr>
          </w:p>
        </w:tc>
        <w:tc>
          <w:tcPr>
            <w:tcW w:w="380" w:type="dxa"/>
            <w:vAlign w:val="bottom"/>
            <w:tcBorders>
              <w:top w:val="single" w:sz="8" w:color="EEEEEE"/>
            </w:tcBorders>
          </w:tcPr>
          <w:p>
            <w:pPr>
              <w:spacing w:after="0"/>
              <w:rPr>
                <w:sz w:val="3"/>
                <w:szCs w:val="3"/>
                <w:color w:val="auto"/>
              </w:rPr>
            </w:pPr>
          </w:p>
        </w:tc>
        <w:tc>
          <w:tcPr>
            <w:tcW w:w="120" w:type="dxa"/>
            <w:vAlign w:val="bottom"/>
            <w:tcBorders>
              <w:top w:val="single" w:sz="8" w:color="EEEEEE"/>
              <w:right w:val="single" w:sz="8" w:color="808080"/>
            </w:tcBorders>
          </w:tcPr>
          <w:p>
            <w:pPr>
              <w:spacing w:after="0"/>
              <w:rPr>
                <w:sz w:val="3"/>
                <w:szCs w:val="3"/>
                <w:color w:val="auto"/>
              </w:rPr>
            </w:pPr>
          </w:p>
        </w:tc>
        <w:tc>
          <w:tcPr>
            <w:tcW w:w="880" w:type="dxa"/>
            <w:vAlign w:val="bottom"/>
            <w:tcBorders>
              <w:top w:val="single" w:sz="8" w:color="808080"/>
            </w:tcBorders>
            <w:shd w:val="clear" w:color="auto" w:fill="808080"/>
          </w:tcPr>
          <w:p>
            <w:pPr>
              <w:spacing w:after="0"/>
              <w:rPr>
                <w:sz w:val="3"/>
                <w:szCs w:val="3"/>
                <w:color w:val="auto"/>
              </w:rPr>
            </w:pPr>
          </w:p>
        </w:tc>
        <w:tc>
          <w:tcPr>
            <w:tcW w:w="18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(a) Prior year information has been reclassified to conform to 2004 presentation.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931"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137795</wp:posOffset>
            </wp:positionV>
            <wp:extent cx="1646555" cy="5829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4655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Further Information: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Analysts</w:t>
      </w: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Cherie Rice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713.512.6548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Greg Nikkel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713.265.1358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Media</w:t>
      </w:r>
      <w:r>
        <w:rPr>
          <w:rFonts w:ascii="Arial" w:cs="Arial" w:eastAsia="Arial" w:hAnsi="Arial"/>
          <w:sz w:val="18"/>
          <w:szCs w:val="18"/>
          <w:b w:val="1"/>
          <w:bCs w:val="1"/>
          <w:color w:val="auto"/>
        </w:rPr>
        <w:t>:</w:t>
      </w:r>
    </w:p>
    <w:p>
      <w:pPr>
        <w:spacing w:after="0" w:line="9" w:lineRule="exact"/>
        <w:rPr>
          <w:sz w:val="20"/>
          <w:szCs w:val="20"/>
          <w:color w:val="auto"/>
        </w:rPr>
      </w:pPr>
    </w:p>
    <w:p>
      <w:pPr>
        <w:ind w:left="10260"/>
        <w:spacing w:after="0"/>
        <w:rPr>
          <w:sz w:val="20"/>
          <w:szCs w:val="20"/>
          <w:color w:val="auto"/>
        </w:rPr>
      </w:pPr>
      <w:r>
        <w:rPr>
          <w:rFonts w:ascii="Arial" w:cs="Arial" w:eastAsia="Arial" w:hAnsi="Arial"/>
          <w:sz w:val="15"/>
          <w:szCs w:val="15"/>
          <w:b w:val="1"/>
          <w:bCs w:val="1"/>
          <w:color w:val="auto"/>
        </w:rPr>
        <w:t>Sarah Simpson</w:t>
      </w:r>
    </w:p>
    <w:p>
      <w:pPr>
        <w:spacing w:after="0" w:line="44" w:lineRule="exact"/>
        <w:rPr>
          <w:sz w:val="20"/>
          <w:szCs w:val="20"/>
          <w:color w:val="auto"/>
        </w:rPr>
      </w:pPr>
    </w:p>
    <w:p>
      <w:pPr>
        <w:ind w:left="10440"/>
        <w:spacing w:after="0"/>
        <w:rPr>
          <w:sz w:val="20"/>
          <w:szCs w:val="20"/>
          <w:color w:val="auto"/>
        </w:rPr>
      </w:pPr>
      <w:r>
        <w:rPr>
          <w:rFonts w:ascii="Arial" w:cs="Arial" w:eastAsia="Arial" w:hAnsi="Arial"/>
          <w:sz w:val="16"/>
          <w:szCs w:val="16"/>
          <w:b w:val="1"/>
          <w:bCs w:val="1"/>
          <w:color w:val="auto"/>
        </w:rPr>
        <w:t>713.394.2154</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WMI #04-25</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Announces Plan to Increase Quarterly Dividend Payments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$0.80 per Share per Year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Three Year Capital Allocation Program Increases Cash Available for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Shareholders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$1.2 Billion in Cash to be Available for Increased Dividend Payments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Repurchases</w:t>
      </w:r>
    </w:p>
    <w:p>
      <w:pPr>
        <w:spacing w:after="0" w:line="18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HOUSTON – October 28, 2004 – </w:t>
      </w:r>
      <w:r>
        <w:rPr>
          <w:rFonts w:ascii="Arial" w:cs="Arial" w:eastAsia="Arial" w:hAnsi="Arial"/>
          <w:sz w:val="18"/>
          <w:szCs w:val="18"/>
          <w:color w:val="auto"/>
        </w:rPr>
        <w:t>Waste Management, Inc. (NYSE: WMI) today announced that its Board of Directors approved a new capital allocation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designed to benefit shareholders, that includes the authorization for up to $1.2 billion annually in cash dividends and common stock repurchases for each of the next three years. Beginning in the first quarter of 2005, the Company expects to increase its quarterly dividends to a total of $0.80 per share per year, which would be an increase of $0.05 per share per year compared to the dividends declared in 2004. Future quarterly dividends must first be declared by its Board of Directors prior to payment.</w:t>
      </w:r>
    </w:p>
    <w:p>
      <w:pPr>
        <w:spacing w:after="0" w:line="147"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As part of the new capital allocation program, the Board of Directors has authorized management to continue to make stock repurchases each year over the next three years in an amount not to exceed the $1.2 billion annually, less dividends paid. Based on the number of outstanding shares as of September 30, 2004, the Company expects to pay approximately $460 million in dividends on an annual basis. The amount of stock repurchased will also depend on a number of items, including capital expenditures and cash acquisition costs, two other key components of the capital allocation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353695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0" w:name="page21"/>
    <w:bookmarkEnd w:id="20"/>
    <w:p>
      <w:pPr>
        <w:ind w:right="100"/>
        <w:spacing w:after="0" w:line="312" w:lineRule="auto"/>
        <w:rPr>
          <w:sz w:val="20"/>
          <w:szCs w:val="20"/>
          <w:color w:val="auto"/>
        </w:rPr>
      </w:pPr>
      <w:r>
        <w:rPr>
          <w:rFonts w:ascii="Arial" w:cs="Arial" w:eastAsia="Arial" w:hAnsi="Arial"/>
          <w:sz w:val="16"/>
          <w:szCs w:val="16"/>
          <w:color w:val="auto"/>
        </w:rPr>
        <w:t>“This announcement reinforces our commitment to return free cash flow to our shareholders,” said David P. Steiner, Chief Executive Officer of Waste Management, Inc. “Waste Management continues to demonstrate its ability to generate consistent and strong cash flows from its operations and the Board of Directors and management continue to believe that a capital allocation program that benefits our shareholders is one of our most important mandates.</w:t>
      </w:r>
    </w:p>
    <w:p>
      <w:pPr>
        <w:spacing w:after="0" w:line="12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“Beginning in the first quarter of 2005, we expect to increase our quarterly dividend payment from the $0.1875 per share we paid in 2004 to $0.20 per share. At the current share price of approximately $27, this equates to an annual yield of nearly 3%. This dividend yield would continue to place Waste Management in the top 20% for dividend yield of the Standard and Poor’s 500 Index of companies,” Steiner said.</w:t>
      </w:r>
    </w:p>
    <w:p>
      <w:pPr>
        <w:spacing w:after="0" w:line="14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authorization for new share repurchases replaces our current three-year program, under which we have already bought back over 72 million shares, which represents 12% of the number of shares outstanding at the end of 2001.”</w:t>
      </w:r>
    </w:p>
    <w:p>
      <w:pPr>
        <w:spacing w:after="0" w:line="13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Waste Management, Inc. is its industry’s leading provider of comprehensive waste management and environmental services. Based in Houston, the Company serves municipal, commercial, industrial, and residential customers throughout North America.</w:t>
      </w:r>
    </w:p>
    <w:p>
      <w:pPr>
        <w:spacing w:after="0" w:line="14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i w:val="1"/>
          <w:iCs w:val="1"/>
          <w:color w:val="auto"/>
        </w:rPr>
        <w:t>Certain statements contained in this press release include statements that are “forward-looking statements.” Outlined below are some of the risks that the Company faces and that could affect our financial statements for 2004 and beyond and that could cause actual results to be materially different from those that may be set forth in forward-looking statements made by the Company. However, they are not the only risks that the Company faces. There may be additional risks that we do not presently know or that we currently believe are immaterial which could also impair our business. We caution you not to place undue reliance on these forward-looking statements, which speak only as of their dates. We undertake no obligation to publicly update or revise any forward-looking statements, whether as a result of new information, future events or otherwise. In addition, the Company, from time to time, provides estimates of financial and other data relating to future periods. Such estimates and other information are the Company’s expectations at the point in time of issuance but may change at some future point in time. By issuing such estimates the Company has no obligation, and is not undertaking any obligation, to update such estimates or provide any other information relating to such estimates. The following are some of the risks we face:</w:t>
      </w:r>
    </w:p>
    <w:p>
      <w:pPr>
        <w:spacing w:after="0" w:line="167" w:lineRule="exact"/>
        <w:rPr>
          <w:sz w:val="20"/>
          <w:szCs w:val="20"/>
          <w:color w:val="auto"/>
        </w:rPr>
      </w:pPr>
    </w:p>
    <w:p>
      <w:pPr>
        <w:ind w:left="900" w:right="32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effects competition may have on our profitability or cash flows, including the negative impact to our yield on base business resulting from price roll-backs and lower than average pricing to retain and attract customers;</w:t>
      </w:r>
    </w:p>
    <w:p>
      <w:pPr>
        <w:spacing w:after="0" w:line="17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our inability to maintain or expand margins as volumes increase if we are unable to control variable costs or our fixed cost base increases;</w:t>
      </w:r>
    </w:p>
    <w:p>
      <w:pPr>
        <w:spacing w:after="0" w:line="236" w:lineRule="exact"/>
        <w:rPr>
          <w:rFonts w:ascii="Arial" w:cs="Arial" w:eastAsia="Arial" w:hAnsi="Arial"/>
          <w:sz w:val="17"/>
          <w:szCs w:val="17"/>
          <w:color w:val="auto"/>
        </w:rPr>
      </w:pPr>
    </w:p>
    <w:p>
      <w:pPr>
        <w:ind w:left="900" w:right="520" w:hanging="446"/>
        <w:spacing w:after="0" w:line="34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increases in employee-related costs and expenses, including health care and other employee benefits such as unemployment insurance and workers’ compensation, as well as the costs and expenses associated with attracting and retaining qualified personnel;</w:t>
      </w:r>
    </w:p>
    <w:p>
      <w:pPr>
        <w:spacing w:after="0" w:line="123"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possible increases in expenses due to fuel price increases or fuel supply shortages;</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effect that fluctuating commodity prices may have on our operating revenues and expenses;</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general effects of a weak economy, including the resulting decreases in volumes of waste generated;</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effect the weather has on our quarter to quarter results, as well as the effect of extremely harsh weather on our operations;</w:t>
      </w:r>
    </w:p>
    <w:p>
      <w:pPr>
        <w:spacing w:after="0" w:line="22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possible changes in our estimates of site remediation requirements, final capping, closure and post-closure obligations, compliance and regulatory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1" w:name="page22"/>
    <w:bookmarkEnd w:id="21"/>
    <w:p>
      <w:pPr>
        <w:ind w:left="446" w:right="620" w:hanging="446"/>
        <w:spacing w:after="0" w:line="308" w:lineRule="auto"/>
        <w:tabs>
          <w:tab w:leader="none" w:pos="446"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the possible impact of regulations on our business, including the cost to comply with regulatory requirements and the potential liabilities associated with disposal operations, as well as our ability to obtain and maintain permits needed to operate our facilities;</w:t>
      </w:r>
    </w:p>
    <w:p>
      <w:pPr>
        <w:spacing w:after="0" w:line="146" w:lineRule="exact"/>
        <w:rPr>
          <w:rFonts w:ascii="Arial" w:cs="Arial" w:eastAsia="Arial" w:hAnsi="Arial"/>
          <w:sz w:val="17"/>
          <w:szCs w:val="17"/>
          <w:color w:val="auto"/>
        </w:rPr>
      </w:pPr>
    </w:p>
    <w:p>
      <w:pPr>
        <w:ind w:left="446" w:hanging="446"/>
        <w:spacing w:after="0"/>
        <w:tabs>
          <w:tab w:leader="none" w:pos="446"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effect of limitations or bans on disposal or transportation of out-of-state waste or certain categories of waste;</w:t>
      </w:r>
    </w:p>
    <w:p>
      <w:pPr>
        <w:spacing w:after="0" w:line="225" w:lineRule="exact"/>
        <w:rPr>
          <w:rFonts w:ascii="Arial" w:cs="Arial" w:eastAsia="Arial" w:hAnsi="Arial"/>
          <w:sz w:val="18"/>
          <w:szCs w:val="18"/>
          <w:color w:val="auto"/>
        </w:rPr>
      </w:pPr>
    </w:p>
    <w:p>
      <w:pPr>
        <w:ind w:left="446" w:hanging="446"/>
        <w:spacing w:after="0"/>
        <w:tabs>
          <w:tab w:leader="none" w:pos="446"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possible charges against earnings as a result of shut-down operations, uncompleted development or expansion projects or other events;</w:t>
      </w:r>
    </w:p>
    <w:p>
      <w:pPr>
        <w:spacing w:after="0" w:line="236" w:lineRule="exact"/>
        <w:rPr>
          <w:rFonts w:ascii="Arial" w:cs="Arial" w:eastAsia="Arial" w:hAnsi="Arial"/>
          <w:sz w:val="17"/>
          <w:szCs w:val="17"/>
          <w:color w:val="auto"/>
        </w:rPr>
      </w:pPr>
    </w:p>
    <w:p>
      <w:pPr>
        <w:ind w:left="446" w:hanging="446"/>
        <w:spacing w:after="0" w:line="277" w:lineRule="auto"/>
        <w:tabs>
          <w:tab w:leader="none" w:pos="446"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effects that trends toward requiring recycling, waste reduction at the source and prohibiting the disposal of certain types of wastes could have on volumes of waste going to landfills and waste-to-energy facilities;</w:t>
      </w:r>
    </w:p>
    <w:p>
      <w:pPr>
        <w:spacing w:after="0" w:line="170" w:lineRule="exact"/>
        <w:rPr>
          <w:rFonts w:ascii="Arial" w:cs="Arial" w:eastAsia="Arial" w:hAnsi="Arial"/>
          <w:sz w:val="18"/>
          <w:szCs w:val="18"/>
          <w:color w:val="auto"/>
        </w:rPr>
      </w:pPr>
    </w:p>
    <w:p>
      <w:pPr>
        <w:ind w:left="446" w:hanging="446"/>
        <w:spacing w:after="0"/>
        <w:tabs>
          <w:tab w:leader="none" w:pos="446"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possible diversions of management’s attention and increases in operating expenses due to efforts by labor unions to organize our employees;</w:t>
      </w:r>
    </w:p>
    <w:p>
      <w:pPr>
        <w:spacing w:after="0" w:line="248" w:lineRule="exact"/>
        <w:rPr>
          <w:rFonts w:ascii="Arial" w:cs="Arial" w:eastAsia="Arial" w:hAnsi="Arial"/>
          <w:sz w:val="16"/>
          <w:szCs w:val="16"/>
          <w:color w:val="auto"/>
        </w:rPr>
      </w:pPr>
    </w:p>
    <w:p>
      <w:pPr>
        <w:ind w:left="446" w:hanging="446"/>
        <w:spacing w:after="0"/>
        <w:tabs>
          <w:tab w:leader="none" w:pos="446"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outcome of litigation or threatened litigation;</w:t>
      </w:r>
    </w:p>
    <w:p>
      <w:pPr>
        <w:spacing w:after="0" w:line="225" w:lineRule="exact"/>
        <w:rPr>
          <w:rFonts w:ascii="Arial" w:cs="Arial" w:eastAsia="Arial" w:hAnsi="Arial"/>
          <w:sz w:val="18"/>
          <w:szCs w:val="18"/>
          <w:color w:val="auto"/>
        </w:rPr>
      </w:pPr>
    </w:p>
    <w:p>
      <w:pPr>
        <w:ind w:left="446" w:right="140" w:hanging="446"/>
        <w:spacing w:after="0" w:line="277" w:lineRule="auto"/>
        <w:tabs>
          <w:tab w:leader="none" w:pos="446"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need for additional capital if cash flows are less than we expect or capital expenditures are more than we expect, and the possibility that we cannot obtain additional capital on acceptable terms if needed;</w:t>
      </w:r>
    </w:p>
    <w:p>
      <w:pPr>
        <w:spacing w:after="0" w:line="170" w:lineRule="exact"/>
        <w:rPr>
          <w:rFonts w:ascii="Arial" w:cs="Arial" w:eastAsia="Arial" w:hAnsi="Arial"/>
          <w:sz w:val="18"/>
          <w:szCs w:val="18"/>
          <w:color w:val="auto"/>
        </w:rPr>
      </w:pPr>
    </w:p>
    <w:p>
      <w:pPr>
        <w:ind w:left="446" w:hanging="446"/>
        <w:spacing w:after="0"/>
        <w:tabs>
          <w:tab w:leader="none" w:pos="446"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possible errors or problems upon implementation of new information technology systems; and</w:t>
      </w:r>
    </w:p>
    <w:p>
      <w:pPr>
        <w:spacing w:after="0" w:line="225" w:lineRule="exact"/>
        <w:rPr>
          <w:rFonts w:ascii="Arial" w:cs="Arial" w:eastAsia="Arial" w:hAnsi="Arial"/>
          <w:sz w:val="18"/>
          <w:szCs w:val="18"/>
          <w:color w:val="auto"/>
        </w:rPr>
      </w:pPr>
    </w:p>
    <w:p>
      <w:pPr>
        <w:ind w:left="446" w:right="680" w:hanging="446"/>
        <w:spacing w:after="0" w:line="277" w:lineRule="auto"/>
        <w:tabs>
          <w:tab w:leader="none" w:pos="446"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possible fluctuations in quarterly results of operations or adverse impacts on our results of operations as a result of the adoption of new accounting standards or interpretations.</w:t>
      </w:r>
    </w:p>
    <w:p>
      <w:pPr>
        <w:spacing w:after="0" w:line="170" w:lineRule="exact"/>
        <w:rPr>
          <w:sz w:val="20"/>
          <w:szCs w:val="20"/>
          <w:color w:val="auto"/>
        </w:rPr>
      </w:pPr>
    </w:p>
    <w:p>
      <w:pPr>
        <w:ind w:left="6" w:right="180"/>
        <w:spacing w:after="0" w:line="264" w:lineRule="auto"/>
        <w:rPr>
          <w:sz w:val="20"/>
          <w:szCs w:val="20"/>
          <w:color w:val="auto"/>
        </w:rPr>
      </w:pPr>
      <w:r>
        <w:rPr>
          <w:rFonts w:ascii="Arial" w:cs="Arial" w:eastAsia="Arial" w:hAnsi="Arial"/>
          <w:sz w:val="18"/>
          <w:szCs w:val="18"/>
          <w:i w:val="1"/>
          <w:iCs w:val="1"/>
          <w:color w:val="auto"/>
        </w:rPr>
        <w:t>Additional information regarding these and/or other factors that could materially affect results and the accuracy of the forward-looking statements contained herein may be found in Part I, Item 1 of the Company’s Annual Report on Form 10-K for the year ended December 31, 2003 and Part II of the Company’s Quarterly Report on Form 10-Q for the quarter ended June 30, 2004.</w:t>
      </w:r>
    </w:p>
    <w:p>
      <w:pPr>
        <w:spacing w:after="0" w:line="154" w:lineRule="exact"/>
        <w:rPr>
          <w:sz w:val="20"/>
          <w:szCs w:val="20"/>
          <w:color w:val="auto"/>
        </w:rPr>
      </w:pPr>
    </w:p>
    <w:p>
      <w:pPr>
        <w:jc w:val="center"/>
        <w:ind w:right="394"/>
        <w:spacing w:after="0"/>
        <w:rPr>
          <w:sz w:val="20"/>
          <w:szCs w:val="20"/>
          <w:color w:val="auto"/>
        </w:rPr>
      </w:pPr>
      <w:r>
        <w:rPr>
          <w:rFonts w:ascii="Arial" w:cs="Arial" w:eastAsia="Arial" w:hAnsi="Arial"/>
          <w:sz w:val="18"/>
          <w:szCs w:val="18"/>
          <w:i w:val="1"/>
          <w:iCs w:val="1"/>
          <w:color w:val="auto"/>
        </w:rPr>
        <w:t>####</w:t>
      </w:r>
    </w:p>
    <w:sectPr>
      <w:pgSz w:w="11900" w:h="16838" w:orient="portrait"/>
      <w:cols w:equalWidth="0" w:num="1">
        <w:col w:w="10926"/>
      </w:cols>
      <w:pgMar w:left="694" w:top="93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2)"/>
      <w:numFmt w:val="lowerLetter"/>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2019-12-20T04:06:52Z</dcterms:created>
  <dcterms:modified xsi:type="dcterms:W3CDTF">2019-12-20T04:06:52Z</dcterms:modified>
</cp:coreProperties>
</file>