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3,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9"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80" w:space="720"/>
            <w:col w:w="2720" w:space="720"/>
            <w:col w:w="3100"/>
          </w:cols>
          <w:pgMar w:left="320" w:top="760" w:right="339" w:bottom="1440" w:gutter="0" w:footer="0" w:header="0"/>
          <w:type w:val="continuous"/>
        </w:sectPr>
      </w:pPr>
    </w:p>
    <w:p>
      <w:pPr>
        <w:spacing w:after="0" w:line="34" w:lineRule="exact"/>
        <w:rPr>
          <w:sz w:val="24"/>
          <w:szCs w:val="24"/>
          <w:color w:val="auto"/>
        </w:rPr>
      </w:pPr>
    </w:p>
    <w:p>
      <w:pPr>
        <w:ind w:left="1280" w:right="2320" w:firstLine="482"/>
        <w:spacing w:after="0" w:line="277" w:lineRule="auto"/>
        <w:rPr>
          <w:sz w:val="20"/>
          <w:szCs w:val="20"/>
          <w:color w:val="auto"/>
        </w:rPr>
      </w:pPr>
      <w:r>
        <w:rPr>
          <w:rFonts w:ascii="Arial" w:cs="Arial" w:eastAsia="Arial" w:hAnsi="Arial"/>
          <w:sz w:val="18"/>
          <w:szCs w:val="18"/>
          <w:color w:val="auto"/>
        </w:rPr>
        <w:t xml:space="preserve">1001 Fannin,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240"/>
          </w:cols>
          <w:pgMar w:left="320" w:top="760" w:right="339" w:bottom="1440" w:gutter="0" w:footer="0" w:header="0"/>
          <w:type w:val="continuous"/>
        </w:sectPr>
      </w:pP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November 3, 2020, Waste Management, Inc. (the “Company”) announced that it will redeem the entire outstanding principal amount of its 4.60% Senior Notes due 2021 (the “Notes”). The redemption date for the Notes is December 3, 2020 (the “Redemption Date”). The aggregate principal amount of the Notes outstanding is $400 million. The redemption price for the Notes is equal to 100% of the aggregate principal amount of the Notes, plus accrued and unpaid interest on the Notes to, but not including, the Redemption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This filing contains forward-looking statements that involve risks and uncertainties. Factors that could cause actual results to differ materially from those expressed or implied by the forward-looking statements in this filing are discussed in the Company’s most recent Annual Report on Form 10-K and subsequent reports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400" w:type="dxa"/>
            <w:vAlign w:val="bottom"/>
            <w:gridSpan w:val="2"/>
          </w:tcPr>
          <w:p>
            <w:pPr>
              <w:ind w:left="1900"/>
              <w:spacing w:after="0"/>
              <w:rPr>
                <w:sz w:val="20"/>
                <w:szCs w:val="20"/>
                <w:color w:val="auto"/>
              </w:rPr>
            </w:pPr>
            <w:r>
              <w:rPr>
                <w:rFonts w:ascii="Arial" w:cs="Arial" w:eastAsia="Arial" w:hAnsi="Arial"/>
                <w:sz w:val="18"/>
                <w:szCs w:val="18"/>
                <w:color w:val="auto"/>
              </w:rPr>
              <w:t>WASTE MANAGEMENT, INC.</w:t>
            </w:r>
          </w:p>
        </w:tc>
      </w:tr>
      <w:tr>
        <w:trPr>
          <w:trHeight w:val="648"/>
        </w:trPr>
        <w:tc>
          <w:tcPr>
            <w:tcW w:w="3840" w:type="dxa"/>
            <w:vAlign w:val="bottom"/>
          </w:tcPr>
          <w:p>
            <w:pPr>
              <w:spacing w:after="0"/>
              <w:rPr>
                <w:sz w:val="20"/>
                <w:szCs w:val="20"/>
                <w:color w:val="auto"/>
              </w:rPr>
            </w:pPr>
            <w:r>
              <w:rPr>
                <w:rFonts w:ascii="Arial" w:cs="Arial" w:eastAsia="Arial" w:hAnsi="Arial"/>
                <w:sz w:val="18"/>
                <w:szCs w:val="18"/>
                <w:color w:val="auto"/>
              </w:rPr>
              <w:t>Date:  November 3, 2020</w:t>
            </w:r>
          </w:p>
        </w:tc>
        <w:tc>
          <w:tcPr>
            <w:tcW w:w="7400" w:type="dxa"/>
            <w:vAlign w:val="bottom"/>
            <w:gridSpan w:val="2"/>
          </w:tcPr>
          <w:p>
            <w:pPr>
              <w:ind w:left="1900"/>
              <w:spacing w:after="0"/>
              <w:rPr>
                <w:sz w:val="20"/>
                <w:szCs w:val="20"/>
                <w:color w:val="auto"/>
              </w:rPr>
            </w:pPr>
            <w:r>
              <w:rPr>
                <w:rFonts w:ascii="Arial" w:cs="Arial" w:eastAsia="Arial" w:hAnsi="Arial"/>
                <w:sz w:val="18"/>
                <w:szCs w:val="18"/>
                <w:color w:val="auto"/>
                <w:w w:val="91"/>
              </w:rPr>
              <w:t>By:</w:t>
            </w:r>
            <w:r>
              <w:rPr>
                <w:rFonts w:ascii="Arial" w:cs="Arial" w:eastAsia="Arial" w:hAnsi="Arial"/>
                <w:sz w:val="18"/>
                <w:szCs w:val="18"/>
                <w:i w:val="1"/>
                <w:iCs w:val="1"/>
                <w:color w:val="auto"/>
                <w:w w:val="91"/>
              </w:rPr>
              <w:t>/s/ Charles C. Boettcher</w:t>
            </w:r>
          </w:p>
        </w:tc>
      </w:tr>
      <w:tr>
        <w:trPr>
          <w:trHeight w:val="195"/>
        </w:trPr>
        <w:tc>
          <w:tcPr>
            <w:tcW w:w="38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Corporate</w:t>
            </w:r>
          </w:p>
        </w:tc>
      </w:tr>
      <w:tr>
        <w:trPr>
          <w:trHeight w:val="230"/>
        </w:trPr>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Development and Chief Legal Officer</w:t>
            </w:r>
          </w:p>
        </w:tc>
      </w:tr>
      <w:tr>
        <w:trPr>
          <w:trHeight w:val="675"/>
        </w:trPr>
        <w:tc>
          <w:tcPr>
            <w:tcW w:w="38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2020-11-03T15:54:36Z</dcterms:created>
  <dcterms:modified xsi:type="dcterms:W3CDTF">2020-11-03T15:54:36Z</dcterms:modified>
</cp:coreProperties>
</file>