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04" w:lineRule="exact"/>
        <w:rPr>
          <w:sz w:val="24"/>
          <w:szCs w:val="24"/>
          <w:color w:val="auto"/>
        </w:rPr>
      </w:pPr>
    </w:p>
    <w:p>
      <w:pPr>
        <w:ind w:left="480" w:right="120" w:hanging="337"/>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480" w:right="100" w:hanging="337"/>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480"/>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b w:val="1"/>
                <w:bCs w:val="1"/>
                <w:color w:val="auto"/>
                <w:w w:val="89"/>
              </w:rPr>
              <w:t>73-1309529</w:t>
            </w:r>
          </w:p>
        </w:tc>
      </w:tr>
      <w:tr>
        <w:trPr>
          <w:trHeight w:val="189"/>
        </w:trPr>
        <w:tc>
          <w:tcPr>
            <w:tcW w:w="20" w:type="dxa"/>
            <w:vAlign w:val="bottom"/>
          </w:tcPr>
          <w:p>
            <w:pPr>
              <w:spacing w:after="0"/>
              <w:rPr>
                <w:sz w:val="16"/>
                <w:szCs w:val="16"/>
                <w:color w:val="auto"/>
              </w:rPr>
            </w:pPr>
          </w:p>
        </w:tc>
        <w:tc>
          <w:tcPr>
            <w:tcW w:w="3680" w:type="dxa"/>
            <w:vAlign w:val="bottom"/>
            <w:gridSpan w:val="3"/>
          </w:tcPr>
          <w:p>
            <w:pPr>
              <w:jc w:val="center"/>
              <w:ind w:left="1356"/>
              <w:spacing w:after="0" w:line="189" w:lineRule="exact"/>
              <w:rPr>
                <w:sz w:val="20"/>
                <w:szCs w:val="20"/>
                <w:color w:val="auto"/>
              </w:rPr>
            </w:pPr>
            <w:r>
              <w:rPr>
                <w:rFonts w:ascii="Arial" w:cs="Arial" w:eastAsia="Arial" w:hAnsi="Arial"/>
                <w:sz w:val="18"/>
                <w:szCs w:val="18"/>
                <w:i w:val="1"/>
                <w:iCs w:val="1"/>
                <w:color w:val="auto"/>
                <w:w w:val="94"/>
              </w:rPr>
              <w:t>(State or other jurisdiction of</w:t>
            </w:r>
          </w:p>
        </w:tc>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tcPr>
          <w:p>
            <w:pPr>
              <w:jc w:val="center"/>
              <w:ind w:right="1797"/>
              <w:spacing w:after="0" w:line="189"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20" w:type="dxa"/>
            <w:vAlign w:val="bottom"/>
          </w:tcPr>
          <w:p>
            <w:pPr>
              <w:spacing w:after="0"/>
              <w:rPr>
                <w:sz w:val="20"/>
                <w:szCs w:val="20"/>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i w:val="1"/>
                <w:iCs w:val="1"/>
                <w:color w:val="auto"/>
                <w:w w:val="95"/>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i w:val="1"/>
                <w:iCs w:val="1"/>
                <w:color w:val="auto"/>
                <w:w w:val="95"/>
              </w:rPr>
              <w:t>Identification No.)</w:t>
            </w:r>
          </w:p>
        </w:tc>
      </w:tr>
      <w:tr>
        <w:trPr>
          <w:trHeight w:val="306"/>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800 Capitol Street</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Suite 3000</w:t>
            </w:r>
          </w:p>
        </w:tc>
        <w:tc>
          <w:tcPr>
            <w:tcW w:w="320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7"/>
              </w:rPr>
              <w:t>Houston, Texas 77002</w:t>
            </w:r>
          </w:p>
        </w:tc>
        <w:tc>
          <w:tcPr>
            <w:tcW w:w="3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jc w:val="center"/>
              <w:ind w:right="52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3200" w:type="dxa"/>
            <w:vAlign w:val="bottom"/>
          </w:tcPr>
          <w:p>
            <w:pPr>
              <w:spacing w:after="0"/>
              <w:rPr>
                <w:sz w:val="20"/>
                <w:szCs w:val="20"/>
                <w:color w:val="auto"/>
              </w:rPr>
            </w:pPr>
          </w:p>
        </w:tc>
      </w:tr>
      <w:tr>
        <w:trPr>
          <w:trHeight w:val="32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55"/>
              <w:spacing w:after="0"/>
              <w:rPr>
                <w:sz w:val="20"/>
                <w:szCs w:val="20"/>
                <w:color w:val="auto"/>
              </w:rPr>
            </w:pPr>
            <w:r>
              <w:rPr>
                <w:rFonts w:ascii="Arial" w:cs="Arial" w:eastAsia="Arial" w:hAnsi="Arial"/>
                <w:sz w:val="18"/>
                <w:szCs w:val="18"/>
                <w:b w:val="1"/>
                <w:bCs w:val="1"/>
                <w:color w:val="auto"/>
                <w:w w:val="90"/>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7000" w:type="dxa"/>
            <w:vAlign w:val="bottom"/>
            <w:gridSpan w:val="6"/>
          </w:tcPr>
          <w:p>
            <w:pPr>
              <w:jc w:val="center"/>
              <w:ind w:left="3096"/>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3200" w:type="dxa"/>
            <w:vAlign w:val="bottom"/>
          </w:tcPr>
          <w:p>
            <w:pPr>
              <w:spacing w:after="0"/>
              <w:rPr>
                <w:sz w:val="20"/>
                <w:szCs w:val="20"/>
                <w:color w:val="auto"/>
              </w:rPr>
            </w:pPr>
          </w:p>
        </w:tc>
      </w:tr>
      <w:tr>
        <w:trPr>
          <w:trHeight w:val="338"/>
        </w:trPr>
        <w:tc>
          <w:tcPr>
            <w:tcW w:w="702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Trading Symbol</w:t>
            </w:r>
          </w:p>
        </w:tc>
        <w:tc>
          <w:tcPr>
            <w:tcW w:w="3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Arial" w:cs="Arial" w:eastAsia="Arial" w:hAnsi="Arial"/>
                <w:sz w:val="14"/>
                <w:szCs w:val="14"/>
                <w:color w:val="auto"/>
                <w:w w:val="94"/>
              </w:rPr>
              <w:t>New York Stock Exchange</w:t>
            </w:r>
          </w:p>
        </w:tc>
      </w:tr>
    </w:tbl>
    <w:p>
      <w:pPr>
        <w:spacing w:after="0" w:line="7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900" w:right="839" w:bottom="1440" w:gutter="0" w:footer="0" w:header="0"/>
        </w:sectPr>
      </w:pP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2">
            <w:col w:w="7320" w:space="720"/>
            <w:col w:w="2180"/>
          </w:cols>
          <w:pgMar w:left="840" w:top="900" w:right="839" w:bottom="1440" w:gutter="0" w:footer="0" w:header="0"/>
          <w:type w:val="continuous"/>
        </w:sect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tabs>
          <w:tab w:leader="none" w:pos="75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July 22, 2021 was 421,098,975 (excluding treasury shares of 209,183,486).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468630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57150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91440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900" w:right="8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304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rPr>
                <w:sz w:val="20"/>
                <w:szCs w:val="20"/>
                <w:color w:val="auto"/>
              </w:rPr>
            </w:pPr>
            <w:r>
              <w:rPr>
                <w:rFonts w:ascii="Arial" w:cs="Arial" w:eastAsia="Arial" w:hAnsi="Arial"/>
                <w:sz w:val="17"/>
                <w:szCs w:val="17"/>
                <w:color w:val="auto"/>
                <w:w w:val="99"/>
              </w:rPr>
              <w:t>Accounts receivable, net of allowance for doubtful accounts of $26 and $33, respectively</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2,195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2,097</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receivables, net of allowance for doubtful accounts of $9 and $7, respectively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rPr>
                <w:sz w:val="20"/>
                <w:szCs w:val="20"/>
                <w:color w:val="auto"/>
              </w:rPr>
            </w:pPr>
            <w:r>
              <w:rPr>
                <w:rFonts w:ascii="Arial" w:cs="Arial" w:eastAsia="Arial" w:hAnsi="Arial"/>
                <w:sz w:val="17"/>
                <w:szCs w:val="17"/>
                <w:color w:val="auto"/>
              </w:rPr>
              <w:t>Parts and supplies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196"/>
        </w:trPr>
        <w:tc>
          <w:tcPr>
            <w:tcW w:w="676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3,540</w:t>
            </w:r>
          </w:p>
        </w:tc>
        <w:tc>
          <w:tcPr>
            <w:tcW w:w="0" w:type="dxa"/>
            <w:vAlign w:val="bottom"/>
          </w:tcPr>
          <w:p>
            <w:pPr>
              <w:spacing w:after="0"/>
              <w:rPr>
                <w:sz w:val="1"/>
                <w:szCs w:val="1"/>
                <w:color w:val="auto"/>
              </w:rPr>
            </w:pPr>
          </w:p>
        </w:tc>
      </w:tr>
      <w:tr>
        <w:trPr>
          <w:trHeight w:val="185"/>
        </w:trPr>
        <w:tc>
          <w:tcPr>
            <w:tcW w:w="67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9"/>
              </w:rPr>
              <w:t>Property and equipment, net of accumulated depreciation and amortization of $19,995 and</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$19,337, respectively</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14,148</w:t>
            </w: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8,992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8,994</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7"/>
                <w:szCs w:val="17"/>
                <w:color w:val="auto"/>
              </w:rPr>
              <w:t>Restricted trust and escrow accounts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entities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29,037</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29,345</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2260"/>
              <w:spacing w:after="0"/>
              <w:rPr>
                <w:sz w:val="20"/>
                <w:szCs w:val="20"/>
                <w:color w:val="auto"/>
              </w:rPr>
            </w:pPr>
            <w:r>
              <w:rPr>
                <w:rFonts w:ascii="Arial" w:cs="Arial" w:eastAsia="Arial" w:hAnsi="Arial"/>
                <w:sz w:val="17"/>
                <w:szCs w:val="17"/>
                <w:b w:val="1"/>
                <w:bCs w:val="1"/>
                <w:color w:val="auto"/>
              </w:rPr>
              <w:t>LIABILITIES AND EQUITY</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rPr>
                <w:sz w:val="20"/>
                <w:szCs w:val="20"/>
                <w:color w:val="auto"/>
              </w:rPr>
            </w:pPr>
            <w:r>
              <w:rPr>
                <w:rFonts w:ascii="Arial" w:cs="Arial" w:eastAsia="Arial" w:hAnsi="Arial"/>
                <w:sz w:val="17"/>
                <w:szCs w:val="17"/>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1,393</w:t>
            </w:r>
          </w:p>
        </w:tc>
        <w:tc>
          <w:tcPr>
            <w:tcW w:w="4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1,121</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w:t>
            </w: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rPr>
                <w:sz w:val="20"/>
                <w:szCs w:val="20"/>
                <w:color w:val="auto"/>
              </w:rPr>
            </w:pPr>
            <w:r>
              <w:rPr>
                <w:rFonts w:ascii="Arial" w:cs="Arial" w:eastAsia="Arial" w:hAnsi="Arial"/>
                <w:sz w:val="17"/>
                <w:szCs w:val="17"/>
                <w:color w:val="auto"/>
              </w:rPr>
              <w:t>Deferred revenues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557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long-term debt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196"/>
        </w:trPr>
        <w:tc>
          <w:tcPr>
            <w:tcW w:w="6760" w:type="dxa"/>
            <w:vAlign w:val="bottom"/>
          </w:tcPr>
          <w:p>
            <w:pPr>
              <w:ind w:left="220"/>
              <w:spacing w:after="0"/>
              <w:rPr>
                <w:sz w:val="20"/>
                <w:szCs w:val="20"/>
                <w:color w:val="auto"/>
              </w:rPr>
            </w:pPr>
            <w:r>
              <w:rPr>
                <w:rFonts w:ascii="Arial" w:cs="Arial" w:eastAsia="Arial" w:hAnsi="Arial"/>
                <w:sz w:val="17"/>
                <w:szCs w:val="17"/>
                <w:color w:val="auto"/>
              </w:rPr>
              <w:t>Total current liabilities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3,683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3,553</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13,259</w:t>
            </w: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7"/>
                <w:szCs w:val="17"/>
                <w:color w:val="auto"/>
              </w:rPr>
              <w:t>Deferred income taxes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1,744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1,806</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Landfill and environmental remediation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liabilities</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liabilities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21,683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21,891</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20"/>
                <w:szCs w:val="20"/>
                <w:color w:val="auto"/>
              </w:rPr>
            </w:pPr>
            <w:r>
              <w:rPr>
                <w:rFonts w:ascii="Arial" w:cs="Arial" w:eastAsia="Arial" w:hAnsi="Arial"/>
                <w:sz w:val="17"/>
                <w:szCs w:val="17"/>
                <w:color w:val="auto"/>
              </w:rPr>
              <w:t>Commitments and contingencies (Note 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rPr>
                <w:sz w:val="20"/>
                <w:szCs w:val="20"/>
                <w:color w:val="auto"/>
              </w:rPr>
            </w:pPr>
            <w:r>
              <w:rPr>
                <w:rFonts w:ascii="Arial" w:cs="Arial" w:eastAsia="Arial" w:hAnsi="Arial"/>
                <w:sz w:val="17"/>
                <w:szCs w:val="17"/>
                <w:color w:val="auto"/>
              </w:rPr>
              <w:t>Waste Management, Inc. stockholders’ equity:</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1"/>
              </w:rPr>
              <w:t>Common stock, $0.01 par value; 1,500,000,000 shares authorized; 630,282,461 shares issued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3"/>
        </w:trPr>
        <w:tc>
          <w:tcPr>
            <w:tcW w:w="676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5,104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5,129</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11,159</w:t>
            </w:r>
          </w:p>
        </w:tc>
        <w:tc>
          <w:tcPr>
            <w:tcW w:w="0" w:type="dxa"/>
            <w:vAlign w:val="bottom"/>
          </w:tcPr>
          <w:p>
            <w:pPr>
              <w:spacing w:after="0"/>
              <w:rPr>
                <w:sz w:val="1"/>
                <w:szCs w:val="1"/>
                <w:color w:val="auto"/>
              </w:rPr>
            </w:pPr>
          </w:p>
        </w:tc>
      </w:tr>
      <w:tr>
        <w:trPr>
          <w:trHeight w:val="203"/>
        </w:trPr>
        <w:tc>
          <w:tcPr>
            <w:tcW w:w="6760" w:type="dxa"/>
            <w:vAlign w:val="bottom"/>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at cost, 209,467,208 and 207,480,827 shares, respectively</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(9,272)</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(8,881)</w:t>
            </w:r>
          </w:p>
        </w:tc>
        <w:tc>
          <w:tcPr>
            <w:tcW w:w="0" w:type="dxa"/>
            <w:vAlign w:val="bottom"/>
          </w:tcPr>
          <w:p>
            <w:pPr>
              <w:spacing w:after="0"/>
              <w:rPr>
                <w:sz w:val="1"/>
                <w:szCs w:val="1"/>
                <w:color w:val="auto"/>
              </w:rPr>
            </w:pPr>
          </w:p>
        </w:tc>
      </w:tr>
      <w:tr>
        <w:trPr>
          <w:trHeight w:val="196"/>
        </w:trPr>
        <w:tc>
          <w:tcPr>
            <w:tcW w:w="6760" w:type="dxa"/>
            <w:vAlign w:val="bottom"/>
          </w:tcPr>
          <w:p>
            <w:pPr>
              <w:ind w:left="320"/>
              <w:spacing w:after="0"/>
              <w:rPr>
                <w:sz w:val="20"/>
                <w:szCs w:val="20"/>
                <w:color w:val="auto"/>
              </w:rPr>
            </w:pPr>
            <w:r>
              <w:rPr>
                <w:rFonts w:ascii="Arial" w:cs="Arial" w:eastAsia="Arial" w:hAnsi="Arial"/>
                <w:sz w:val="17"/>
                <w:szCs w:val="17"/>
                <w:color w:val="auto"/>
              </w:rPr>
              <w:t>Total Waste Management, Inc. stockholders’ equity</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7,352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7,452</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Noncontrolling interests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equity</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7,454</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equity</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29,037</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29,345</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CONDENSED CONSOLIDATED STATEMENTS OF OPERATIONS (In Millions, Except per Share Amounts) (Unaudited)</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7"/>
          </w:tcPr>
          <w:p>
            <w:pPr>
              <w:ind w:left="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7,290</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4,509</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(Gain) loss from divestitures, asset impairments and unusual items,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3,685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3,034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6,190</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1,100</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net losses of unconsolidated entities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(loss) attributable to noncontrolling interests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351</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307</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0.83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0.73</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0.83</w:t>
            </w: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0.72</w:t>
            </w:r>
          </w:p>
        </w:tc>
        <w:tc>
          <w:tcPr>
            <w:tcW w:w="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w:t>
            </w:r>
          </w:p>
        </w:tc>
        <w:tc>
          <w:tcPr>
            <w:tcW w:w="20" w:type="dxa"/>
            <w:vAlign w:val="bottom"/>
            <w:tcBorders>
              <w:bottom w:val="single" w:sz="8" w:color="auto"/>
            </w:tcBorders>
          </w:tcPr>
          <w:p>
            <w:pPr>
              <w:spacing w:after="0"/>
              <w:rPr>
                <w:sz w:val="17"/>
                <w:szCs w:val="17"/>
                <w:color w:val="auto"/>
              </w:rPr>
            </w:pPr>
          </w:p>
        </w:tc>
        <w:tc>
          <w:tcPr>
            <w:tcW w:w="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8040" w:type="dxa"/>
            <w:vAlign w:val="bottom"/>
            <w:gridSpan w:val="16"/>
          </w:tcPr>
          <w:p>
            <w:pPr>
              <w:jc w:val="center"/>
              <w:ind w:left="77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jc w:val="center"/>
              <w:ind w:left="3330"/>
              <w:spacing w:after="0"/>
              <w:rPr>
                <w:sz w:val="20"/>
                <w:szCs w:val="20"/>
                <w:color w:val="auto"/>
              </w:rPr>
            </w:pPr>
            <w:r>
              <w:rPr>
                <w:rFonts w:ascii="Arial" w:cs="Arial" w:eastAsia="Arial" w:hAnsi="Arial"/>
                <w:sz w:val="18"/>
                <w:szCs w:val="18"/>
                <w:b w:val="1"/>
                <w:bCs w:val="1"/>
                <w:color w:val="auto"/>
                <w:w w:val="95"/>
              </w:rPr>
              <w:t>(In Millions)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tcPr>
          <w:p>
            <w:pPr>
              <w:jc w:val="center"/>
              <w:ind w:left="333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7"/>
          </w:tcPr>
          <w:p>
            <w:pPr>
              <w:jc w:val="right"/>
              <w:ind w:right="131"/>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Available-for-sale securities, net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Post-retirement benefit obligations, net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16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Borders>
              <w:top w:val="single" w:sz="8" w:color="auto"/>
            </w:tcBorders>
            <w:gridSpan w:val="2"/>
          </w:tcPr>
          <w:p>
            <w:pPr>
              <w:jc w:val="right"/>
              <w:ind w:right="47"/>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4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772</w:t>
            </w:r>
          </w:p>
        </w:tc>
        <w:tc>
          <w:tcPr>
            <w:tcW w:w="440" w:type="dxa"/>
            <w:vAlign w:val="bottom"/>
            <w:gridSpan w:val="2"/>
          </w:tcPr>
          <w:p>
            <w:pPr>
              <w:jc w:val="right"/>
              <w:ind w:right="12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w w:val="99"/>
              </w:rPr>
              <w:t>Adjustments to reconcile consolidated net income to net cash provided by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income tax benefit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Interest accretion on landfill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bad debts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Equity-based compensation expense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gain on disposal of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Loss from divestitures, asset impairments and other, net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in net losses of unconsolidated entities, net of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Loss on early extinguishment of debt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operating assets and liabilities, net of effects of acquisitions and divestitures: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400"/>
              <w:spacing w:after="0"/>
              <w:rPr>
                <w:sz w:val="20"/>
                <w:szCs w:val="20"/>
                <w:color w:val="auto"/>
              </w:rPr>
            </w:pPr>
            <w:r>
              <w:rPr>
                <w:rFonts w:ascii="Arial" w:cs="Arial" w:eastAsia="Arial" w:hAnsi="Arial"/>
                <w:sz w:val="16"/>
                <w:szCs w:val="16"/>
                <w:color w:val="auto"/>
              </w:rPr>
              <w:t>Receivables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current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40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Deferred revenues and other liabilities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193"/>
        </w:trPr>
        <w:tc>
          <w:tcPr>
            <w:tcW w:w="664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Acquisitions of businesses, net of cash acquired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divestitures of businesses and other assets, net of cash divested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193"/>
        </w:trPr>
        <w:tc>
          <w:tcPr>
            <w:tcW w:w="664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New borrowings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Debt repayments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(2,326)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Premiums and other paid on early extinguishment of debt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Common stock repurchase program</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Exercise of common stock options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Tax payments associated with equity-based compensation transactions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196"/>
        </w:trPr>
        <w:tc>
          <w:tcPr>
            <w:tcW w:w="6640" w:type="dxa"/>
            <w:vAlign w:val="bottom"/>
            <w:gridSpan w:val="2"/>
          </w:tcPr>
          <w:p>
            <w:pPr>
              <w:spacing w:after="0"/>
              <w:rPr>
                <w:sz w:val="20"/>
                <w:szCs w:val="20"/>
                <w:color w:val="auto"/>
              </w:rPr>
            </w:pPr>
            <w:r>
              <w:rPr>
                <w:rFonts w:ascii="Arial" w:cs="Arial" w:eastAsia="Arial" w:hAnsi="Arial"/>
                <w:sz w:val="16"/>
                <w:szCs w:val="16"/>
                <w:color w:val="auto"/>
                <w:w w:val="92"/>
              </w:rPr>
              <w:t>Effect of exchange rate changes on cash, cash equivalents and restricted cash and cash equivalents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Decrease in cash, cash equivalents and restricted cash and cash equivalents</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w w:val="94"/>
              </w:rPr>
              <w:t>Reconciliation of cash, cash equivalents and restricted cash and cash equivalents at end of period: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148</w:t>
            </w:r>
          </w:p>
        </w:tc>
        <w:tc>
          <w:tcPr>
            <w:tcW w:w="440" w:type="dxa"/>
            <w:vAlign w:val="bottom"/>
            <w:gridSpan w:val="2"/>
          </w:tcPr>
          <w:p>
            <w:pPr>
              <w:jc w:val="right"/>
              <w:ind w:right="12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and cash equivalents included in other current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Restricted cash and cash equivalents included in restricted trust and escrow accounts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326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2"/>
          </w:tcPr>
          <w:p>
            <w:pPr>
              <w:jc w:val="right"/>
              <w:ind w:right="500"/>
              <w:spacing w:after="0"/>
              <w:rPr>
                <w:sz w:val="20"/>
                <w:szCs w:val="20"/>
                <w:color w:val="auto"/>
              </w:rPr>
            </w:pPr>
            <w:r>
              <w:rPr>
                <w:rFonts w:ascii="Arial" w:cs="Arial" w:eastAsia="Arial" w:hAnsi="Arial"/>
                <w:sz w:val="13"/>
                <w:szCs w:val="13"/>
                <w:b w:val="1"/>
                <w:bCs w:val="1"/>
                <w:color w:val="auto"/>
              </w:rPr>
              <w:t>Waste Management, Inc. Stockholders’ Equity</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tcPr>
          <w:p>
            <w:pPr>
              <w:jc w:val="center"/>
              <w:ind w:right="6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rPr>
              <w:t>Paid-In</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4"/>
              </w:rPr>
              <w:t>Retained</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Comprehensive</w:t>
            </w:r>
          </w:p>
        </w:tc>
        <w:tc>
          <w:tcPr>
            <w:tcW w:w="1280" w:type="dxa"/>
            <w:vAlign w:val="bottom"/>
            <w:gridSpan w:val="4"/>
          </w:tcPr>
          <w:p>
            <w:pPr>
              <w:ind w:left="160"/>
              <w:spacing w:after="0"/>
              <w:rPr>
                <w:sz w:val="20"/>
                <w:szCs w:val="20"/>
                <w:color w:val="auto"/>
              </w:rPr>
            </w:pPr>
            <w:r>
              <w:rPr>
                <w:rFonts w:ascii="Arial" w:cs="Arial" w:eastAsia="Arial" w:hAnsi="Arial"/>
                <w:sz w:val="13"/>
                <w:szCs w:val="13"/>
                <w:b w:val="1"/>
                <w:bCs w:val="1"/>
                <w:color w:val="auto"/>
              </w:rPr>
              <w:t>Treasury Stock</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92"/>
              </w:rPr>
              <w:t>Noncontrolling</w:t>
            </w: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rPr>
              <w:t>Total</w:t>
            </w:r>
          </w:p>
        </w:tc>
        <w:tc>
          <w:tcPr>
            <w:tcW w:w="6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8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620" w:type="dxa"/>
            <w:vAlign w:val="bottom"/>
            <w:gridSpan w:val="2"/>
          </w:tcPr>
          <w:p>
            <w:pPr>
              <w:jc w:val="right"/>
              <w:ind w:right="80"/>
              <w:spacing w:after="0" w:line="142" w:lineRule="exact"/>
              <w:rPr>
                <w:sz w:val="20"/>
                <w:szCs w:val="20"/>
                <w:color w:val="auto"/>
              </w:rPr>
            </w:pPr>
            <w:r>
              <w:rPr>
                <w:rFonts w:ascii="Arial" w:cs="Arial" w:eastAsia="Arial" w:hAnsi="Arial"/>
                <w:sz w:val="13"/>
                <w:szCs w:val="13"/>
                <w:b w:val="1"/>
                <w:bCs w:val="1"/>
                <w:color w:val="auto"/>
                <w:w w:val="93"/>
              </w:rPr>
              <w:t>Earnings</w:t>
            </w:r>
          </w:p>
        </w:tc>
        <w:tc>
          <w:tcPr>
            <w:tcW w:w="980" w:type="dxa"/>
            <w:vAlign w:val="bottom"/>
            <w:gridSpan w:val="3"/>
          </w:tcPr>
          <w:p>
            <w:pPr>
              <w:jc w:val="center"/>
              <w:ind w:right="60"/>
              <w:spacing w:after="0" w:line="142" w:lineRule="exact"/>
              <w:rPr>
                <w:sz w:val="20"/>
                <w:szCs w:val="20"/>
                <w:color w:val="auto"/>
              </w:rPr>
            </w:pPr>
            <w:r>
              <w:rPr>
                <w:rFonts w:ascii="Arial" w:cs="Arial" w:eastAsia="Arial" w:hAnsi="Arial"/>
                <w:sz w:val="13"/>
                <w:szCs w:val="13"/>
                <w:b w:val="1"/>
                <w:bCs w:val="1"/>
                <w:color w:val="auto"/>
                <w:w w:val="90"/>
              </w:rPr>
              <w:t>Income (Loss)</w:t>
            </w: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8"/>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28"/>
              <w:spacing w:after="0" w:line="142" w:lineRule="exact"/>
              <w:rPr>
                <w:sz w:val="20"/>
                <w:szCs w:val="20"/>
                <w:color w:val="auto"/>
              </w:rPr>
            </w:pPr>
            <w:r>
              <w:rPr>
                <w:rFonts w:ascii="Arial" w:cs="Arial" w:eastAsia="Arial" w:hAnsi="Arial"/>
                <w:sz w:val="13"/>
                <w:szCs w:val="13"/>
                <w:b w:val="1"/>
                <w:bCs w:val="1"/>
                <w:color w:val="auto"/>
                <w:w w:val="99"/>
              </w:rPr>
              <w:t>Interests</w:t>
            </w:r>
          </w:p>
        </w:tc>
      </w:tr>
      <w:tr>
        <w:trPr>
          <w:trHeight w:val="128"/>
        </w:trPr>
        <w:tc>
          <w:tcPr>
            <w:tcW w:w="262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28"/>
        </w:trPr>
        <w:tc>
          <w:tcPr>
            <w:tcW w:w="18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2"/>
        </w:trPr>
        <w:tc>
          <w:tcPr>
            <w:tcW w:w="262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March 31, 2021</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$ 7,429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5,071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$ 11,337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6"/>
              </w:rPr>
              <w:t>(208,201)</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2"/>
              </w:rPr>
              <w:t>$ (9,035)</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6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351</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 of</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$0.575 per</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0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(242)</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(242)</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Equity-based compensation transactions,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(1,576)</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82"/>
        </w:trPr>
        <w:tc>
          <w:tcPr>
            <w:tcW w:w="2620" w:type="dxa"/>
            <w:vAlign w:val="bottom"/>
            <w:tcBorders>
              <w:bottom w:val="single" w:sz="8" w:color="CCEEFF"/>
            </w:tcBorders>
            <w:gridSpan w:val="4"/>
          </w:tcPr>
          <w:p>
            <w:pPr>
              <w:ind w:left="20"/>
              <w:spacing w:after="0" w:line="142" w:lineRule="exact"/>
              <w:rPr>
                <w:sz w:val="20"/>
                <w:szCs w:val="20"/>
                <w:color w:val="auto"/>
              </w:rPr>
            </w:pPr>
            <w:r>
              <w:rPr>
                <w:rFonts w:ascii="Arial" w:cs="Arial" w:eastAsia="Arial" w:hAnsi="Arial"/>
                <w:sz w:val="14"/>
                <w:szCs w:val="14"/>
                <w:color w:val="auto"/>
              </w:rPr>
              <w:t>Balance, June 30, 2021</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$ 7,354</w:t>
            </w:r>
          </w:p>
        </w:tc>
        <w:tc>
          <w:tcPr>
            <w:tcW w:w="8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5,104</w:t>
            </w:r>
          </w:p>
        </w:tc>
        <w:tc>
          <w:tcPr>
            <w:tcW w:w="8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$ 11,444</w:t>
            </w:r>
          </w:p>
        </w:tc>
        <w:tc>
          <w:tcPr>
            <w:tcW w:w="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w:t>
            </w:r>
          </w:p>
        </w:tc>
        <w:tc>
          <w:tcPr>
            <w:tcW w:w="6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(209,467)</w:t>
            </w:r>
          </w:p>
        </w:tc>
        <w:tc>
          <w:tcPr>
            <w:tcW w:w="8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 (9,272)</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r>
      <w:tr>
        <w:trPr>
          <w:trHeight w:val="129"/>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18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2"/>
        </w:trPr>
        <w:tc>
          <w:tcPr>
            <w:tcW w:w="262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March 31, 2020</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$ 6,745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5,026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$ 10,718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(91)</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6"/>
              </w:rPr>
              <w:t>(208,287)</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2"/>
              </w:rPr>
              <w:t>$ (8,916)</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6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307</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307</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 of</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$0.545 per</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0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(230)</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(230)</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Equity-based compensation transactions,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62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Balance, June 30, 2020</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$ 6,893</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5,040</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$ 10,795</w:t>
            </w: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w:t>
            </w:r>
          </w:p>
        </w:tc>
        <w:tc>
          <w:tcPr>
            <w:tcW w:w="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(208,118)</w:t>
            </w: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 (8,909)</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326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CONDENSED CONSOLIDATED STATEMENT OF CHANGES IN EQUITY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2"/>
          </w:tcPr>
          <w:p>
            <w:pPr>
              <w:ind w:left="180"/>
              <w:spacing w:after="0"/>
              <w:rPr>
                <w:sz w:val="20"/>
                <w:szCs w:val="20"/>
                <w:color w:val="auto"/>
              </w:rPr>
            </w:pPr>
            <w:r>
              <w:rPr>
                <w:rFonts w:ascii="Arial" w:cs="Arial" w:eastAsia="Arial" w:hAnsi="Arial"/>
                <w:sz w:val="13"/>
                <w:szCs w:val="13"/>
                <w:b w:val="1"/>
                <w:bCs w:val="1"/>
                <w:color w:val="auto"/>
              </w:rPr>
              <w:t>Waste Management, Inc. Stockholders’ Equity</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5"/>
          </w:tcPr>
          <w:p>
            <w:pPr>
              <w:ind w:left="16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Paid-In</w:t>
            </w: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Comprehensive</w:t>
            </w:r>
          </w:p>
        </w:tc>
        <w:tc>
          <w:tcPr>
            <w:tcW w:w="128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Treasury Stock</w:t>
            </w: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Noncontrolling</w:t>
            </w: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Total</w:t>
            </w:r>
          </w:p>
        </w:tc>
        <w:tc>
          <w:tcPr>
            <w:tcW w:w="6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8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64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Earnings</w:t>
            </w:r>
          </w:p>
        </w:tc>
        <w:tc>
          <w:tcPr>
            <w:tcW w:w="980" w:type="dxa"/>
            <w:vAlign w:val="bottom"/>
            <w:gridSpan w:val="3"/>
          </w:tcPr>
          <w:p>
            <w:pPr>
              <w:jc w:val="center"/>
              <w:ind w:right="60"/>
              <w:spacing w:after="0" w:line="142" w:lineRule="exact"/>
              <w:rPr>
                <w:sz w:val="20"/>
                <w:szCs w:val="20"/>
                <w:color w:val="auto"/>
              </w:rPr>
            </w:pPr>
            <w:r>
              <w:rPr>
                <w:rFonts w:ascii="Arial" w:cs="Arial" w:eastAsia="Arial" w:hAnsi="Arial"/>
                <w:sz w:val="13"/>
                <w:szCs w:val="13"/>
                <w:b w:val="1"/>
                <w:bCs w:val="1"/>
                <w:color w:val="auto"/>
                <w:w w:val="90"/>
              </w:rPr>
              <w:t>Income (Loss)</w:t>
            </w:r>
          </w:p>
        </w:tc>
        <w:tc>
          <w:tcPr>
            <w:tcW w:w="6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2"/>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28"/>
              <w:spacing w:after="0" w:line="142" w:lineRule="exact"/>
              <w:rPr>
                <w:sz w:val="20"/>
                <w:szCs w:val="20"/>
                <w:color w:val="auto"/>
              </w:rPr>
            </w:pPr>
            <w:r>
              <w:rPr>
                <w:rFonts w:ascii="Arial" w:cs="Arial" w:eastAsia="Arial" w:hAnsi="Arial"/>
                <w:sz w:val="13"/>
                <w:szCs w:val="13"/>
                <w:b w:val="1"/>
                <w:bCs w:val="1"/>
                <w:color w:val="auto"/>
              </w:rPr>
              <w:t>Interests</w:t>
            </w:r>
          </w:p>
        </w:tc>
      </w:tr>
      <w:tr>
        <w:trPr>
          <w:trHeight w:val="128"/>
        </w:trPr>
        <w:tc>
          <w:tcPr>
            <w:tcW w:w="264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8"/>
        </w:trPr>
        <w:tc>
          <w:tcPr>
            <w:tcW w:w="17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2021</w:t>
            </w: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264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2020</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$ 7,454</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5,129</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$ 11,159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(207,481)</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2"/>
              </w:rPr>
              <w:t>$ (8,881)</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6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772</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772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4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Other comprehensive income (loss), net of</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4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$1.15 per</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2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(489)</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(489)</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4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Equity-based compensation transactions, net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(3,385)</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(450)</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4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82"/>
        </w:trPr>
        <w:tc>
          <w:tcPr>
            <w:tcW w:w="2640" w:type="dxa"/>
            <w:vAlign w:val="bottom"/>
            <w:tcBorders>
              <w:bottom w:val="single" w:sz="8" w:color="CCEEFF"/>
            </w:tcBorders>
            <w:gridSpan w:val="4"/>
          </w:tcPr>
          <w:p>
            <w:pPr>
              <w:ind w:left="20"/>
              <w:spacing w:after="0" w:line="142" w:lineRule="exact"/>
              <w:rPr>
                <w:sz w:val="20"/>
                <w:szCs w:val="20"/>
                <w:color w:val="auto"/>
              </w:rPr>
            </w:pPr>
            <w:r>
              <w:rPr>
                <w:rFonts w:ascii="Arial" w:cs="Arial" w:eastAsia="Arial" w:hAnsi="Arial"/>
                <w:sz w:val="14"/>
                <w:szCs w:val="14"/>
                <w:color w:val="auto"/>
              </w:rPr>
              <w:t>Balance, June 30, 2021</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$ 7,354</w:t>
            </w:r>
          </w:p>
        </w:tc>
        <w:tc>
          <w:tcPr>
            <w:tcW w:w="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5,104</w:t>
            </w:r>
          </w:p>
        </w:tc>
        <w:tc>
          <w:tcPr>
            <w:tcW w:w="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$ 11,444</w:t>
            </w: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w:t>
            </w:r>
          </w:p>
        </w:tc>
        <w:tc>
          <w:tcPr>
            <w:tcW w:w="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(209,467)</w:t>
            </w:r>
          </w:p>
        </w:tc>
        <w:tc>
          <w:tcPr>
            <w:tcW w:w="6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 (9,272)</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r>
      <w:tr>
        <w:trPr>
          <w:trHeight w:val="129"/>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1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2020</w:t>
            </w: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264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2019</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$ 7,070</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5,049</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$ 10,592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w:t>
            </w: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(205,956)</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2"/>
              </w:rPr>
              <w:t>$ (8,571)</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6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Adoption of new accounting standard</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4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40" w:type="dxa"/>
            <w:vAlign w:val="bottom"/>
            <w:gridSpan w:val="4"/>
          </w:tcPr>
          <w:p>
            <w:pPr>
              <w:ind w:left="20"/>
              <w:spacing w:after="0" w:line="130" w:lineRule="exact"/>
              <w:rPr>
                <w:sz w:val="20"/>
                <w:szCs w:val="20"/>
                <w:color w:val="auto"/>
              </w:rPr>
            </w:pPr>
            <w:r>
              <w:rPr>
                <w:rFonts w:ascii="Arial" w:cs="Arial" w:eastAsia="Arial" w:hAnsi="Arial"/>
                <w:sz w:val="14"/>
                <w:szCs w:val="14"/>
                <w:color w:val="auto"/>
                <w:w w:val="98"/>
              </w:rPr>
              <w:t>Other comprehensive income (loss), net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20" w:type="dxa"/>
            <w:vAlign w:val="bottom"/>
            <w:gridSpan w:val="3"/>
          </w:tcPr>
          <w:p>
            <w:pPr>
              <w:ind w:left="120"/>
              <w:spacing w:after="0"/>
              <w:rPr>
                <w:sz w:val="20"/>
                <w:szCs w:val="20"/>
                <w:color w:val="auto"/>
              </w:rPr>
            </w:pPr>
            <w:r>
              <w:rPr>
                <w:rFonts w:ascii="Arial" w:cs="Arial" w:eastAsia="Arial" w:hAnsi="Arial"/>
                <w:sz w:val="14"/>
                <w:szCs w:val="14"/>
                <w:color w:val="auto"/>
              </w:rPr>
              <w:t>tax</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(33)</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(33)</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4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Cash dividends declared of $1.09 per</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 share</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(466)</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(466)</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40" w:type="dxa"/>
            <w:vAlign w:val="bottom"/>
            <w:gridSpan w:val="4"/>
          </w:tcPr>
          <w:p>
            <w:pPr>
              <w:ind w:left="20"/>
              <w:spacing w:after="0" w:line="149" w:lineRule="exact"/>
              <w:rPr>
                <w:sz w:val="20"/>
                <w:szCs w:val="20"/>
                <w:color w:val="auto"/>
              </w:rPr>
            </w:pPr>
            <w:r>
              <w:rPr>
                <w:rFonts w:ascii="Arial" w:cs="Arial" w:eastAsia="Arial" w:hAnsi="Arial"/>
                <w:sz w:val="14"/>
                <w:szCs w:val="14"/>
                <w:color w:val="auto"/>
                <w:w w:val="93"/>
              </w:rPr>
              <w:t>Equity-based compensation transactions, net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1,523</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4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(402)</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(3,687)</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Other, net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64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June 30, 2020</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$ 6,893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5,040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$ 10,795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(208,118)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(8,909)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9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we are also a leading developer, operator and owner of landfill gas-to-energy facilities in the U.S.</w:t>
      </w:r>
    </w:p>
    <w:p>
      <w:pPr>
        <w:spacing w:after="0" w:line="17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Areas. In the second quarter of 2021, we combined our Eastern and Western Canada Areas reducing the number of Areas we manage from 17 to 16. On October 30, 2020, we acquired Advanced Disposal Services, Inc. (“Advanced Disposal”), the operations of which are presented in this report within our existing Solid Waste tiers. We also provide additional services that are not managed through our Solid Waste business, which are presented in this report as “Other.” Additional information related to our segments and our acquisition of Advanced Disposal is included in Notes 7 and 8, respectively.</w:t>
      </w:r>
    </w:p>
    <w:p>
      <w:pPr>
        <w:spacing w:after="0" w:line="16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Condensed Consolidated Financial Statements as of June 30, 2021 and for the three and six months ended June 30, 2021 and 2020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2020.</w:t>
      </w:r>
    </w:p>
    <w:p>
      <w:pPr>
        <w:spacing w:after="0" w:line="19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the fair value of assets and liabilities acquired in business combinations or asset acquisitions and reserves associated with our insured and self-insured claims. Actual results could differ materially from the estimates and assumptions that we use in the preparation of our financial statements.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revenues and recognized as revenue in the period service is provided. Substantially all our deferred revenues during the reported periods are realized as revenues within one to three months when the related services are performed.</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of June 30, 2021 and December 31, 2020, we had $170 million and $159 million, respectively, of deferred contract costs, of which $121 million and $118 million, respectively, were related to deferred sales incentives. During each of the three- and six-month periods ended June 30, 2021 and 2020, we amortized $6 million and $11 million, respectively, of sales incentives to selling, general and administrative expense.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Amounts for our operating lease right-of-use assets are recorded in long-term other assets in our Condensed Consolidated Balance Sheets.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current or long-term debt in our Condensed Consolidated Balance Sheets, as appropriate.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Financial instruments that potentially subject us to concentrations of credit risk consist primarily of cash and cash equivalents, investments held within our restricted trust and escrow accounts,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When necessary, reclassifications have been made to our prior period financial information to conform to the current year presentation and are not material to our consolidated financial statements. Our prior year accumulated depreciation and gross property and equipment balances as of December 31, 2020 were overstated and subsequently corrected in our Quarterly Report on Form 10-Q for the quarter ended March 31, 2021.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June 30, 2021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08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4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six months ended June 30, 2021 are reflected in the table below (in millions):</w: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Landfill</w:t>
            </w:r>
          </w:p>
        </w:tc>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4"/>
              </w:rPr>
              <w:t>Environmental</w:t>
            </w:r>
          </w:p>
        </w:tc>
        <w:tc>
          <w:tcPr>
            <w:tcW w:w="0" w:type="dxa"/>
            <w:vAlign w:val="bottom"/>
          </w:tcPr>
          <w:p>
            <w:pPr>
              <w:spacing w:after="0"/>
              <w:rPr>
                <w:sz w:val="1"/>
                <w:szCs w:val="1"/>
                <w:color w:val="auto"/>
              </w:rPr>
            </w:pPr>
          </w:p>
        </w:tc>
      </w:tr>
      <w:tr>
        <w:trPr>
          <w:trHeight w:val="171"/>
        </w:trPr>
        <w:tc>
          <w:tcPr>
            <w:tcW w:w="69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June 30, 2021:</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June 30,</w:t>
            </w: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r>
      <w:tr>
        <w:trPr>
          <w:trHeight w:val="182"/>
        </w:trPr>
        <w:tc>
          <w:tcPr>
            <w:tcW w:w="20" w:type="dxa"/>
            <w:vAlign w:val="bottom"/>
          </w:tcPr>
          <w:p>
            <w:pPr>
              <w:spacing w:after="0"/>
              <w:rPr>
                <w:sz w:val="15"/>
                <w:szCs w:val="15"/>
                <w:color w:val="auto"/>
              </w:rPr>
            </w:pPr>
          </w:p>
        </w:tc>
        <w:tc>
          <w:tcPr>
            <w:tcW w:w="68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2"/>
              </w:rPr>
              <w:t>Commercial paper program (weighted average interest rate of 0.4% as of June 30, 2021 and</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December 31, 2020)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r>
      <w:tr>
        <w:trPr>
          <w:trHeight w:val="202"/>
        </w:trPr>
        <w:tc>
          <w:tcPr>
            <w:tcW w:w="20" w:type="dxa"/>
            <w:vAlign w:val="bottom"/>
          </w:tcPr>
          <w:p>
            <w:pPr>
              <w:spacing w:after="0"/>
              <w:rPr>
                <w:sz w:val="17"/>
                <w:szCs w:val="17"/>
                <w:color w:val="auto"/>
              </w:rPr>
            </w:pPr>
          </w:p>
        </w:tc>
        <w:tc>
          <w:tcPr>
            <w:tcW w:w="6800" w:type="dxa"/>
            <w:vAlign w:val="bottom"/>
            <w:gridSpan w:val="2"/>
          </w:tcPr>
          <w:p>
            <w:pPr>
              <w:spacing w:after="0" w:line="201" w:lineRule="exact"/>
              <w:rPr>
                <w:sz w:val="20"/>
                <w:szCs w:val="20"/>
                <w:color w:val="auto"/>
              </w:rPr>
            </w:pPr>
            <w:r>
              <w:rPr>
                <w:rFonts w:ascii="Arial" w:cs="Arial" w:eastAsia="Arial" w:hAnsi="Arial"/>
                <w:sz w:val="18"/>
                <w:szCs w:val="18"/>
                <w:color w:val="auto"/>
                <w:w w:val="93"/>
              </w:rPr>
              <w:t>Senior notes, maturing through 2050, interest rates ranging from 0.75% to 7.75% (weighted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w w:val="96"/>
              </w:rPr>
              <w:t>average interest rate of 3.1% as of June 30, 2021 and 3.3% as of December 31, 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8,126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8,465</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Canadian senior notes, C$500 million maturing September 2026, interest rate of 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02"/>
        </w:trPr>
        <w:tc>
          <w:tcPr>
            <w:tcW w:w="20" w:type="dxa"/>
            <w:vAlign w:val="bottom"/>
          </w:tcPr>
          <w:p>
            <w:pPr>
              <w:spacing w:after="0"/>
              <w:rPr>
                <w:sz w:val="17"/>
                <w:szCs w:val="17"/>
                <w:color w:val="auto"/>
              </w:rPr>
            </w:pPr>
          </w:p>
        </w:tc>
        <w:tc>
          <w:tcPr>
            <w:tcW w:w="6800" w:type="dxa"/>
            <w:vAlign w:val="bottom"/>
            <w:gridSpan w:val="2"/>
          </w:tcPr>
          <w:p>
            <w:pPr>
              <w:spacing w:after="0" w:line="201" w:lineRule="exact"/>
              <w:rPr>
                <w:sz w:val="20"/>
                <w:szCs w:val="20"/>
                <w:color w:val="auto"/>
              </w:rPr>
            </w:pPr>
            <w:r>
              <w:rPr>
                <w:rFonts w:ascii="Arial" w:cs="Arial" w:eastAsia="Arial" w:hAnsi="Arial"/>
                <w:sz w:val="18"/>
                <w:szCs w:val="18"/>
                <w:color w:val="auto"/>
                <w:w w:val="95"/>
              </w:rPr>
              <w:t>Tax-exempt bonds, maturing through 2048, fixed and variable interest rates ranging from</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w w:val="91"/>
              </w:rPr>
              <w:t>0.05% to 4.3% (weighted average interest rate of 1.6% as of June 30, 2021 and 1.7% as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rPr>
              <w:t>December 31, 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2,571</w:t>
            </w:r>
          </w:p>
        </w:tc>
      </w:tr>
      <w:tr>
        <w:trPr>
          <w:trHeight w:val="202"/>
        </w:trPr>
        <w:tc>
          <w:tcPr>
            <w:tcW w:w="20" w:type="dxa"/>
            <w:vAlign w:val="bottom"/>
          </w:tcPr>
          <w:p>
            <w:pPr>
              <w:spacing w:after="0"/>
              <w:rPr>
                <w:sz w:val="17"/>
                <w:szCs w:val="17"/>
                <w:color w:val="auto"/>
              </w:rPr>
            </w:pPr>
          </w:p>
        </w:tc>
        <w:tc>
          <w:tcPr>
            <w:tcW w:w="6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Financing leases and other, maturing through 2085, weighted average interest rate of 4.7% as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 June 30, 2021 and 4.6% as of December 31, 2020 (a)</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Debt issuance costs, discounts and other</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w:t>
            </w: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Excluding our landfill financing leases, the maturities of our financing leases and other debt obligations extend through 2059</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As of June 30, 2021 we had $2.9 billion of debt maturing within the next 12 months, including (i) $1.5 billion of short-term borrowings under our commercial paper program (net of related discount on issuance); (ii) $1.2 billion of tax-exempt bonds with term interest rate periods that expire within the next 12 months, which is prior to their scheduled maturities and</w:t>
      </w:r>
    </w:p>
    <w:p>
      <w:pPr>
        <w:spacing w:after="0" w:line="2" w:lineRule="exact"/>
        <w:rPr>
          <w:sz w:val="20"/>
          <w:szCs w:val="20"/>
          <w:color w:val="auto"/>
        </w:rPr>
      </w:pPr>
    </w:p>
    <w:p>
      <w:pPr>
        <w:jc w:val="both"/>
        <w:ind w:left="60" w:right="59" w:hanging="10"/>
        <w:spacing w:after="0" w:line="252"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$212 million of other debt with scheduled maturities within the next 12 months, including $103 million of tax-exempt bonds. As of June 30, 2021, we have classified $2.6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$361 million of debt maturing in the next 12 months is classified as current obligations.</w:t>
      </w:r>
    </w:p>
    <w:p>
      <w:pPr>
        <w:spacing w:after="0" w:line="19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As of June 30, 2021, we also had $54 million of variable-rate tax-exempt bonds with long-term scheduled maturities supported by letters of credit under our $3.5 billion revolving credit facility.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the $54 million of variable-rate tax-exempt bonds with maturities of more than one year as long-term in our Condensed Consolidated Balance Sheet as of June 30, 2021.</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$3.5 Billion Revolving Credit Facility — </w:t>
      </w:r>
      <w:r>
        <w:rPr>
          <w:rFonts w:ascii="Arial" w:cs="Arial" w:eastAsia="Arial" w:hAnsi="Arial"/>
          <w:sz w:val="16"/>
          <w:szCs w:val="16"/>
          <w:color w:val="auto"/>
        </w:rPr>
        <w:t>Our $3.5 billion revolving credit facility, maturing November 2024,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us with credit capacity to be used for cash borrowings, to support letters of credit and to support our commercial paper program. The rates we pay for outstanding U.S. or Canadian loans are generally based on LIBOR or CDOR, respectively, plus a spread depending on the Company’s debt rating assigned by Moody’s Investors Service and Standard and Poor’s. As of June 30, 2021, we had no outstanding borrowings under this facility. We had $266 million of letters of credit issued and $1.5 billion of outstanding borrowings (net of related discount on issuance) under our commercial paper program, both supported by the facility, leaving unused and available credit capacity of $1.7 billion as of June 30, 2021. WM Holdings, a wholly-owned subsidiary of WM, guarantees all of the obligations under the $3.5 billion revolving credit facility.</w:t>
      </w:r>
    </w:p>
    <w:p>
      <w:pPr>
        <w:spacing w:after="0" w:line="16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 We have a commercial paper program that enables us to borrow funds for up to</w:t>
      </w:r>
      <w:r>
        <w:rPr>
          <w:rFonts w:ascii="Arial" w:cs="Arial" w:eastAsia="Arial" w:hAnsi="Arial"/>
          <w:sz w:val="16"/>
          <w:szCs w:val="16"/>
          <w:i w:val="1"/>
          <w:iCs w:val="1"/>
          <w:color w:val="auto"/>
        </w:rPr>
        <w:t xml:space="preserve"> </w:t>
      </w:r>
      <w:r>
        <w:rPr>
          <w:rFonts w:ascii="Arial" w:cs="Arial" w:eastAsia="Arial" w:hAnsi="Arial"/>
          <w:sz w:val="16"/>
          <w:szCs w:val="16"/>
          <w:color w:val="auto"/>
        </w:rPr>
        <w:t>397 days at competitive interest rates. The rates we pay for outstanding borrowings are based on the term of the notes. The commercial paper program is fully supported by our $3.5 billion revolving credit facility. As of June 30, 2021, we had $1.5 billion of outstanding borrowings (net of related discount on issuance) under our commercial paper program.</w:t>
      </w:r>
    </w:p>
    <w:p>
      <w:pPr>
        <w:spacing w:after="0" w:line="15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Lines — </w:t>
      </w:r>
      <w:r>
        <w:rPr>
          <w:rFonts w:ascii="Arial" w:cs="Arial" w:eastAsia="Arial" w:hAnsi="Arial"/>
          <w:sz w:val="18"/>
          <w:szCs w:val="18"/>
          <w:color w:val="auto"/>
        </w:rPr>
        <w:t>As of June 30, 2021, we had utilized $615 million of other uncommitted letter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lines with terms maturing through June 2022.</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i w:val="1"/>
          <w:iCs w:val="1"/>
          <w:color w:val="auto"/>
        </w:rPr>
        <w:t xml:space="preserve">Commercial Paper Program </w:t>
      </w:r>
      <w:r>
        <w:rPr>
          <w:rFonts w:ascii="Arial" w:cs="Arial" w:eastAsia="Arial" w:hAnsi="Arial"/>
          <w:sz w:val="17"/>
          <w:szCs w:val="17"/>
          <w:color w:val="auto"/>
        </w:rPr>
        <w:t>— During the six months ended June 30, 2021, we made cash repayments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$954 million, which were partially offset by $640 million of cash borrowings (net of related discount on issuance).</w:t>
      </w:r>
    </w:p>
    <w:p>
      <w:pPr>
        <w:spacing w:after="0" w:line="146" w:lineRule="exact"/>
        <w:rPr>
          <w:sz w:val="20"/>
          <w:szCs w:val="20"/>
          <w:color w:val="auto"/>
        </w:rPr>
      </w:pPr>
    </w:p>
    <w:p>
      <w:pPr>
        <w:jc w:val="both"/>
        <w:ind w:left="60" w:right="59" w:firstLine="324"/>
        <w:spacing w:after="0" w:line="241"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In May 2021, WM issued $950 million of senior notes consisting of $475 million of 2.00%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June 1, 2029 and $475 million of 2.95% senior notes due June 1, 2041. The net proceeds from these debt issuances were $942 million, all of which were used, along with available cash on hand, to retire $1.3 billion of certain high-coupon senior notes. The cash paid included the principal amount of the debt retired, $211 million of related premiums and other third-party costs, and $15 million of accrued interest.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7"/>
          <w:szCs w:val="17"/>
          <w:color w:val="auto"/>
        </w:rPr>
        <w:t>We recognized a $220 million loss on early extinguishment of debt in our Condensed Consolidated Statement of Operations related to the tender offer, including $211 million of premiums and other third-party costs and $9 million primarily related to unamortized discounts and debt issuance costs. We also recognized $6 million of charges to interest expense for the write-off of cash flow hedges associated with the tendered notes, which was previously being amortized to interest expense through the notes’ stated maturities. The following table summarizes the principal amount of senior notes redeemed within each series in order of acceptance priority level (in millions):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4"/>
                <w:szCs w:val="14"/>
                <w:color w:val="auto"/>
              </w:rPr>
            </w:pPr>
          </w:p>
        </w:tc>
        <w:tc>
          <w:tcPr>
            <w:tcW w:w="14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Notes Tendered</w:t>
            </w:r>
          </w:p>
        </w:tc>
        <w:tc>
          <w:tcPr>
            <w:tcW w:w="0" w:type="dxa"/>
            <w:vAlign w:val="bottom"/>
          </w:tcPr>
          <w:p>
            <w:pPr>
              <w:spacing w:after="0"/>
              <w:rPr>
                <w:sz w:val="1"/>
                <w:szCs w:val="1"/>
                <w:color w:val="auto"/>
              </w:rPr>
            </w:pPr>
          </w:p>
        </w:tc>
      </w:tr>
      <w:tr>
        <w:trPr>
          <w:trHeight w:val="148"/>
        </w:trPr>
        <w:tc>
          <w:tcPr>
            <w:tcW w:w="5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Prior to Tender</w:t>
            </w:r>
          </w:p>
        </w:tc>
        <w:tc>
          <w:tcPr>
            <w:tcW w:w="240" w:type="dxa"/>
            <w:vAlign w:val="bottom"/>
          </w:tcPr>
          <w:p>
            <w:pPr>
              <w:spacing w:after="0"/>
              <w:rPr>
                <w:sz w:val="14"/>
                <w:szCs w:val="14"/>
                <w:color w:val="auto"/>
              </w:rPr>
            </w:pPr>
          </w:p>
        </w:tc>
        <w:tc>
          <w:tcPr>
            <w:tcW w:w="1480" w:type="dxa"/>
            <w:vAlign w:val="bottom"/>
          </w:tcPr>
          <w:p>
            <w:pPr>
              <w:jc w:val="right"/>
              <w:ind w:right="312"/>
              <w:spacing w:after="0"/>
              <w:rPr>
                <w:sz w:val="20"/>
                <w:szCs w:val="20"/>
                <w:color w:val="auto"/>
              </w:rPr>
            </w:pPr>
            <w:r>
              <w:rPr>
                <w:rFonts w:ascii="Arial" w:cs="Arial" w:eastAsia="Arial" w:hAnsi="Arial"/>
                <w:sz w:val="14"/>
                <w:szCs w:val="14"/>
                <w:b w:val="1"/>
                <w:bCs w:val="1"/>
                <w:color w:val="auto"/>
              </w:rPr>
              <w:t>and Redeemed</w:t>
            </w:r>
          </w:p>
        </w:tc>
        <w:tc>
          <w:tcPr>
            <w:tcW w:w="0" w:type="dxa"/>
            <w:vAlign w:val="bottom"/>
          </w:tcPr>
          <w:p>
            <w:pPr>
              <w:spacing w:after="0"/>
              <w:rPr>
                <w:sz w:val="1"/>
                <w:szCs w:val="1"/>
                <w:color w:val="auto"/>
              </w:rPr>
            </w:pPr>
          </w:p>
        </w:tc>
      </w:tr>
      <w:tr>
        <w:trPr>
          <w:trHeight w:val="209"/>
        </w:trPr>
        <w:tc>
          <w:tcPr>
            <w:tcW w:w="4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6.125% WM senior notes due 2039</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8"/>
                <w:szCs w:val="18"/>
                <w:color w:val="auto"/>
                <w:w w:val="90"/>
              </w:rPr>
              <w:t>7.75%</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WM senior notes due 2032</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7.375% WM senior notes due 2029</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8"/>
                <w:szCs w:val="18"/>
                <w:color w:val="auto"/>
                <w:w w:val="90"/>
              </w:rPr>
              <w:t>4.15%</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WM senior notes due 2049</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4.10%</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senior notes due 2045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8"/>
                <w:szCs w:val="18"/>
                <w:color w:val="auto"/>
                <w:w w:val="90"/>
              </w:rPr>
              <w:t>3.90%</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WM senior notes due 2035</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7.00%</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senior notes due 2028</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8"/>
                <w:szCs w:val="18"/>
                <w:color w:val="auto"/>
                <w:w w:val="90"/>
              </w:rPr>
              <w:t>7.10%</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WM Holdings senior notes due 2026</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3.50%</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senior notes due 2024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3.125% WM senior notes due 2025</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3.15% WM senior notes due 2027</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2.90% WM senior notes due 2022</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2.40% WM senior notes due 2023</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00" w:type="dxa"/>
            <w:vAlign w:val="bottom"/>
            <w:gridSpan w:val="3"/>
          </w:tcPr>
          <w:p>
            <w:pPr>
              <w:ind w:left="4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w:t>
            </w:r>
          </w:p>
        </w:tc>
        <w:tc>
          <w:tcPr>
            <w:tcW w:w="34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59" w:firstLine="324"/>
        <w:spacing w:after="0" w:line="262" w:lineRule="auto"/>
        <w:rPr>
          <w:sz w:val="20"/>
          <w:szCs w:val="20"/>
          <w:color w:val="auto"/>
        </w:rPr>
      </w:pPr>
      <w:r>
        <w:rPr>
          <w:rFonts w:ascii="Arial" w:cs="Arial" w:eastAsia="Arial" w:hAnsi="Arial"/>
          <w:sz w:val="17"/>
          <w:szCs w:val="17"/>
          <w:color w:val="auto"/>
        </w:rPr>
        <w:t>In conjunction with the tender offer, we entered into a reverse Treasury rate lock with a total notional value of $450 million to hedge our interest rate exposure. We did not designate the reverse Treasury rate lock as a cash flow hedge. Upon completion of the tender offer, we terminated the reverse Treasury rate lock and paid $8 million in cash. The related loss is included in other, net in the Condensed Consolidated Statement of Operations.</w:t>
      </w:r>
    </w:p>
    <w:p>
      <w:pPr>
        <w:spacing w:after="0" w:line="15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Tax-Exempt Bonds </w:t>
      </w:r>
      <w:r>
        <w:rPr>
          <w:rFonts w:ascii="Arial" w:cs="Arial" w:eastAsia="Arial" w:hAnsi="Arial"/>
          <w:sz w:val="18"/>
          <w:szCs w:val="18"/>
          <w:color w:val="auto"/>
        </w:rPr>
        <w:t>— We issued $125 million of new tax-exempt bonds in 2021. The proceeds from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bonds were deposited directly into a restricted trust fund and may only be used for the specific purpose for which the money was raised, which is generally to finance expenditures for landfill and solid waste disposal facility construction and development. Additionally, during the six months ended June 30, 2021, we repaid $24 million of our tax-exempt bonds with available cash at their scheduled maturities.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Financing Leases and Other </w:t>
      </w:r>
      <w:r>
        <w:rPr>
          <w:rFonts w:ascii="Arial" w:cs="Arial" w:eastAsia="Arial" w:hAnsi="Arial"/>
          <w:sz w:val="18"/>
          <w:szCs w:val="18"/>
          <w:color w:val="auto"/>
        </w:rPr>
        <w:t>— The decrease during the six months ended June 30, 2021 is due to $59 million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of debt at maturity, partially offset by an increase of $32 million primarily associated with non-cash financing leases.</w:t>
      </w:r>
    </w:p>
    <w:p>
      <w:pPr>
        <w:spacing w:after="0" w:line="180" w:lineRule="exact"/>
        <w:rPr>
          <w:sz w:val="20"/>
          <w:szCs w:val="20"/>
          <w:color w:val="auto"/>
        </w:rPr>
      </w:pPr>
    </w:p>
    <w:p>
      <w:pPr>
        <w:ind w:left="360" w:hanging="310"/>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Our effective income tax rate was 22.9% and 22.8% for the three and six months ended June 30, 2021, respectively, compared with 22.2% and 19.5% for the three and six months ended June 30, 2020, respectively. The increase in our effective income tax rate when comparing the three months ended June 30, 2021 with the prior year period was due to (i) a decrease in the benefits realized on tax audit settlements and (ii) lower federal tax credits. The increase in our effective income tax rate for the six-month period ended June 30, 2021 as compared with the prior year period was also impacted by</w:t>
      </w:r>
    </w:p>
    <w:p>
      <w:pPr>
        <w:spacing w:after="0" w:line="2" w:lineRule="exact"/>
        <w:rPr>
          <w:sz w:val="20"/>
          <w:szCs w:val="20"/>
          <w:color w:val="auto"/>
        </w:rPr>
      </w:pPr>
    </w:p>
    <w:p>
      <w:pPr>
        <w:ind w:left="60" w:right="59" w:hanging="10"/>
        <w:spacing w:after="0" w:line="260" w:lineRule="auto"/>
        <w:tabs>
          <w:tab w:leader="none" w:pos="287"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excess tax benefits associated with equity-based compensation and (ii) favorable adjustments to accruals and related deferred taxes recorded in 2020.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These items are discussed further below. We evaluate our effective income tax rate at each interim period and adjust it as facts and circumstances warrant.</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the three and six months ended June 30, 2021, we recognized a reduction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$2 million and $11 million, respectively, for excess tax benefits related to the vesting or exercise of equity-based compensation awards compared with $2 million and $23 million, respectively, for the comparable prior year periods.</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Investments Qualifying for Federal Tax Credits </w:t>
      </w:r>
      <w:r>
        <w:rPr>
          <w:rFonts w:ascii="Arial" w:cs="Arial" w:eastAsia="Arial" w:hAnsi="Arial"/>
          <w:sz w:val="18"/>
          <w:szCs w:val="18"/>
          <w:color w:val="auto"/>
        </w:rPr>
        <w:t>— We have significant financial interests in entities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low-income housing properties. We support the operations of these entities in exchange for a pro-rata share of the tax credits they generate. The low-income housing investments qualify for federal tax credits that we expect to realize through 2030 under Section 42 or Section 45D of the Internal Revenue Code. We also held a residual financial interest in an entity that owned a refined coal facility that qualified for federal tax credits under Section 45 of the Internal Revenue Code through 2019. The entity sold the majority of its assets in the first quarter of 2020, which resulted in a $7 million non-cash impairment of our investment at that time. 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w:t>
      </w:r>
    </w:p>
    <w:p>
      <w:pPr>
        <w:spacing w:after="0" w:line="19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During the three and six months ended June 30, 2021, we recognized $12 million and $21 million, respectively, of net losses for these investments. We also recognized a reduction in our income tax expense for the three and six months ended June 30, 2021 of $16 million and $32 million, respectively, due to federal tax credits realized from these investments as well as the tax benefits from the pre-tax losses realized. In addition, during the three and six months ended June 30, 2021, we recognized interest expense of $3 million and $5 million, respectively, associated with our investments in low-income housing properties.</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During the three and six months ended June 30, 2020, we recognized $17 million and $43 million, respectively, (including the $7 million impairment of the refined coal facility noted above for the six-month period) of net losses for these investments. We also recognized a reduction in our income tax expense for the three and six months ended June 30, 2020 of $17 million and $41 million, respectively, due to federal tax credits realized from these investments as well as the tax benefits from the pre-tax losses realized. In addition, during the three and six months ended June 30, 2020, we recognized interest expense of $3 million and $6 million, respectively, associated with our investments in low-income housing properties.</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13 for additional information related to these unconsolidated variable interest entities.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Tax Audit Settlements — </w:t>
      </w:r>
      <w:r>
        <w:rPr>
          <w:rFonts w:ascii="Arial" w:cs="Arial" w:eastAsia="Arial" w:hAnsi="Arial"/>
          <w:sz w:val="18"/>
          <w:szCs w:val="18"/>
          <w:color w:val="auto"/>
        </w:rPr>
        <w:t>During the three months ended June 30, 2021 and 2020, we settled various tax audits,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in a reduction in our income tax expense of $1 million and $5 million, respectively.</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Adjustments to Accruals and Related Deferred Taxes </w:t>
      </w:r>
      <w:r>
        <w:rPr>
          <w:rFonts w:ascii="Arial" w:cs="Arial" w:eastAsia="Arial" w:hAnsi="Arial"/>
          <w:sz w:val="18"/>
          <w:szCs w:val="18"/>
          <w:color w:val="auto"/>
        </w:rPr>
        <w:t>— During the first quarter of 2020, we recognized a reduction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our income tax expense of $6 million for adjustments to accruals and related deferred taxes.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7"/>
          <w:szCs w:val="17"/>
          <w:color w:val="auto"/>
        </w:rPr>
        <w:t>Basic and diluted earnings per share were computed using the following common share data (shares in millions):</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96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gridSpan w:val="3"/>
          </w:tcPr>
          <w:p>
            <w:pPr>
              <w:jc w:val="center"/>
              <w:ind w:left="335"/>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422.2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422.2</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using weighted average common shares outstanding</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422.3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423.2</w:t>
            </w:r>
          </w:p>
        </w:tc>
        <w:tc>
          <w:tcPr>
            <w:tcW w:w="0" w:type="dxa"/>
            <w:vAlign w:val="bottom"/>
          </w:tcPr>
          <w:p>
            <w:pPr>
              <w:spacing w:after="0"/>
              <w:rPr>
                <w:sz w:val="1"/>
                <w:szCs w:val="1"/>
                <w:color w:val="auto"/>
              </w:rPr>
            </w:pPr>
          </w:p>
        </w:tc>
      </w:tr>
      <w:tr>
        <w:trPr>
          <w:trHeight w:val="202"/>
        </w:trPr>
        <w:tc>
          <w:tcPr>
            <w:tcW w:w="5820" w:type="dxa"/>
            <w:vAlign w:val="bottom"/>
          </w:tcPr>
          <w:p>
            <w:pPr>
              <w:ind w:left="120"/>
              <w:spacing w:after="0" w:line="201" w:lineRule="exact"/>
              <w:rPr>
                <w:sz w:val="20"/>
                <w:szCs w:val="20"/>
                <w:color w:val="auto"/>
              </w:rPr>
            </w:pPr>
            <w:r>
              <w:rPr>
                <w:rFonts w:ascii="Arial" w:cs="Arial" w:eastAsia="Arial" w:hAnsi="Arial"/>
                <w:sz w:val="18"/>
                <w:szCs w:val="18"/>
                <w:color w:val="auto"/>
                <w:w w:val="94"/>
              </w:rPr>
              <w:t>Dilutive effect of equity-based compensation awards and other contingently</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issuable shares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423.9</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425.1</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Potentially issuable shares</w:t>
            </w: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18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6"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 incident deductible under the related insurance policy. Our exposure could increase if our insurers are unable to meet their commitments on a timely basis.</w:t>
      </w:r>
    </w:p>
    <w:p>
      <w:pPr>
        <w:spacing w:after="0" w:line="17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Guarantees — </w:t>
      </w:r>
      <w:r>
        <w:rPr>
          <w:rFonts w:ascii="Arial" w:cs="Arial" w:eastAsia="Arial" w:hAnsi="Arial"/>
          <w:sz w:val="17"/>
          <w:szCs w:val="17"/>
          <w:color w:val="auto"/>
        </w:rPr>
        <w:t>In the ordinary course of our business, WM and WM Holdings enter into guarantee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their subsidiaries’ 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71"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As of June 30, 2021 we have guaranteed the obligations and certain performance requirements of third parties in connection with both consolidated and unconsolidated entities, including guarantees to cover certain market value losses for certain properties adjacent to or near 18 of our landfills. We have also agreed to indemnify certain third-party purchasers against liabilities associated with divested operations prior to such sale. We do not believe that these contingent obligations will have a material adverse effect on the Company’s financial condition, results of operations or cash flows.</w:t>
      </w:r>
    </w:p>
    <w:p>
      <w:pPr>
        <w:spacing w:after="0" w:line="16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Environmental Matters — </w:t>
      </w:r>
      <w:r>
        <w:rPr>
          <w:rFonts w:ascii="Arial" w:cs="Arial" w:eastAsia="Arial" w:hAnsi="Arial"/>
          <w:sz w:val="17"/>
          <w:szCs w:val="17"/>
          <w:color w:val="auto"/>
        </w:rPr>
        <w:t>A significant portion of our operating costs and capital expenditures could be characterized</w:t>
      </w:r>
      <w:r>
        <w:rPr>
          <w:rFonts w:ascii="Arial" w:cs="Arial" w:eastAsia="Arial" w:hAnsi="Arial"/>
          <w:sz w:val="17"/>
          <w:szCs w:val="17"/>
          <w:i w:val="1"/>
          <w:iCs w:val="1"/>
          <w:color w:val="auto"/>
        </w:rPr>
        <w:t xml:space="preserve"> </w:t>
      </w:r>
      <w:r>
        <w:rPr>
          <w:rFonts w:ascii="Arial" w:cs="Arial" w:eastAsia="Arial" w:hAnsi="Arial"/>
          <w:sz w:val="17"/>
          <w:szCs w:val="17"/>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7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$135 million higher than the $220 million recorded in the Condensed Consolidated Balance Sheet as of June 30, 2021.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84"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As of June 30, 2021, we have been notified by the government that we are a PRP in connection with 73 locations listed on the Environmental Protection Agency’s (“EPA’s”) Superfund National Priorities List (“NPL”). Of the 73 sites at which claims have been made against us, 14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16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8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operated some of the waste pits from 1965 to 1966 and has been named as a site PRP. In 1998, WM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Allocation of responsibility among the PRPs for the proposed remedy has not been established. As of June 30, 2021 and December 31, 2020, the recorded liability for MIMC’s estimated potential share of the EPA’s proposed remedy and related costs was $53 million and $55 million, respectively. MIMC’s ultimate liability could be materially different from current estimates.</w:t>
      </w:r>
    </w:p>
    <w:p>
      <w:pPr>
        <w:spacing w:after="0" w:line="18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17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i w:val="1"/>
          <w:iCs w:val="1"/>
          <w:color w:val="auto"/>
        </w:rPr>
        <w:t xml:space="preserve">Litigation — </w:t>
      </w:r>
      <w:r>
        <w:rPr>
          <w:rFonts w:ascii="Arial" w:cs="Arial" w:eastAsia="Arial" w:hAnsi="Arial"/>
          <w:sz w:val="16"/>
          <w:szCs w:val="16"/>
          <w:color w:val="auto"/>
        </w:rPr>
        <w:t>As a large company with operations across the U.S. and Canada, we are subject to various proceedings,</w:t>
      </w:r>
      <w:r>
        <w:rPr>
          <w:rFonts w:ascii="Arial" w:cs="Arial" w:eastAsia="Arial" w:hAnsi="Arial"/>
          <w:sz w:val="16"/>
          <w:szCs w:val="16"/>
          <w:i w:val="1"/>
          <w:iCs w:val="1"/>
          <w:color w:val="auto"/>
        </w:rPr>
        <w:t xml:space="preserve"> </w:t>
      </w:r>
      <w:r>
        <w:rPr>
          <w:rFonts w:ascii="Arial" w:cs="Arial" w:eastAsia="Arial" w:hAnsi="Arial"/>
          <w:sz w:val="16"/>
          <w:szCs w:val="16"/>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68"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or was 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7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Multiemployer Defined Benefit Pension Plans — </w:t>
      </w:r>
      <w:r>
        <w:rPr>
          <w:rFonts w:ascii="Arial" w:cs="Arial" w:eastAsia="Arial" w:hAnsi="Arial"/>
          <w:sz w:val="17"/>
          <w:szCs w:val="17"/>
          <w:color w:val="auto"/>
        </w:rPr>
        <w:t>About 20% of our workforce is covered by collective bargaining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 During the first quarter of 2020, we recognized a $3 million charge to operating expenses for the withdrawal from an underfunded Multiemployer Pension Plan.</w:t>
      </w:r>
    </w:p>
    <w:p>
      <w:pPr>
        <w:spacing w:after="0" w:line="18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Tax Matters — </w:t>
      </w:r>
      <w:r>
        <w:rPr>
          <w:rFonts w:ascii="Arial" w:cs="Arial" w:eastAsia="Arial" w:hAnsi="Arial"/>
          <w:sz w:val="18"/>
          <w:szCs w:val="18"/>
          <w:color w:val="auto"/>
        </w:rPr>
        <w:t>We participate in the IRS’s Compliance Assurance Process, which means we work with the IRS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year towards resolving any material issues prior to the filing of our annual tax return. Any unresolved issues as of the tax return filing date are subject to routine examination procedures. We are currently in the examination phase of IRS audits for the 2017 through 2021 tax years and expect these audits to be completed within the next 21 months. We are also currently undergoing audits by various state and local jurisdictions for tax years that date back to 2014.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88" w:lineRule="exact"/>
        <w:rPr>
          <w:sz w:val="20"/>
          <w:szCs w:val="20"/>
          <w:color w:val="auto"/>
        </w:rPr>
      </w:pPr>
    </w:p>
    <w:p>
      <w:pPr>
        <w:ind w:left="360" w:hanging="310"/>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Areas. In the second quarter of 2021, we combined our Eastern and Western Canada Areas reducing the number of Areas we manage from 17 to 16. The 16 Areas constitute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16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a result of the combination of our Eastern and Western Canada Areas, we analyzed all 16 Areas’ income from operations margins for purposes of segment reporting and realigned our Solid Waste tiers to reflect changes in their relative economic characteristics and prospects. Reclassifications have been made to our prior period condensed consolidated financial information to conform to the current year presentation.</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operating segments not evaluated and overseen through the 16 Areas are presented herein as “Other” as these operating segments do not meet the criteria to be aggregated with other operating segments and do not meet the quantitative criteria to be separately reported.</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Summarized financial information concerning our reportable segments is shown in the following table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6"/>
              </w:rPr>
              <w:t>Operating</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Revenues(d)</w:t>
            </w: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gridSpan w:val="3"/>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Three Months Ended June 30:</w:t>
            </w:r>
          </w:p>
        </w:tc>
        <w:tc>
          <w:tcPr>
            <w:tcW w:w="2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1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2340" w:type="dxa"/>
            <w:vAlign w:val="bottom"/>
            <w:gridSpan w:val="2"/>
          </w:tcPr>
          <w:p>
            <w:pPr>
              <w:ind w:left="22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1,214</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986</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1,621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Solid Waste (a)</w:t>
            </w:r>
          </w:p>
        </w:tc>
        <w:tc>
          <w:tcPr>
            <w:tcW w:w="2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Other (b)</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4,476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Corporate and Other (c)</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3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0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Solid Waste:</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Tier 2</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gridSpan w:val="2"/>
          </w:tcPr>
          <w:p>
            <w:pPr>
              <w:ind w:left="320"/>
              <w:spacing w:after="0"/>
              <w:rPr>
                <w:sz w:val="20"/>
                <w:szCs w:val="20"/>
                <w:color w:val="auto"/>
              </w:rPr>
            </w:pPr>
            <w:r>
              <w:rPr>
                <w:rFonts w:ascii="Arial" w:cs="Arial" w:eastAsia="Arial" w:hAnsi="Arial"/>
                <w:sz w:val="18"/>
                <w:szCs w:val="18"/>
                <w:color w:val="auto"/>
              </w:rPr>
              <w:t>Solid Waste (a)</w:t>
            </w:r>
          </w:p>
        </w:tc>
        <w:tc>
          <w:tcPr>
            <w:tcW w:w="2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3,032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(b)</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3,561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and Other (c)</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3,561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20" w:type="dxa"/>
            <w:vAlign w:val="bottom"/>
            <w:vMerge w:val="restart"/>
          </w:tcPr>
          <w:p>
            <w:pPr>
              <w:jc w:val="right"/>
              <w:ind w:right="9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Income</w:t>
            </w:r>
          </w:p>
        </w:tc>
      </w:t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Operating</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6"/>
              </w:rPr>
              <w:t>Operating</w:t>
            </w: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from</w:t>
            </w:r>
          </w:p>
        </w:tc>
      </w:t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Revenues(d)</w:t>
            </w: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Operations</w:t>
            </w:r>
          </w:p>
        </w:tc>
      </w:tr>
      <w:tr>
        <w:trPr>
          <w:trHeight w:val="156"/>
        </w:trPr>
        <w:tc>
          <w:tcPr>
            <w:tcW w:w="554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Six Months Ended June 30:</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ind w:left="200"/>
              <w:spacing w:after="0"/>
              <w:rPr>
                <w:sz w:val="20"/>
                <w:szCs w:val="20"/>
                <w:color w:val="auto"/>
              </w:rPr>
            </w:pPr>
            <w:r>
              <w:rPr>
                <w:rFonts w:ascii="Arial" w:cs="Arial" w:eastAsia="Arial" w:hAnsi="Arial"/>
                <w:sz w:val="18"/>
                <w:szCs w:val="18"/>
                <w:color w:val="auto"/>
              </w:rPr>
              <w:t>Tier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2,302</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1,873</w:t>
            </w:r>
          </w:p>
        </w:tc>
        <w:tc>
          <w:tcPr>
            <w:tcW w:w="1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16"/>
        </w:trPr>
        <w:tc>
          <w:tcPr>
            <w:tcW w:w="2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16"/>
        </w:trPr>
        <w:tc>
          <w:tcPr>
            <w:tcW w:w="20" w:type="dxa"/>
            <w:vAlign w:val="bottom"/>
          </w:tcPr>
          <w:p>
            <w:pPr>
              <w:spacing w:after="0"/>
              <w:rPr>
                <w:sz w:val="18"/>
                <w:szCs w:val="18"/>
                <w:color w:val="auto"/>
              </w:rPr>
            </w:pPr>
          </w:p>
        </w:tc>
        <w:tc>
          <w:tcPr>
            <w:tcW w:w="5520" w:type="dxa"/>
            <w:vAlign w:val="bottom"/>
            <w:gridSpan w:val="3"/>
          </w:tcPr>
          <w:p>
            <w:pPr>
              <w:ind w:left="200"/>
              <w:spacing w:after="0"/>
              <w:rPr>
                <w:sz w:val="20"/>
                <w:szCs w:val="20"/>
                <w:color w:val="auto"/>
              </w:rPr>
            </w:pPr>
            <w:r>
              <w:rPr>
                <w:rFonts w:ascii="Arial" w:cs="Arial" w:eastAsia="Arial" w:hAnsi="Arial"/>
                <w:sz w:val="18"/>
                <w:szCs w:val="18"/>
                <w:color w:val="auto"/>
              </w:rPr>
              <w:t>Tier 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3,111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52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Solid Waste (a)</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7,249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r>
      <w:tr>
        <w:trPr>
          <w:trHeight w:val="216"/>
        </w:trPr>
        <w:tc>
          <w:tcPr>
            <w:tcW w:w="5540" w:type="dxa"/>
            <w:vAlign w:val="bottom"/>
            <w:gridSpan w:val="4"/>
          </w:tcPr>
          <w:p>
            <w:pPr>
              <w:ind w:left="20"/>
              <w:spacing w:after="0"/>
              <w:rPr>
                <w:sz w:val="20"/>
                <w:szCs w:val="20"/>
                <w:color w:val="auto"/>
              </w:rPr>
            </w:pPr>
            <w:r>
              <w:rPr>
                <w:rFonts w:ascii="Arial" w:cs="Arial" w:eastAsia="Arial" w:hAnsi="Arial"/>
                <w:sz w:val="18"/>
                <w:szCs w:val="18"/>
                <w:color w:val="auto"/>
              </w:rPr>
              <w:t>Other (b)</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1,339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10,406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8,588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16"/>
        </w:trPr>
        <w:tc>
          <w:tcPr>
            <w:tcW w:w="5540" w:type="dxa"/>
            <w:vAlign w:val="bottom"/>
            <w:gridSpan w:val="4"/>
          </w:tcPr>
          <w:p>
            <w:pPr>
              <w:ind w:left="20"/>
              <w:spacing w:after="0"/>
              <w:rPr>
                <w:sz w:val="20"/>
                <w:szCs w:val="20"/>
                <w:color w:val="auto"/>
              </w:rPr>
            </w:pPr>
            <w:r>
              <w:rPr>
                <w:rFonts w:ascii="Arial" w:cs="Arial" w:eastAsia="Arial" w:hAnsi="Arial"/>
                <w:sz w:val="18"/>
                <w:szCs w:val="18"/>
                <w:color w:val="auto"/>
              </w:rPr>
              <w:t>Corporate and Other (c)</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5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10,406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8,588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540" w:type="dxa"/>
            <w:vAlign w:val="bottom"/>
            <w:gridSpan w:val="4"/>
          </w:tcPr>
          <w:p>
            <w:pPr>
              <w:ind w:left="20"/>
              <w:spacing w:after="0"/>
              <w:rPr>
                <w:sz w:val="20"/>
                <w:szCs w:val="20"/>
                <w:color w:val="auto"/>
              </w:rPr>
            </w:pPr>
            <w:r>
              <w:rPr>
                <w:rFonts w:ascii="Arial" w:cs="Arial" w:eastAsia="Arial" w:hAnsi="Arial"/>
                <w:sz w:val="18"/>
                <w:szCs w:val="18"/>
                <w:color w:val="auto"/>
              </w:rPr>
              <w:t>Solid Waste: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16"/>
        </w:trPr>
        <w:tc>
          <w:tcPr>
            <w:tcW w:w="20" w:type="dxa"/>
            <w:vAlign w:val="bottom"/>
          </w:tcPr>
          <w:p>
            <w:pPr>
              <w:spacing w:after="0"/>
              <w:rPr>
                <w:sz w:val="18"/>
                <w:szCs w:val="18"/>
                <w:color w:val="auto"/>
              </w:rPr>
            </w:pPr>
          </w:p>
        </w:tc>
        <w:tc>
          <w:tcPr>
            <w:tcW w:w="5520" w:type="dxa"/>
            <w:vAlign w:val="bottom"/>
            <w:gridSpan w:val="3"/>
          </w:tcPr>
          <w:p>
            <w:pPr>
              <w:ind w:left="200"/>
              <w:spacing w:after="0"/>
              <w:rPr>
                <w:sz w:val="20"/>
                <w:szCs w:val="20"/>
                <w:color w:val="auto"/>
              </w:rPr>
            </w:pPr>
            <w:r>
              <w:rPr>
                <w:rFonts w:ascii="Arial" w:cs="Arial" w:eastAsia="Arial" w:hAnsi="Arial"/>
                <w:sz w:val="18"/>
                <w:szCs w:val="18"/>
                <w:color w:val="auto"/>
              </w:rPr>
              <w:t>Tier 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(517)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1,933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2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10"/>
        </w:trPr>
        <w:tc>
          <w:tcPr>
            <w:tcW w:w="20" w:type="dxa"/>
            <w:vAlign w:val="bottom"/>
          </w:tcPr>
          <w:p>
            <w:pPr>
              <w:spacing w:after="0"/>
              <w:rPr>
                <w:sz w:val="18"/>
                <w:szCs w:val="18"/>
                <w:color w:val="auto"/>
              </w:rPr>
            </w:pPr>
          </w:p>
        </w:tc>
        <w:tc>
          <w:tcPr>
            <w:tcW w:w="5520" w:type="dxa"/>
            <w:vAlign w:val="bottom"/>
            <w:gridSpan w:val="3"/>
          </w:tcPr>
          <w:p>
            <w:pPr>
              <w:ind w:left="320"/>
              <w:spacing w:after="0"/>
              <w:rPr>
                <w:sz w:val="20"/>
                <w:szCs w:val="20"/>
                <w:color w:val="auto"/>
              </w:rPr>
            </w:pPr>
            <w:r>
              <w:rPr>
                <w:rFonts w:ascii="Arial" w:cs="Arial" w:eastAsia="Arial" w:hAnsi="Arial"/>
                <w:sz w:val="18"/>
                <w:szCs w:val="18"/>
                <w:color w:val="auto"/>
              </w:rPr>
              <w:t>Solid Waste (a)</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7,744</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6,236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w:t>
            </w:r>
          </w:p>
        </w:tc>
      </w:tr>
      <w:tr>
        <w:trPr>
          <w:trHeight w:val="216"/>
        </w:trPr>
        <w:tc>
          <w:tcPr>
            <w:tcW w:w="5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(b)</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9"/>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8,852</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7,290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1,532</w:t>
            </w:r>
          </w:p>
        </w:tc>
      </w:tr>
      <w:tr>
        <w:trPr>
          <w:trHeight w:val="216"/>
        </w:trPr>
        <w:tc>
          <w:tcPr>
            <w:tcW w:w="5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and Other (c)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10"/>
        </w:trPr>
        <w:tc>
          <w:tcPr>
            <w:tcW w:w="20" w:type="dxa"/>
            <w:vAlign w:val="bottom"/>
          </w:tcPr>
          <w:p>
            <w:pPr>
              <w:spacing w:after="0"/>
              <w:rPr>
                <w:sz w:val="18"/>
                <w:szCs w:val="18"/>
                <w:color w:val="auto"/>
              </w:rPr>
            </w:pPr>
          </w:p>
        </w:tc>
        <w:tc>
          <w:tcPr>
            <w:tcW w:w="552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7,290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59"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w:t>
      </w:r>
    </w:p>
    <w:p>
      <w:pPr>
        <w:spacing w:after="0" w:line="78" w:lineRule="exact"/>
        <w:rPr>
          <w:rFonts w:ascii="Arial" w:cs="Arial" w:eastAsia="Arial" w:hAnsi="Arial"/>
          <w:sz w:val="18"/>
          <w:szCs w:val="18"/>
          <w:color w:val="auto"/>
        </w:rPr>
      </w:pPr>
    </w:p>
    <w:p>
      <w:pPr>
        <w:jc w:val="both"/>
        <w:ind w:left="380" w:right="59"/>
        <w:spacing w:after="0" w:line="284" w:lineRule="auto"/>
        <w:rPr>
          <w:rFonts w:ascii="Arial" w:cs="Arial" w:eastAsia="Arial" w:hAnsi="Arial"/>
          <w:sz w:val="18"/>
          <w:szCs w:val="18"/>
          <w:color w:val="auto"/>
        </w:rPr>
      </w:pPr>
      <w:r>
        <w:rPr>
          <w:rFonts w:ascii="Arial" w:cs="Arial" w:eastAsia="Arial" w:hAnsi="Arial"/>
          <w:sz w:val="16"/>
          <w:szCs w:val="16"/>
          <w:color w:val="auto"/>
        </w:rPr>
        <w:t>The increase in income from operations across the Tiers was primarily due to (i) revenue growth in our collection and disposal businesses driven by both volume and yield; (ii) improved profitability in our recycling business from higher market prices for recycling commodities, volume recovery from facilities where we temporarily suspended operations during the pandemic and improved costs at facilities where we have made investments in enhanced technology and equipment; (iii) a decrease in the provision for bad debts and (iv) the continuation of our proactive cost management efforts as volumes increased. These increases were partially offset by (i) higher incentive compensation costs;</w:t>
      </w:r>
    </w:p>
    <w:p>
      <w:pPr>
        <w:spacing w:after="0" w:line="4" w:lineRule="exact"/>
        <w:rPr>
          <w:rFonts w:ascii="Arial" w:cs="Arial" w:eastAsia="Arial" w:hAnsi="Arial"/>
          <w:sz w:val="18"/>
          <w:szCs w:val="18"/>
          <w:color w:val="auto"/>
        </w:rPr>
      </w:pPr>
    </w:p>
    <w:p>
      <w:pPr>
        <w:jc w:val="both"/>
        <w:ind w:left="380" w:right="59" w:hanging="6"/>
        <w:spacing w:after="0" w:line="253" w:lineRule="auto"/>
        <w:tabs>
          <w:tab w:leader="none" w:pos="6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inflationary cost pressures and (iii) increased overtime driven by increased volumes and driver shortages. Additionally, the prior year periods were impacted by non-cash impairment charges, as further discussed below. The positive earnings contributions of Advanced Disposal were offset by elevated depreciation and amortization of the related acquired assets.</w:t>
      </w:r>
    </w:p>
    <w:p>
      <w:pPr>
        <w:spacing w:after="0" w:line="85" w:lineRule="exact"/>
        <w:rPr>
          <w:sz w:val="20"/>
          <w:szCs w:val="20"/>
          <w:color w:val="auto"/>
        </w:rPr>
      </w:pPr>
    </w:p>
    <w:p>
      <w:pPr>
        <w:jc w:val="both"/>
        <w:ind w:left="380" w:right="59"/>
        <w:spacing w:after="0" w:line="257" w:lineRule="auto"/>
        <w:rPr>
          <w:sz w:val="20"/>
          <w:szCs w:val="20"/>
          <w:color w:val="auto"/>
        </w:rPr>
      </w:pPr>
      <w:r>
        <w:rPr>
          <w:rFonts w:ascii="Arial" w:cs="Arial" w:eastAsia="Arial" w:hAnsi="Arial"/>
          <w:sz w:val="18"/>
          <w:szCs w:val="18"/>
          <w:color w:val="auto"/>
        </w:rPr>
        <w:t>During the second quarter of 2020, income from operations was impacted by $61 million of non-cash impairments consisting of (i) $41 million of non-cash asset impairment charges in our Tier 2 segment primarily related to two landfills and an oil field waste injection facility and (ii) a $20 million non-cash impairment charge in our Tier 3 segment related to management’s decision to close a landfill once its constructed airspace is filled and abandon any remaining permitted airspace.</w:t>
      </w:r>
    </w:p>
    <w:p>
      <w:pPr>
        <w:spacing w:after="0" w:line="80" w:lineRule="exact"/>
        <w:rPr>
          <w:sz w:val="20"/>
          <w:szCs w:val="20"/>
          <w:color w:val="auto"/>
        </w:rPr>
      </w:pPr>
    </w:p>
    <w:p>
      <w:pPr>
        <w:jc w:val="both"/>
        <w:ind w:left="380" w:right="79" w:hanging="330"/>
        <w:spacing w:after="0" w:line="301"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includes (i) our Strategic Business Solutions (“WMSBS”) business; (ii) elements of our landfill gas-to-energy operations managed by our WM Renewable Energy business and not included in the operations of our reportable segments; (iii) elements of our third-party subcontract and administration revenues managed by our Energy and Environmental Services (“EES”) business and not included in the operations of our reportable segments; (iv) our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380" w:right="79"/>
        <w:spacing w:after="0" w:line="263" w:lineRule="auto"/>
        <w:rPr>
          <w:sz w:val="20"/>
          <w:szCs w:val="20"/>
          <w:color w:val="auto"/>
        </w:rPr>
      </w:pPr>
      <w:r>
        <w:rPr>
          <w:rFonts w:ascii="Arial" w:cs="Arial" w:eastAsia="Arial" w:hAnsi="Arial"/>
          <w:sz w:val="18"/>
          <w:szCs w:val="18"/>
          <w:color w:val="auto"/>
        </w:rPr>
        <w:t>recycling brokerage services and (v)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76" w:lineRule="exact"/>
        <w:rPr>
          <w:sz w:val="20"/>
          <w:szCs w:val="20"/>
          <w:color w:val="auto"/>
        </w:rPr>
      </w:pPr>
    </w:p>
    <w:p>
      <w:pPr>
        <w:jc w:val="both"/>
        <w:ind w:left="380" w:right="59"/>
        <w:spacing w:after="0" w:line="255" w:lineRule="auto"/>
        <w:rPr>
          <w:sz w:val="20"/>
          <w:szCs w:val="20"/>
          <w:color w:val="auto"/>
        </w:rPr>
      </w:pPr>
      <w:r>
        <w:rPr>
          <w:rFonts w:ascii="Arial" w:cs="Arial" w:eastAsia="Arial" w:hAnsi="Arial"/>
          <w:sz w:val="18"/>
          <w:szCs w:val="18"/>
          <w:color w:val="auto"/>
        </w:rPr>
        <w:t>The increase in income from operations was primarily driven by (i) increased market values for renewable energy credits generated by our WM Renewable Energy business; (ii) increased revenues for our WMSBS business as a result of new contracts, improved pricing and increased customer activity and (iii) higher market prices for commodities benefiting our recycling brokerage services. The increase in income from operations for the six months ended June 30, 2021, as compared with the prior year period, was also due to a gain from the divestiture of certain ancillary operations during the first quarter of 2021.</w:t>
      </w:r>
    </w:p>
    <w:p>
      <w:pPr>
        <w:spacing w:after="0" w:line="84" w:lineRule="exact"/>
        <w:rPr>
          <w:sz w:val="20"/>
          <w:szCs w:val="20"/>
          <w:color w:val="auto"/>
        </w:rPr>
      </w:pPr>
    </w:p>
    <w:p>
      <w:pPr>
        <w:jc w:val="both"/>
        <w:ind w:left="380" w:right="79" w:hanging="330"/>
        <w:spacing w:after="0" w:line="25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79" w:lineRule="exact"/>
        <w:rPr>
          <w:rFonts w:ascii="Arial" w:cs="Arial" w:eastAsia="Arial" w:hAnsi="Arial"/>
          <w:sz w:val="18"/>
          <w:szCs w:val="18"/>
          <w:color w:val="auto"/>
        </w:rPr>
      </w:pPr>
    </w:p>
    <w:p>
      <w:pPr>
        <w:jc w:val="both"/>
        <w:ind w:left="380" w:right="59"/>
        <w:spacing w:after="0" w:line="254" w:lineRule="auto"/>
        <w:rPr>
          <w:rFonts w:ascii="Arial" w:cs="Arial" w:eastAsia="Arial" w:hAnsi="Arial"/>
          <w:sz w:val="18"/>
          <w:szCs w:val="18"/>
          <w:color w:val="auto"/>
        </w:rPr>
      </w:pPr>
      <w:r>
        <w:rPr>
          <w:rFonts w:ascii="Arial" w:cs="Arial" w:eastAsia="Arial" w:hAnsi="Arial"/>
          <w:sz w:val="18"/>
          <w:szCs w:val="18"/>
          <w:color w:val="auto"/>
        </w:rPr>
        <w:t>The increase in these costs was driven by (i) higher incentive compensation costs; (ii) strategic investments in our digital platform; (iii) increases in health and welfare costs attributable to medical care activity generally returning to pre-pandemic levels from the lower levels experienced during 2020 and (iv) increased labor and support costs from our acquisition of Advanced Disposal. The six months ended June 30, 2021, as compared with the prior year period, was further impacted by a charge pertaining to reserves for certain loss contingencies recognized during the first quarter of 2021, as well as changes in the measurement of our environmental remediation obligations and recovery assets in both the first quarter of 2020 and 2021.</w:t>
      </w:r>
    </w:p>
    <w:p>
      <w:pPr>
        <w:spacing w:after="0" w:line="86"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7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The mix of operating revenues from our major lines of business are as follows (in millions):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142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8"/>
              </w:rPr>
              <w:t>Six Months Ended</w:t>
            </w:r>
          </w:p>
        </w:tc>
      </w:tr>
      <w:tr>
        <w:trPr>
          <w:trHeight w:val="171"/>
        </w:trPr>
        <w:tc>
          <w:tcPr>
            <w:tcW w:w="22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209"/>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1,307</w:t>
            </w:r>
          </w:p>
        </w:tc>
      </w:tr>
      <w:tr>
        <w:trPr>
          <w:trHeight w:val="21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16"/>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collection</w:t>
            </w: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09"/>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Landfill</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1,075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1,761</w:t>
            </w:r>
          </w:p>
        </w:tc>
      </w:tr>
      <w:tr>
        <w:trPr>
          <w:trHeight w:val="21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Recycling</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1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Intercompany (b)</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(959)</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(1,818)</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(1,562)</w:t>
            </w:r>
          </w:p>
        </w:tc>
      </w:tr>
      <w:tr>
        <w:trPr>
          <w:trHeight w:val="210"/>
        </w:trPr>
        <w:tc>
          <w:tcPr>
            <w:tcW w:w="57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r>
      <w:tr>
        <w:trPr>
          <w:trHeight w:val="20"/>
        </w:trPr>
        <w:tc>
          <w:tcPr>
            <w:tcW w:w="2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72"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“Other” line of business includes (i) certain services provided by our WMSBS business; (ii) our landfill gas-to-energy operations; (iii) certain services within our EES business,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80" w:right="79" w:hanging="330"/>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6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general economic conditions.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6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Prior year period operating results were negatively impacted by COVID-19, as volumes declined beginning in March 2020 in our landfill, industrial and commercial collection businesses due to steps taken by national and local governments to slow the spread of the virus, including travel bans, prohibitions on group events and gatherings, shutdowns of certain businesses, curfews, shelter-in-place orders and recommendations to practice social distancing.</w:t>
      </w:r>
    </w:p>
    <w:p>
      <w:pPr>
        <w:spacing w:after="0" w:line="17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Service disruptions caused by severe storms, extended periods of inclement weather or climate events can significantly impact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as a result of the waste volumes generated by these events. While weather-related and other event-driven special projects can boost revenues through additional work for a limited time, as a result of significant start-up costs and other factors, such revenue can generate earnings at comparatively lower margins.</w:t>
      </w:r>
    </w:p>
    <w:p>
      <w:pPr>
        <w:spacing w:after="0" w:line="173"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Acquisition of Advanced Disposal</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On October 30, 2020, we completed the acquisition of all outstanding shares of Advanced Disposal for $30.30 per share in cash, pursuant to an Agreement and Plan of Merger dated April 14, 2019, as amended on June 24, 2020. Total enterprise value of the acquisition was $4.6 billion when including approximately $1.8 billion of Advanced Disposal’s net debt. This acquisition grows our footprint and allows us to provide differentiated, sustainable waste management and recycling services to approximately three million new commercial, industrial, and residential customers, primarily located in the Eastern half of the U.S. The acquisition was funded using a $3.0 billion, 364-day, U.S. revolving credit facility and our commercial paper program. In November 2020, we issued $2.5 billion of senior notes and used a portion of the proceeds to repay all outstanding borrowings under the $3.0 billion, 364-day, U.S. revolver and terminated the facility.</w:t>
      </w:r>
    </w:p>
    <w:p>
      <w:pPr>
        <w:spacing w:after="0" w:line="16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consolidated financial statements have not been retroactively restated to include Advanced Disposal’s historical financial position or results of operations. The acquisition was accounted for as a business combination. In accordance with the purchase method of accounting, the purchase price paid has been allocated to the assets and liabilities acquired based upon their estimated fair values as of the acquisition date, with the excess of the purchase price over the net assets acquired recorded as goodwill. We have substantially completed our valuation processes of all of the assets and liabilities acquired in the acquisition, however, until we have completed our valuation process, there may be adjustments to our estimates of fair value and resulting preliminary purchase price allocation, specifically those that require significant accounting estimates and assumptions, such as our landfills and intangibles.</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Goodwill of $2.5 billion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Areas that have integrated these operations as they are benefiting from the synergies of the combination. Goodwill related to this acquisition is not deductible for income tax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shows the preliminary purchase price allocation as of the date acquired, and adjustments to</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2021 (in millions):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October 30, 2020</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June 30, 2021</w:t>
            </w:r>
          </w:p>
        </w:tc>
      </w:tr>
      <w:tr>
        <w:trPr>
          <w:trHeight w:val="210"/>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and other receivables</w:t>
            </w: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Parts and supplies</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Assets held for sale (a)</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16"/>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216"/>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2,475</w:t>
            </w:r>
          </w:p>
        </w:tc>
      </w:tr>
      <w:tr>
        <w:trPr>
          <w:trHeight w:val="216"/>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Investments in unconsolidated entities</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Deferred revenues</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Liabilities held for sale (a)</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 (b)</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Landfill and environmental remediation liabilities</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16"/>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9"/>
        </w:trPr>
        <w:tc>
          <w:tcPr>
            <w:tcW w:w="508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purchase price</w:t>
            </w:r>
          </w:p>
        </w:tc>
        <w:tc>
          <w:tcPr>
            <w:tcW w:w="38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r>
      <w:tr>
        <w:trPr>
          <w:trHeight w:val="20"/>
        </w:trPr>
        <w:tc>
          <w:tcPr>
            <w:tcW w:w="2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93"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connection with our acquisition of Advanced Disposal, we were required by the U.S. Department of Justice to divest assets, including a portion of the assets acquired from Advanced Disposal. Upon acquisition these assets met the criteria for reporting discontinued operations and were classified as held for sale and included within the “Assets held for sale” and “Liabilities held for sale” line items in the above preliminary allocation of purchase price. Immediately following the closing of our acquisition of Advanced Disposal, the transactions contemplated by the U.S. Department of Justice were consummated and we sold the net assets to GFL Environmental for total consideration of $856 million.</w:t>
      </w:r>
    </w:p>
    <w:p>
      <w:pPr>
        <w:spacing w:after="0" w:line="56" w:lineRule="exact"/>
        <w:rPr>
          <w:rFonts w:ascii="Arial" w:cs="Arial" w:eastAsia="Arial" w:hAnsi="Arial"/>
          <w:sz w:val="16"/>
          <w:szCs w:val="16"/>
          <w:color w:val="auto"/>
        </w:rPr>
      </w:pPr>
    </w:p>
    <w:p>
      <w:pPr>
        <w:jc w:val="both"/>
        <w:ind w:left="380" w:right="79" w:hanging="330"/>
        <w:spacing w:after="0" w:line="263"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the time of acquisition, Advanced Disposal had outstanding $425 million of 5.625% senior notes due November 2024, the fair value of which was $438 million. In November 2020, we redeemed the notes pursuant to an optional redemption feature.</w:t>
      </w:r>
    </w:p>
    <w:p>
      <w:pPr>
        <w:spacing w:after="0" w:line="18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preliminary allocation of $601 million as of June 30, 2021 for other intangibles includes $572 million for customer relationships with an amortization period of 15 years and $29 million of other intangibles with a weighted average amortization period of seven years.</w:t>
      </w:r>
    </w:p>
    <w:p>
      <w:pPr>
        <w:spacing w:after="0" w:line="180" w:lineRule="exact"/>
        <w:rPr>
          <w:sz w:val="20"/>
          <w:szCs w:val="20"/>
          <w:color w:val="auto"/>
        </w:rPr>
      </w:pPr>
    </w:p>
    <w:p>
      <w:pPr>
        <w:ind w:left="360" w:hanging="310"/>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Divestitures, Asset Impairments and Unusual Items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During the six months ended June 30, 2021, we recognized net charges of $17 million in the first quarter of 2021 consisting of (i) a $19 million charge pertaining to reserves for loss contingencies in our Corporate and Other segment and</w:t>
      </w:r>
    </w:p>
    <w:p>
      <w:pPr>
        <w:ind w:left="320" w:hanging="270"/>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$6 million of asset impairment charges primarily related to our WM Renewable Energy business within our Other</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4420"/>
        <w:spacing w:after="0"/>
        <w:rPr>
          <w:rFonts w:ascii="Arial" w:cs="Arial" w:eastAsia="Arial" w:hAnsi="Arial"/>
          <w:sz w:val="17"/>
          <w:szCs w:val="17"/>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Segment. These charges were partially offset by an $8 million gain from divestitures of certain ancillary operations in our Other segment.</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During the six months ended June 30, 2020, we recognized non-cash impairment charges of $61 million in the second quarter of 2020 primarily related to the following:</w:t>
      </w:r>
    </w:p>
    <w:p>
      <w:pPr>
        <w:spacing w:after="0" w:line="17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Energy Services Asset Impairments</w:t>
      </w:r>
      <w:r>
        <w:rPr>
          <w:rFonts w:ascii="Arial" w:cs="Arial" w:eastAsia="Arial" w:hAnsi="Arial"/>
          <w:sz w:val="18"/>
          <w:szCs w:val="18"/>
          <w:color w:val="auto"/>
        </w:rPr>
        <w:t>— During the second quarter of 2020, the Company tested the recoverability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energy services assets in our Tier 2 segment. Indicators of impairment included (i) the sharp downturn in oil demand that has led to a significant decline in oil prices and production activities, which we project will have long-term impacts on the utilization of our assets and (ii) significant shifts in our business, including increases in competition and customers choosing to bury waste on site versus in a landfill, reducing our revenue outlook. The Company determined that the carrying amount of the asset group was not fully recoverable. As a result, we recognized $41 million of non-cash impairment charges primarily related to two landfills and an oil field waste injection facility in our Tier 2 segment. We wrote down the net book value of these assets to their estimated fair value using an income approach based on estimated future cash flow projections (Level 3). The aggregate fair value of the impaired asset group was $8 million as of June 30, 2020.</w:t>
      </w:r>
    </w:p>
    <w:p>
      <w:pPr>
        <w:spacing w:after="0" w:line="19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Other Impairments </w:t>
      </w:r>
      <w:r>
        <w:rPr>
          <w:rFonts w:ascii="Arial" w:cs="Arial" w:eastAsia="Arial" w:hAnsi="Arial"/>
          <w:sz w:val="17"/>
          <w:szCs w:val="17"/>
          <w:color w:val="auto"/>
        </w:rPr>
        <w:t>— In addition to the energy services impairments noted above, during the second quarter of 2020,</w:t>
      </w:r>
      <w:r>
        <w:rPr>
          <w:rFonts w:ascii="Arial" w:cs="Arial" w:eastAsia="Arial" w:hAnsi="Arial"/>
          <w:sz w:val="17"/>
          <w:szCs w:val="17"/>
          <w:i w:val="1"/>
          <w:iCs w:val="1"/>
          <w:color w:val="auto"/>
        </w:rPr>
        <w:t xml:space="preserve"> </w:t>
      </w:r>
      <w:r>
        <w:rPr>
          <w:rFonts w:ascii="Arial" w:cs="Arial" w:eastAsia="Arial" w:hAnsi="Arial"/>
          <w:sz w:val="17"/>
          <w:szCs w:val="17"/>
          <w:color w:val="auto"/>
        </w:rPr>
        <w:t>we recognized a $20 million non-cash impairment charge in our Tier 3 segment due to management’s decision to close a landfill once its constructed airspace is filled and abandon any remaining permitted airspace, which was considered an impairment indicator. As the carrying value was not recoverable, we wrote off the entire net book value of the asset using an income approach based on estimated future cash flow projections (Level 3). The impairment charge was comprised of $12 million related to the carrying value of the asset and $8 million related to the acceleration of the expected timing of capping, closure and post-closure activities.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During the first quarter of 2020, we recorded a non-cash impairment charge of $7 million related to our investment in a refined coal facility which is discussed further in Note 4. The fair value of our investment was not readily determinable; thus, we determined the fair value using management assumptions pertaining to investment value (Level 3).</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Post-</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Retirement</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Benefit</w:t>
            </w:r>
          </w:p>
        </w:tc>
        <w:tc>
          <w:tcPr>
            <w:tcW w:w="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Adjustments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Obligations</w:t>
            </w:r>
          </w:p>
        </w:tc>
        <w:tc>
          <w:tcPr>
            <w:tcW w:w="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140"/>
              <w:spacing w:after="0" w:line="201" w:lineRule="exact"/>
              <w:rPr>
                <w:sz w:val="20"/>
                <w:szCs w:val="20"/>
                <w:color w:val="auto"/>
              </w:rPr>
            </w:pPr>
            <w:r>
              <w:rPr>
                <w:rFonts w:ascii="Arial" w:cs="Arial" w:eastAsia="Arial" w:hAnsi="Arial"/>
                <w:sz w:val="18"/>
                <w:szCs w:val="18"/>
                <w:color w:val="auto"/>
                <w:w w:val="96"/>
              </w:rPr>
              <w:t>Other comprehensive income (loss) before reclassifications, net</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of tax expense (benefit) of $0, $(1), $0 and $0, respectively</w:t>
            </w:r>
          </w:p>
        </w:tc>
        <w:tc>
          <w:tcPr>
            <w:tcW w:w="3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(income) loss, net of tax (expense) benefit of $3, $0, $0 and $0,</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3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4380"/>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5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Common Stock Repurchase Program</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Company repurchases shares of its common stock as part of capital allocation programs authorized by our Board of Directors. In February 2021, we entered into an accelerated share repurchase (“ASR”) agreement to repurchase $250 million of our common stock. At the beginning of the repurchase period, we delivered $250 million cash and received 1.8 million shares based on a stock price of $110.56. The ASR agreement completed in the second quarter of 2021, at which time we received 0.2 million additional shares based on a final weighted average price of $126.83.</w:t>
      </w:r>
    </w:p>
    <w:p>
      <w:pPr>
        <w:spacing w:after="0" w:line="16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May 2021, we entered into an ASR agreement to repurchase $250 million of our common stock. At the beginning of the repurchase period, we delivered $250 million cash and received 1.4 million shares based on a stock price of $141.42.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in July 2021.</w:t>
      </w:r>
    </w:p>
    <w:p>
      <w:pPr>
        <w:spacing w:after="0" w:line="17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As of June 30, 2021, the Company has authorization for $850 million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assets and liabilities that are measured at fair value on a recurring basis include the following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r>
      <w:tr>
        <w:trPr>
          <w:trHeight w:val="155"/>
        </w:trPr>
        <w:tc>
          <w:tcPr>
            <w:tcW w:w="5500" w:type="dxa"/>
            <w:vAlign w:val="bottom"/>
            <w:gridSpan w:val="4"/>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Fair Value Measurements Using:</w:t>
            </w:r>
          </w:p>
        </w:tc>
        <w:tc>
          <w:tcPr>
            <w:tcW w:w="1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500" w:type="dxa"/>
            <w:vAlign w:val="bottom"/>
            <w:gridSpan w:val="4"/>
          </w:tcPr>
          <w:p>
            <w:pPr>
              <w:ind w:left="20"/>
              <w:spacing w:after="0"/>
              <w:rPr>
                <w:sz w:val="20"/>
                <w:szCs w:val="20"/>
                <w:color w:val="auto"/>
              </w:rPr>
            </w:pPr>
            <w:r>
              <w:rPr>
                <w:rFonts w:ascii="Arial" w:cs="Arial" w:eastAsia="Arial" w:hAnsi="Arial"/>
                <w:sz w:val="18"/>
                <w:szCs w:val="18"/>
                <w:color w:val="auto"/>
              </w:rPr>
              <w:t>Quoted prices in active markets (Level 1):</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Cash equivalents and money market funds (a)</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16"/>
        </w:trPr>
        <w:tc>
          <w:tcPr>
            <w:tcW w:w="5500" w:type="dxa"/>
            <w:vAlign w:val="bottom"/>
            <w:gridSpan w:val="4"/>
          </w:tcPr>
          <w:p>
            <w:pPr>
              <w:ind w:left="20"/>
              <w:spacing w:after="0"/>
              <w:rPr>
                <w:sz w:val="20"/>
                <w:szCs w:val="20"/>
                <w:color w:val="auto"/>
              </w:rPr>
            </w:pPr>
            <w:r>
              <w:rPr>
                <w:rFonts w:ascii="Arial" w:cs="Arial" w:eastAsia="Arial" w:hAnsi="Arial"/>
                <w:sz w:val="18"/>
                <w:szCs w:val="18"/>
                <w:color w:val="auto"/>
              </w:rPr>
              <w:t>Significant other observable inputs (Level 2):</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Available-for-sale securities (b)</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5500" w:type="dxa"/>
            <w:vAlign w:val="bottom"/>
            <w:gridSpan w:val="4"/>
          </w:tcPr>
          <w:p>
            <w:pPr>
              <w:ind w:left="20"/>
              <w:spacing w:after="0"/>
              <w:rPr>
                <w:sz w:val="20"/>
                <w:szCs w:val="20"/>
                <w:color w:val="auto"/>
              </w:rPr>
            </w:pPr>
            <w:r>
              <w:rPr>
                <w:rFonts w:ascii="Arial" w:cs="Arial" w:eastAsia="Arial" w:hAnsi="Arial"/>
                <w:sz w:val="18"/>
                <w:szCs w:val="18"/>
                <w:color w:val="auto"/>
              </w:rPr>
              <w:t>Significant unobservable inputs (Level 3):</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Redeemable preferred stock (c)</w:t>
            </w:r>
          </w:p>
        </w:tc>
        <w:tc>
          <w:tcPr>
            <w:tcW w:w="1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20" w:type="dxa"/>
            <w:vAlign w:val="bottom"/>
          </w:tcPr>
          <w:p>
            <w:pPr>
              <w:spacing w:after="0"/>
              <w:rPr>
                <w:sz w:val="18"/>
                <w:szCs w:val="18"/>
                <w:color w:val="auto"/>
              </w:rPr>
            </w:pPr>
          </w:p>
        </w:tc>
        <w:tc>
          <w:tcPr>
            <w:tcW w:w="5480" w:type="dxa"/>
            <w:vAlign w:val="bottom"/>
            <w:gridSpan w:val="3"/>
          </w:tcPr>
          <w:p>
            <w:pPr>
              <w:ind w:left="200"/>
              <w:spacing w:after="0"/>
              <w:rPr>
                <w:sz w:val="20"/>
                <w:szCs w:val="20"/>
                <w:color w:val="auto"/>
              </w:rPr>
            </w:pPr>
            <w:r>
              <w:rPr>
                <w:rFonts w:ascii="Arial" w:cs="Arial" w:eastAsia="Arial" w:hAnsi="Arial"/>
                <w:sz w:val="18"/>
                <w:szCs w:val="18"/>
                <w:color w:val="auto"/>
              </w:rPr>
              <w:t>Total Assets</w:t>
            </w:r>
          </w:p>
        </w:tc>
        <w:tc>
          <w:tcPr>
            <w:tcW w:w="1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gridSpan w:val="2"/>
          </w:tcPr>
          <w:p>
            <w:pPr>
              <w:spacing w:after="0"/>
              <w:rPr>
                <w:sz w:val="7"/>
                <w:szCs w:val="7"/>
                <w:color w:val="auto"/>
              </w:rPr>
            </w:pPr>
          </w:p>
        </w:tc>
        <w:tc>
          <w:tcPr>
            <w:tcW w:w="3260" w:type="dxa"/>
            <w:vAlign w:val="bottom"/>
            <w:gridSpan w:val="2"/>
          </w:tcPr>
          <w:p>
            <w:pPr>
              <w:spacing w:after="0"/>
              <w:rPr>
                <w:sz w:val="7"/>
                <w:szCs w:val="7"/>
                <w:color w:val="auto"/>
              </w:rPr>
            </w:pPr>
          </w:p>
        </w:tc>
        <w:tc>
          <w:tcPr>
            <w:tcW w:w="2700" w:type="dxa"/>
            <w:vAlign w:val="bottom"/>
            <w:gridSpan w:val="5"/>
          </w:tcPr>
          <w:p>
            <w:pPr>
              <w:spacing w:after="0"/>
              <w:rPr>
                <w:sz w:val="7"/>
                <w:szCs w:val="7"/>
                <w:color w:val="auto"/>
              </w:rPr>
            </w:pPr>
          </w:p>
        </w:tc>
        <w:tc>
          <w:tcPr>
            <w:tcW w:w="700" w:type="dxa"/>
            <w:vAlign w:val="bottom"/>
          </w:tcPr>
          <w:p>
            <w:pPr>
              <w:spacing w:after="0"/>
              <w:rPr>
                <w:sz w:val="7"/>
                <w:szCs w:val="7"/>
                <w:color w:val="auto"/>
              </w:rPr>
            </w:pPr>
          </w:p>
        </w:tc>
      </w:tr>
      <w:tr>
        <w:trPr>
          <w:trHeight w:val="290"/>
        </w:trPr>
        <w:tc>
          <w:tcPr>
            <w:tcW w:w="5500" w:type="dxa"/>
            <w:vAlign w:val="bottom"/>
            <w:gridSpan w:val="4"/>
          </w:tcPr>
          <w:p>
            <w:pPr>
              <w:ind w:left="20"/>
              <w:spacing w:after="0"/>
              <w:rPr>
                <w:sz w:val="20"/>
                <w:szCs w:val="20"/>
                <w:color w:val="auto"/>
              </w:rPr>
            </w:pPr>
            <w:r>
              <w:rPr>
                <w:rFonts w:ascii="Arial" w:cs="Arial" w:eastAsia="Arial" w:hAnsi="Arial"/>
                <w:sz w:val="18"/>
                <w:szCs w:val="18"/>
                <w:color w:val="auto"/>
                <w:w w:val="96"/>
              </w:rPr>
              <w:t>(a)  The  decrease  is  primarily  due  to  the  use  of  available  cash  to</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5"/>
              </w:rPr>
              <w:t>retire  certain  high-coupon  senior</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notes  in</w:t>
            </w:r>
          </w:p>
        </w:tc>
      </w:tr>
      <w:tr>
        <w:trPr>
          <w:trHeight w:val="230"/>
        </w:trPr>
        <w:tc>
          <w:tcPr>
            <w:tcW w:w="20" w:type="dxa"/>
            <w:vAlign w:val="bottom"/>
          </w:tcPr>
          <w:p>
            <w:pPr>
              <w:spacing w:after="0"/>
              <w:rPr>
                <w:sz w:val="20"/>
                <w:szCs w:val="20"/>
                <w:color w:val="auto"/>
              </w:rPr>
            </w:pPr>
          </w:p>
        </w:tc>
        <w:tc>
          <w:tcPr>
            <w:tcW w:w="5480" w:type="dxa"/>
            <w:vAlign w:val="bottom"/>
            <w:gridSpan w:val="3"/>
          </w:tcPr>
          <w:p>
            <w:pPr>
              <w:ind w:left="320"/>
              <w:spacing w:after="0"/>
              <w:rPr>
                <w:sz w:val="20"/>
                <w:szCs w:val="20"/>
                <w:color w:val="auto"/>
              </w:rPr>
            </w:pPr>
            <w:r>
              <w:rPr>
                <w:rFonts w:ascii="Arial" w:cs="Arial" w:eastAsia="Arial" w:hAnsi="Arial"/>
                <w:sz w:val="18"/>
                <w:szCs w:val="18"/>
                <w:color w:val="auto"/>
              </w:rPr>
              <w:t>May 2021, which is discussed further in Note 3.</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94" w:lineRule="exact"/>
        <w:rPr>
          <w:sz w:val="20"/>
          <w:szCs w:val="20"/>
          <w:color w:val="auto"/>
        </w:rPr>
      </w:pPr>
    </w:p>
    <w:p>
      <w:pPr>
        <w:ind w:left="380" w:hanging="330"/>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available-for-sale securities primarily relate to debt securities with maturities over the next nine years.</w:t>
      </w:r>
    </w:p>
    <w:p>
      <w:pPr>
        <w:spacing w:after="0" w:line="117" w:lineRule="exact"/>
        <w:rPr>
          <w:rFonts w:ascii="Arial" w:cs="Arial" w:eastAsia="Arial" w:hAnsi="Arial"/>
          <w:sz w:val="18"/>
          <w:szCs w:val="18"/>
          <w:color w:val="auto"/>
        </w:rPr>
      </w:pPr>
    </w:p>
    <w:p>
      <w:pPr>
        <w:jc w:val="both"/>
        <w:ind w:left="380" w:right="79" w:hanging="330"/>
        <w:spacing w:after="0" w:line="25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See Note 8 for information related to the nonrecurring fair value measurement of assets and liabilities acquired in connection with our acquisition of Advanced Disposal. See Note 9 for information related to our nonrecurring fair value measurements and the impact of impairments.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As of June 30, 2021 and December 31, 2020, the carrying value of our debt was $13.2 billion and $13.8 billion, respectively. The estimated fair value of our debt was approximately $14.0 billion and $15.2 billion as of June 30, 2021 and December 31, 2020, respectively. The decrease in the fair value of debt is primarily related to net repayments of $619 million during 2021 and the replacement of debt balances with a relatively high fair value to carrying value ratio with new debt with a fair value that approximates carrying value (refer to Note 3 for additional information) and increases in current market rates of our senior notes.</w:t>
      </w:r>
    </w:p>
    <w:p>
      <w:pPr>
        <w:spacing w:after="0" w:line="19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June 30, 2021 and December 31, 2020. These amounts have not been revalued since those dates, and current estimates of fair value could differ significantly from the amounts presented.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Variable Interest Entities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Low-Income Housing Properties</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do not consolidate our investments in entities established to manage low-income housing properties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$207 million and $228 million as of June 30, 2021 and December 31, 2020, respectively. The debt balance related to our investments in low-income housing properties was $183 million and $210 million as of June 30, 2021 and December 31, 2020, respectively.</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$109 million and $106 million as of June 30, 2021 and December 31, 2020, respectively.</w:t>
      </w:r>
    </w:p>
    <w:p>
      <w:pPr>
        <w:spacing w:after="0" w:line="18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Consolidated Variable Interest Entities — </w:t>
      </w:r>
      <w:r>
        <w:rPr>
          <w:rFonts w:ascii="Arial" w:cs="Arial" w:eastAsia="Arial" w:hAnsi="Arial"/>
          <w:sz w:val="17"/>
          <w:szCs w:val="17"/>
          <w:color w:val="auto"/>
        </w:rPr>
        <w:t>Trust funds for which we are the sole beneficiary are consolidated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we are the primary beneficiary. These trust funds are recorded in restricted trust and escrow accounts in our Condensed Consolidated Balance Sheets. Unrealized gains and losses on available-for-sale securities held by these trusts are recorded as a component of accumulated other comprehensive income (loss). These trusts had a fair value of $117 million and $114 million as of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5" w:name="page26"/>
    <w:bookmarkEnd w:id="25"/>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89"/>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2020.</w:t>
      </w:r>
    </w:p>
    <w:p>
      <w:pPr>
        <w:spacing w:after="0" w:line="187" w:lineRule="exact"/>
        <w:rPr>
          <w:sz w:val="20"/>
          <w:szCs w:val="20"/>
          <w:color w:val="auto"/>
        </w:rPr>
      </w:pPr>
    </w:p>
    <w:p>
      <w:pPr>
        <w:jc w:val="both"/>
        <w:ind w:left="60" w:right="59" w:firstLine="389"/>
        <w:spacing w:after="0" w:line="283" w:lineRule="auto"/>
        <w:rPr>
          <w:sz w:val="20"/>
          <w:szCs w:val="20"/>
          <w:color w:val="auto"/>
        </w:rPr>
      </w:pPr>
      <w:r>
        <w:rPr>
          <w:rFonts w:ascii="Arial" w:cs="Arial" w:eastAsia="Arial" w:hAnsi="Arial"/>
          <w:sz w:val="16"/>
          <w:szCs w:val="16"/>
          <w:color w:val="auto"/>
        </w:rPr>
        <w:t>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growth, and cost savings initiatives and overall business strategy; failure to identify acquisition targets and negotiate attractive terms; failure to consummate or integrate acquisitions; failure to obtain the results anticipated from acquisitions; failure to successfully integrate the acquisition of Advanced Disposal Services, Inc. (“Advanced Disposal”), realize anticipated synergies or obtain other results anticipated from such acquisition; environmental and other regulations, including developments related to emerging contaminants, gas emissions and renewable fuel; significant environmental, safety or other incidents resulting in liabilities or brand damage; failure to obtain and maintain necessary permits; failure to attract, hire and retain key team members and a high quality workforce; labor disruptions and wage-related regulations; significant storms and destructive climate events; public health risk and other impacts of COVID-19 or similar pandemic conditions, including increased costs, social and commercial disruption and service reductions; increased competition; pricing actions; commodity price fluctuations; international trade restrictions; disposal alternatives and waste diversion; declining waste volumes; weakness in general economic conditions and capital markets; adoption of new tax legislation; fuel shortages; failure to develop and protect new technology; failure of technology to perform as expected, including implementation of a new enterprise resource planning system; failure to prevent, detect and address cybersecurity incidents or comply with privacy regulations; negative outcomes of litigation or governmental proceedings; decisions or developments that result in impairment charges and other risks discussed in our filings with the SEC, including Part I, Item 1A of our Annual Report on Form 10-K for the year ended December 31, 2020. The Company is optimistic about volume recovery and overall economic recovery as states and local jurisdictions continue lifting previous restrictions related to the COVID-19 pandemic. However, uncertainty remains with respect to the pace of economic recovery, as well as the potential for resurgence in transmission of COVID-19 and related business closures due to virus variants or otherwise. Such conditions could have an unanticipated adverse impact on our business. We assume no obligation to update any forward-looking statement, including financial estimates and forecasts, whether as a result of future events, circumstances or developments or otherwise.</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in the U.S. and Canada.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 decomposes in landfills and using the gas in generators to make electricity or natural gas. Additionally, we are a leading recycler in the U.S. and Canada, handling materials that include paper, cardboard, glass, plastic and metal. Our “Solid Waste” business is operated and managed locally by our subsidiaries that focus on distinct geographic areas and provides collection, transfer, disposal, and recycling and resource recovery services. Consistent with our Company’s long-standing commitment to corporate sustainability and environmental stewardship, we published our 2020 Sustainability Report, which details our commitment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6" w:name="page27"/>
    <w:bookmarkEnd w:id="26"/>
    <w:p>
      <w:pPr>
        <w:jc w:val="both"/>
        <w:ind w:left="60" w:right="79"/>
        <w:spacing w:after="0" w:line="263" w:lineRule="auto"/>
        <w:rPr>
          <w:sz w:val="20"/>
          <w:szCs w:val="20"/>
          <w:color w:val="auto"/>
        </w:rPr>
      </w:pPr>
      <w:r>
        <w:rPr>
          <w:rFonts w:ascii="Arial" w:cs="Arial" w:eastAsia="Arial" w:hAnsi="Arial"/>
          <w:sz w:val="18"/>
          <w:szCs w:val="18"/>
          <w:color w:val="auto"/>
        </w:rPr>
        <w:t>to help make the communities in which we live and work safe, resilient and sustainable. The information in this report can be found at https://sustainability.wm.com but does not constitute a part of, and is not incorporated by reference into this Quarterly Report on Form 10-Q.</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described under </w:t>
      </w: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below.</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Acquisition of Advanced Disposal</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On October 30, 2020, we completed our acquisition of all outstanding shares of Advanced Disposal for $30.30 per share in cash, pursuant to an Agreement and Plan of Merger dated April 14, 2019, as amended on June 24, 2020. Total enterprise value of the acquisition was $4.6 billion when including approximately $1.8 billion of Advanced Disposal’s net debt. This acquisition grows our footprint and allows us to provide differentiated, sustainable waste management and recycling services to approximately three million new commercial, industrial and residential customers primarily located in the Eastern half of the U.S. The acquisition was funded using a $3.0 billion, 364-day, U.S. revolving credit facility and our commercial paper program. In November 2020, we issued $2.5 billion of senior notes and used a portion of the proceeds to repay all outstanding borrowings under the $3.0 billion, 364-day, U.S. revolver and terminated the facility. As a result of the acquisition we recorded $4.1 billion of net assets including $2.5 billion of goodwill as of December 31, 2020. During the first half of 2021, we made significant progress on our integration of Advanced Disposal. The focus of these efforts has been to ensure that we continue to provide uninterrupted service to our customers through the integration of certain customer facing and back office digital platforms.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COVID-19 Update</w:t>
      </w:r>
    </w:p>
    <w:p>
      <w:pPr>
        <w:spacing w:after="0" w:line="225" w:lineRule="exact"/>
        <w:rPr>
          <w:sz w:val="20"/>
          <w:szCs w:val="20"/>
          <w:color w:val="auto"/>
        </w:rPr>
      </w:pPr>
    </w:p>
    <w:p>
      <w:pPr>
        <w:jc w:val="both"/>
        <w:ind w:left="60" w:right="79" w:firstLine="324"/>
        <w:spacing w:after="0" w:line="296" w:lineRule="auto"/>
        <w:rPr>
          <w:sz w:val="20"/>
          <w:szCs w:val="20"/>
          <w:color w:val="auto"/>
        </w:rPr>
      </w:pPr>
      <w:r>
        <w:rPr>
          <w:rFonts w:ascii="Arial" w:cs="Arial" w:eastAsia="Arial" w:hAnsi="Arial"/>
          <w:sz w:val="16"/>
          <w:szCs w:val="16"/>
          <w:color w:val="auto"/>
        </w:rPr>
        <w:t>Throughout the COVID-19 pandemic, the Company has proactively taken steps to put our employees’ and customers’ needs first and we continue to work with the appropriate regulatory agencies to ensure we can provide our essential services safely and efficiently. We continue to operate with a focus on protecting the health and safety of our employees and maintaining business continuity for our customers. These efforts, combined with our disciplined execution in our daily operations, have positioned the Company to prudently manage the challenges presented by COVID-19.</w:t>
      </w:r>
    </w:p>
    <w:p>
      <w:pPr>
        <w:spacing w:after="0" w:line="161"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impacts of COVID-19 on the global economy increased rapidly during the second quarter of 2020, affecting our business in most geographies and across a variety of our customer types. Over the last year, our volumes have been recovering from the sharp decline experienced in April 2020 as a result of COVID-19. The pace of recovery in our volumes accelerated in the second quarter of 2021 as more communities and businesses re-opened. The portions of our business that had the most pronounced decreases in volume due to the pandemic were our industrial and commercial collection businesses and construction and demolition and special waste volumes at our landfills. As we exited the second quarter of 2021, volumes in each of these lines of business were either on par with pre-pandemic levels or have now surpassed 2019 volumes. Volumes in our recycling business are also up primarily due to the re-opening of facilities where we temporarily suspended operations during the pandemic. We continue to be optimistic about our volume recovery in 2021 as the economy continues to rebound and states and local jurisdictions continue re-opening. However, uncertainty remains with respect to the pace of economic recovery, as well as the potential for resurgence in transmission of COVID-19 and related business closures due to virus variants or otherwise. Such conditions could adversely impact our volumes and costs over the remainder of the year.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7" w:name="page28"/>
    <w:bookmarkEnd w:id="27"/>
    <w:p>
      <w:pPr>
        <w:ind w:left="180"/>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that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enhancements to our digital platform,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w:t>
      </w:r>
    </w:p>
    <w:p>
      <w:pPr>
        <w:spacing w:after="0" w:line="17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Despite some industry consolidation in recent years, we encounter intense competition from governmental, quasi-governmental and private service providers based on pricing, service quality, customer experience and breadth of service offerings.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including the impact of COVID-19, can and have caused customers to reduce their service needs. Such negative economic conditions, in addition to competitor actions, can and have made it more challenging to implement our pricing strategy and negotiate, renew or expand service contracts with acceptable margins.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Volume changes can fluctuate dramatically by line of business and volume changes in higher margin businesses, such as what we saw with COVID-19, can impact key financial metrics. In this type of environment, we must dynamically manage our cost structure.</w:t>
      </w:r>
    </w:p>
    <w:p>
      <w:pPr>
        <w:spacing w:after="0" w:line="18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customer service digitalization initiative to change the way we interact with our customers. Enhancements made through this initiative are designed to seamlessly and digitally connect all the Company’s functions required to service our customers in order to provide the best experience and service. Additionally, we continue to make meaningful progress on the implementation of our new enterprise resource planning system.</w:t>
      </w:r>
    </w:p>
    <w:p>
      <w:pPr>
        <w:spacing w:after="0" w:line="17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During the second quarter of 2021, we began to see inflationary cost pressures, particularly in our operating costs and capital expenditures. As costs increase, we focus on our strategic pricing efforts, as well as operating efficiencies and cost controls, to maintain and grow our earnings and cash flow. With increased pressure from the strong economic recovery, particularly on labor, we remain focused on putting our people first to ensure that they are well positioned to diligently and safely execute our daily operations. We are encouraged by our results for the first half of 2021 and remain focused 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97" w:right="1440" w:bottom="1440" w:gutter="0" w:footer="0" w:header="0"/>
        </w:sectPr>
      </w:pPr>
    </w:p>
    <w:bookmarkStart w:id="28" w:name="page29"/>
    <w:bookmarkEnd w:id="28"/>
    <w:p>
      <w:pPr>
        <w:jc w:val="both"/>
        <w:ind w:left="60" w:right="79"/>
        <w:spacing w:after="0" w:line="277" w:lineRule="auto"/>
        <w:rPr>
          <w:sz w:val="20"/>
          <w:szCs w:val="20"/>
          <w:color w:val="auto"/>
        </w:rPr>
      </w:pPr>
      <w:r>
        <w:rPr>
          <w:rFonts w:ascii="Arial" w:cs="Arial" w:eastAsia="Arial" w:hAnsi="Arial"/>
          <w:sz w:val="18"/>
          <w:szCs w:val="18"/>
          <w:color w:val="auto"/>
        </w:rPr>
        <w:t>delivering outstanding customer service, managing our variable costs with changing volumes and investing in technology that will enhance our customers’ experience and reduce our cost to serve.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Quarter Financial Results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second quarter of 2021, we delivered strong operating income and cash flows as we continued to experience volume recovery in our landfill, commercial and industrial collection businesses and benefited from the acquisition of Advanced Disposal. Additionally, we maintained focus on reducing our operating costs and discretionary selling, general and administrative expenses. We allocated $396 million of available cash to capital expenditures and $492 million to our shareholders through dividends and share repurchases.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Key elements of our financial results for the second quarter include:</w:t>
      </w:r>
    </w:p>
    <w:p>
      <w:pPr>
        <w:spacing w:after="0" w:line="117" w:lineRule="exact"/>
        <w:rPr>
          <w:sz w:val="20"/>
          <w:szCs w:val="20"/>
          <w:color w:val="auto"/>
        </w:rPr>
      </w:pPr>
    </w:p>
    <w:p>
      <w:pPr>
        <w:jc w:val="both"/>
        <w:ind w:left="720" w:right="79" w:hanging="319"/>
        <w:spacing w:after="0" w:line="259"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Revenues of $4,476 million, compared with $3,561 million in the prior year period, an increase of $915 million, or 25.7%. The increase is primarily attributable to (i) strong volume growth; (ii) the acquisition of Advanced Disposal; (iii) higher yield in our collection and disposal lines of business and (iv) increases in the market prices for recycling commodities we sell;</w:t>
      </w:r>
    </w:p>
    <w:p>
      <w:pPr>
        <w:spacing w:after="0" w:line="78" w:lineRule="exact"/>
        <w:rPr>
          <w:rFonts w:ascii="Arial" w:cs="Arial" w:eastAsia="Arial" w:hAnsi="Arial"/>
          <w:sz w:val="18"/>
          <w:szCs w:val="18"/>
          <w:color w:val="auto"/>
        </w:rPr>
      </w:pPr>
    </w:p>
    <w:p>
      <w:pPr>
        <w:jc w:val="both"/>
        <w:ind w:left="720" w:right="79" w:hanging="319"/>
        <w:spacing w:after="0" w:line="274"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Operating expenses of $2,736 million, or 61.1% of revenues, compared with $2,180 million, or 61.2% of revenues, in the prior year period. The $556 million increase is primarily attributable to (i) volume increases;</w:t>
      </w:r>
    </w:p>
    <w:p>
      <w:pPr>
        <w:ind w:left="720" w:right="79" w:firstLine="5"/>
        <w:spacing w:after="0" w:line="260" w:lineRule="auto"/>
        <w:tabs>
          <w:tab w:leader="none" w:pos="1001"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increased labor and support costs from our acquisition of Advanced Disposal; (iii) higher market prices for recycling commodities and (iv) inflationary cost increases;</w:t>
      </w:r>
    </w:p>
    <w:p>
      <w:pPr>
        <w:spacing w:after="0" w:line="77" w:lineRule="exact"/>
        <w:rPr>
          <w:rFonts w:ascii="Arial" w:cs="Arial" w:eastAsia="Arial" w:hAnsi="Arial"/>
          <w:sz w:val="18"/>
          <w:szCs w:val="18"/>
          <w:color w:val="auto"/>
        </w:rPr>
      </w:pPr>
    </w:p>
    <w:p>
      <w:pPr>
        <w:jc w:val="both"/>
        <w:ind w:left="720" w:right="79" w:hanging="319"/>
        <w:spacing w:after="0" w:line="275"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Selling, general and administrative expenses of $445 million, or 9.9% of revenues, compared with $377 million, or 10.6% of revenues, in the prior year period. The $68 million increase is primarily attributable to (i) higher incentive compensation costs; (ii) increased labor and support costs from our acquisition of Advanced Disposal and (iii) strategic investments in our digital platform. These cost increases were partially offset by a decrease in the provision for bad debts due to an overall improvement in customer account collections;</w:t>
      </w:r>
    </w:p>
    <w:p>
      <w:pPr>
        <w:spacing w:after="0" w:line="68" w:lineRule="exact"/>
        <w:rPr>
          <w:rFonts w:ascii="Arial" w:cs="Arial" w:eastAsia="Arial" w:hAnsi="Arial"/>
          <w:sz w:val="17"/>
          <w:szCs w:val="17"/>
          <w:color w:val="auto"/>
        </w:rPr>
      </w:pPr>
    </w:p>
    <w:p>
      <w:pPr>
        <w:jc w:val="both"/>
        <w:ind w:left="720" w:right="79" w:hanging="319"/>
        <w:spacing w:after="0" w:line="275"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Income from operations was $791 million, or 17.7% of revenues, compared with $527 million, or 14.8% of revenues, in the prior year period. The improved earnings in the current year are driven by (i) strong operating results in our collection and disposal business; (ii) improved profitability in our recycling business and (iii) our proactive cost management efforts. The increase in income from operations was partially offset by higher depreciation and amortization expense, primarily due to the acquisition of Advanced Disposal;</w:t>
      </w:r>
    </w:p>
    <w:p>
      <w:pPr>
        <w:spacing w:after="0" w:line="68" w:lineRule="exact"/>
        <w:rPr>
          <w:rFonts w:ascii="Arial" w:cs="Arial" w:eastAsia="Arial" w:hAnsi="Arial"/>
          <w:sz w:val="17"/>
          <w:szCs w:val="17"/>
          <w:color w:val="auto"/>
        </w:rPr>
      </w:pPr>
    </w:p>
    <w:p>
      <w:pPr>
        <w:jc w:val="both"/>
        <w:ind w:left="720" w:right="79" w:hanging="319"/>
        <w:spacing w:after="0" w:line="25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attributable to Waste Management, Inc. was $351 million, or $0.83 per diluted share, compared with $307 million, or $0.72 per diluted share, in the prior year period. The strong operating results discussed above, in addition to lower interest expense, drove an increase in earnings which was substantially offset in the current period by a $220 million loss on early extinguishment of debt related to the retirement of $1.3 billion of certain high-coupon senior notes through a cash tender offer;</w:t>
      </w:r>
    </w:p>
    <w:p>
      <w:pPr>
        <w:spacing w:after="0" w:line="79" w:lineRule="exact"/>
        <w:rPr>
          <w:rFonts w:ascii="Arial" w:cs="Arial" w:eastAsia="Arial" w:hAnsi="Arial"/>
          <w:sz w:val="18"/>
          <w:szCs w:val="18"/>
          <w:color w:val="auto"/>
        </w:rPr>
      </w:pPr>
    </w:p>
    <w:p>
      <w:pPr>
        <w:jc w:val="both"/>
        <w:ind w:left="720" w:right="79" w:hanging="319"/>
        <w:spacing w:after="0" w:line="275"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Net cash provided by operating activities was $1,043 million compared with $856 million in the prior year period, driven by an increase in earnings, partially offset by net unfavorable changes in our operating assets and liabilities, net of effects of acquisitions and divestitures, primarily due to (i) higher income tax payments in the current quarter; (ii) a temporary deferral in the payment of payroll taxes in 2020 and (iii) the timing of cash tax benefits received in 2020 associated with federal alternative fuel tax credits; and</w:t>
      </w:r>
    </w:p>
    <w:p>
      <w:pPr>
        <w:spacing w:after="0" w:line="68" w:lineRule="exact"/>
        <w:rPr>
          <w:rFonts w:ascii="Arial" w:cs="Arial" w:eastAsia="Arial" w:hAnsi="Arial"/>
          <w:sz w:val="17"/>
          <w:szCs w:val="17"/>
          <w:color w:val="auto"/>
        </w:rPr>
      </w:pPr>
    </w:p>
    <w:p>
      <w:pPr>
        <w:jc w:val="both"/>
        <w:ind w:left="720" w:right="79" w:hanging="319"/>
        <w:spacing w:after="0" w:line="273"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Free cash flow was $649 million compared with $423 million in the prior year period primarily driven by the increase in net cash provided by operating activities discussed above. The increase is also due to a reduction in capital expenditures due to timing differences as well as supply chain constraints in advancing current year projects. Free cash flow is a non-GAAP measure of liquidity. Refer to </w:t>
      </w:r>
      <w:r>
        <w:rPr>
          <w:rFonts w:ascii="Arial" w:cs="Arial" w:eastAsia="Arial" w:hAnsi="Arial"/>
          <w:sz w:val="17"/>
          <w:szCs w:val="17"/>
          <w:i w:val="1"/>
          <w:iCs w:val="1"/>
          <w:color w:val="auto"/>
        </w:rPr>
        <w:t>Free Cash Flow</w:t>
      </w:r>
      <w:r>
        <w:rPr>
          <w:rFonts w:ascii="Arial" w:cs="Arial" w:eastAsia="Arial" w:hAnsi="Arial"/>
          <w:sz w:val="17"/>
          <w:szCs w:val="17"/>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Areas. In the second quarter of 2021, we combined our Eastern and Western Canada Areas reducing the number of Areas we manage from 17 to 16. We also provide additional services that are not managed through our Solid Waste business, including operations managed by both our Strategic Business Solutions (“WMSBS”) and Energy and Environmental Services (“EES”) businesses, recycling brokerage services, landfill gas-to-energy services and certain other expanded service offerings and solutions. The mix of operating revenues from our major lines of business is reflected in the table below (in millions):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8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Residential</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1,307</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collection</w:t>
            </w:r>
          </w:p>
        </w:tc>
        <w:tc>
          <w:tcPr>
            <w:tcW w:w="3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Landfill</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1,761</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Recycling</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3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(1,818)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(1,562)</w:t>
            </w: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3,561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72"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“Other” line of business includes (i) certain services provided by our WMSBS business; (ii) our landfill gas-to-energy operations; (iii) certain services within our EES business,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69" w:lineRule="exact"/>
        <w:rPr>
          <w:rFonts w:ascii="Arial" w:cs="Arial" w:eastAsia="Arial" w:hAnsi="Arial"/>
          <w:sz w:val="17"/>
          <w:szCs w:val="17"/>
          <w:color w:val="auto"/>
        </w:rPr>
      </w:pPr>
    </w:p>
    <w:p>
      <w:pPr>
        <w:ind w:left="380" w:right="79" w:hanging="330"/>
        <w:spacing w:after="0" w:line="27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0" w:name="page31"/>
    <w:bookmarkEnd w:id="30"/>
    <w:p>
      <w:pPr>
        <w:ind w:left="60" w:right="79"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changes in revenues and average yield (dollars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9"/>
          </w:tcPr>
          <w:p>
            <w:pPr>
              <w:jc w:val="center"/>
              <w:ind w:right="670"/>
              <w:spacing w:after="0"/>
              <w:rPr>
                <w:sz w:val="20"/>
                <w:szCs w:val="20"/>
                <w:color w:val="auto"/>
              </w:rPr>
            </w:pPr>
            <w:r>
              <w:rPr>
                <w:rFonts w:ascii="Arial" w:cs="Arial" w:eastAsia="Arial" w:hAnsi="Arial"/>
                <w:sz w:val="14"/>
                <w:szCs w:val="14"/>
                <w:b w:val="1"/>
                <w:bCs w:val="1"/>
                <w:color w:val="auto"/>
                <w:w w:val="93"/>
              </w:rPr>
              <w:t>Period-to-Period Change for the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gridSpan w:val="10"/>
          </w:tcPr>
          <w:p>
            <w:pPr>
              <w:jc w:val="center"/>
              <w:ind w:right="530"/>
              <w:spacing w:after="0"/>
              <w:rPr>
                <w:sz w:val="20"/>
                <w:szCs w:val="20"/>
                <w:color w:val="auto"/>
              </w:rPr>
            </w:pPr>
            <w:r>
              <w:rPr>
                <w:rFonts w:ascii="Arial" w:cs="Arial" w:eastAsia="Arial" w:hAnsi="Arial"/>
                <w:sz w:val="14"/>
                <w:szCs w:val="14"/>
                <w:b w:val="1"/>
                <w:bCs w:val="1"/>
                <w:color w:val="auto"/>
                <w:w w:val="93"/>
              </w:rPr>
              <w:t>Period-to-Period Change for the</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5"/>
          </w:tcPr>
          <w:p>
            <w:pPr>
              <w:jc w:val="center"/>
              <w:ind w:left="65"/>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6"/>
          </w:tcPr>
          <w:p>
            <w:pPr>
              <w:jc w:val="center"/>
              <w:ind w:left="165"/>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left="65"/>
              <w:spacing w:after="0"/>
              <w:rPr>
                <w:sz w:val="20"/>
                <w:szCs w:val="20"/>
                <w:color w:val="auto"/>
              </w:rPr>
            </w:pPr>
            <w:r>
              <w:rPr>
                <w:rFonts w:ascii="Arial" w:cs="Arial" w:eastAsia="Arial" w:hAnsi="Arial"/>
                <w:sz w:val="14"/>
                <w:szCs w:val="14"/>
                <w:b w:val="1"/>
                <w:bCs w:val="1"/>
                <w:color w:val="auto"/>
                <w:w w:val="90"/>
              </w:rPr>
              <w:t>June 30, 2021 vs. 2020</w:t>
            </w: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center"/>
              <w:ind w:left="185"/>
              <w:spacing w:after="0"/>
              <w:rPr>
                <w:sz w:val="20"/>
                <w:szCs w:val="20"/>
                <w:color w:val="auto"/>
              </w:rPr>
            </w:pPr>
            <w:r>
              <w:rPr>
                <w:rFonts w:ascii="Arial" w:cs="Arial" w:eastAsia="Arial" w:hAnsi="Arial"/>
                <w:sz w:val="14"/>
                <w:szCs w:val="14"/>
                <w:b w:val="1"/>
                <w:bCs w:val="1"/>
                <w:color w:val="auto"/>
                <w:w w:val="90"/>
              </w:rPr>
              <w:t>June 30, 2021 vs. 2020</w:t>
            </w: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3"/>
          </w:tcPr>
          <w:p>
            <w:pPr>
              <w:jc w:val="right"/>
              <w:ind w:right="367"/>
              <w:spacing w:after="0" w:line="119" w:lineRule="exact"/>
              <w:rPr>
                <w:sz w:val="20"/>
                <w:szCs w:val="20"/>
                <w:color w:val="auto"/>
              </w:rPr>
            </w:pPr>
            <w:r>
              <w:rPr>
                <w:rFonts w:ascii="Arial" w:cs="Arial" w:eastAsia="Arial" w:hAnsi="Arial"/>
                <w:sz w:val="13"/>
                <w:szCs w:val="13"/>
                <w:b w:val="1"/>
                <w:bCs w:val="1"/>
                <w:color w:val="auto"/>
              </w:rPr>
              <w:t>As a % of</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130"/>
              <w:spacing w:after="0" w:line="119" w:lineRule="exact"/>
              <w:rPr>
                <w:sz w:val="20"/>
                <w:szCs w:val="20"/>
                <w:color w:val="auto"/>
              </w:rPr>
            </w:pPr>
            <w:r>
              <w:rPr>
                <w:rFonts w:ascii="Arial" w:cs="Arial" w:eastAsia="Arial" w:hAnsi="Arial"/>
                <w:sz w:val="13"/>
                <w:szCs w:val="13"/>
                <w:b w:val="1"/>
                <w:bCs w:val="1"/>
                <w:color w:val="auto"/>
              </w:rPr>
              <w:t>As a %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6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080" w:type="dxa"/>
            <w:vAlign w:val="bottom"/>
            <w:gridSpan w:val="3"/>
          </w:tcPr>
          <w:p>
            <w:pPr>
              <w:jc w:val="right"/>
              <w:ind w:right="427"/>
              <w:spacing w:after="0" w:line="149" w:lineRule="exact"/>
              <w:rPr>
                <w:sz w:val="20"/>
                <w:szCs w:val="20"/>
                <w:color w:val="auto"/>
              </w:rPr>
            </w:pPr>
            <w:r>
              <w:rPr>
                <w:rFonts w:ascii="Arial" w:cs="Arial" w:eastAsia="Arial" w:hAnsi="Arial"/>
                <w:sz w:val="14"/>
                <w:szCs w:val="14"/>
                <w:b w:val="1"/>
                <w:bCs w:val="1"/>
                <w:color w:val="auto"/>
              </w:rPr>
              <w:t>Related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89"/>
              </w:rPr>
              <w:t>Total</w:t>
            </w:r>
          </w:p>
        </w:tc>
        <w:tc>
          <w:tcPr>
            <w:tcW w:w="6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90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Related</w:t>
            </w:r>
          </w:p>
        </w:tc>
        <w:tc>
          <w:tcPr>
            <w:tcW w:w="4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9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740" w:type="dxa"/>
            <w:vAlign w:val="bottom"/>
            <w:gridSpan w:val="6"/>
          </w:tcPr>
          <w:p>
            <w:pPr>
              <w:ind w:left="160"/>
              <w:spacing w:after="0"/>
              <w:rPr>
                <w:sz w:val="20"/>
                <w:szCs w:val="20"/>
                <w:color w:val="auto"/>
              </w:rPr>
            </w:pPr>
            <w:r>
              <w:rPr>
                <w:rFonts w:ascii="Arial" w:cs="Arial" w:eastAsia="Arial" w:hAnsi="Arial"/>
                <w:sz w:val="14"/>
                <w:szCs w:val="14"/>
                <w:b w:val="1"/>
                <w:bCs w:val="1"/>
                <w:color w:val="auto"/>
              </w:rPr>
              <w:t>Business(a)   Amount</w:t>
            </w:r>
          </w:p>
        </w:tc>
        <w:tc>
          <w:tcPr>
            <w:tcW w:w="104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95"/>
              </w:rPr>
              <w:t>Company(b)</w:t>
            </w:r>
          </w:p>
        </w:tc>
        <w:tc>
          <w:tcPr>
            <w:tcW w:w="600" w:type="dxa"/>
            <w:vAlign w:val="bottom"/>
            <w:gridSpan w:val="3"/>
            <w:vMerge w:val="continue"/>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Business(a)</w:t>
            </w:r>
          </w:p>
        </w:tc>
        <w:tc>
          <w:tcPr>
            <w:tcW w:w="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5"/>
              </w:rPr>
              <w:t>Company(b)</w:t>
            </w:r>
          </w:p>
        </w:tc>
        <w:tc>
          <w:tcPr>
            <w:tcW w:w="0" w:type="dxa"/>
            <w:vAlign w:val="bottom"/>
          </w:tcPr>
          <w:p>
            <w:pPr>
              <w:spacing w:after="0"/>
              <w:rPr>
                <w:sz w:val="1"/>
                <w:szCs w:val="1"/>
                <w:color w:val="auto"/>
              </w:rPr>
            </w:pPr>
          </w:p>
        </w:tc>
      </w:tr>
      <w:tr>
        <w:trPr>
          <w:trHeight w:val="209"/>
        </w:trPr>
        <w:tc>
          <w:tcPr>
            <w:tcW w:w="2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Recycling (c)</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Fuel surcharges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mandated fees</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220"/>
              <w:spacing w:after="0"/>
              <w:rPr>
                <w:sz w:val="20"/>
                <w:szCs w:val="20"/>
                <w:color w:val="auto"/>
              </w:rPr>
            </w:pPr>
            <w:r>
              <w:rPr>
                <w:rFonts w:ascii="Arial" w:cs="Arial" w:eastAsia="Arial" w:hAnsi="Arial"/>
                <w:sz w:val="18"/>
                <w:szCs w:val="18"/>
                <w:color w:val="auto"/>
              </w:rPr>
              <w:t>Total average yield (d)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248</w:t>
            </w:r>
          </w:p>
        </w:tc>
        <w:tc>
          <w:tcPr>
            <w:tcW w:w="1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7.0 %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220"/>
              <w:spacing w:after="0"/>
              <w:rPr>
                <w:sz w:val="20"/>
                <w:szCs w:val="20"/>
                <w:color w:val="auto"/>
              </w:rPr>
            </w:pPr>
            <w:r>
              <w:rPr>
                <w:rFonts w:ascii="Arial" w:cs="Arial" w:eastAsia="Arial" w:hAnsi="Arial"/>
                <w:sz w:val="18"/>
                <w:szCs w:val="18"/>
                <w:color w:val="auto"/>
                <w:w w:val="98"/>
              </w:rPr>
              <w:t>Internal revenue growth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220"/>
              <w:spacing w:after="0"/>
              <w:rPr>
                <w:sz w:val="20"/>
                <w:szCs w:val="20"/>
                <w:color w:val="auto"/>
              </w:rPr>
            </w:pPr>
            <w:r>
              <w:rPr>
                <w:rFonts w:ascii="Arial" w:cs="Arial" w:eastAsia="Arial" w:hAnsi="Arial"/>
                <w:sz w:val="18"/>
                <w:szCs w:val="18"/>
                <w:color w:val="auto"/>
              </w:rPr>
              <w:t>Divestitures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00" w:type="dxa"/>
            <w:vAlign w:val="bottom"/>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1,298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62"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62" w:lineRule="exact"/>
        <w:rPr>
          <w:rFonts w:ascii="Arial" w:cs="Arial" w:eastAsia="Arial" w:hAnsi="Arial"/>
          <w:sz w:val="18"/>
          <w:szCs w:val="18"/>
          <w:color w:val="auto"/>
        </w:rPr>
      </w:pPr>
    </w:p>
    <w:p>
      <w:pPr>
        <w:ind w:left="380" w:hanging="330"/>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impact of commodity price variability and changes in fees.</w:t>
      </w:r>
    </w:p>
    <w:p>
      <w:pPr>
        <w:spacing w:after="0" w:line="117" w:lineRule="exact"/>
        <w:rPr>
          <w:rFonts w:ascii="Arial" w:cs="Arial" w:eastAsia="Arial" w:hAnsi="Arial"/>
          <w:sz w:val="18"/>
          <w:szCs w:val="18"/>
          <w:color w:val="auto"/>
        </w:rPr>
      </w:pPr>
    </w:p>
    <w:p>
      <w:pPr>
        <w:ind w:left="380" w:hanging="330"/>
        <w:spacing w:after="0"/>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amounts reported herein represent the changes in our revenue attributable to average yield for the total Company.</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collection, transfer and landfill 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1" w:name="page32"/>
    <w:bookmarkEnd w:id="31"/>
    <w:p>
      <w:pPr>
        <w:ind w:left="380"/>
        <w:spacing w:after="0"/>
        <w:rPr>
          <w:sz w:val="20"/>
          <w:szCs w:val="20"/>
          <w:color w:val="auto"/>
        </w:rPr>
      </w:pPr>
      <w:r>
        <w:rPr>
          <w:rFonts w:ascii="Arial" w:cs="Arial" w:eastAsia="Arial" w:hAnsi="Arial"/>
          <w:sz w:val="17"/>
          <w:szCs w:val="17"/>
          <w:color w:val="auto"/>
        </w:rPr>
        <w:t>The details of our revenue growth from collection and disposal average yield are as follows (dollars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360" w:type="dxa"/>
            <w:vAlign w:val="bottom"/>
            <w:gridSpan w:val="5"/>
          </w:tcPr>
          <w:p>
            <w:pPr>
              <w:jc w:val="center"/>
              <w:ind w:right="170"/>
              <w:spacing w:after="0"/>
              <w:rPr>
                <w:sz w:val="20"/>
                <w:szCs w:val="20"/>
                <w:color w:val="auto"/>
              </w:rPr>
            </w:pPr>
            <w:r>
              <w:rPr>
                <w:rFonts w:ascii="Arial" w:cs="Arial" w:eastAsia="Arial" w:hAnsi="Arial"/>
                <w:sz w:val="14"/>
                <w:szCs w:val="14"/>
                <w:b w:val="1"/>
                <w:bCs w:val="1"/>
                <w:color w:val="auto"/>
                <w:w w:val="93"/>
              </w:rPr>
              <w:t>Period-to-Period Change for the</w:t>
            </w:r>
          </w:p>
        </w:tc>
        <w:tc>
          <w:tcPr>
            <w:tcW w:w="226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93"/>
              </w:rPr>
              <w:t>Period-to-Period Change for the</w:t>
            </w:r>
          </w:p>
        </w:tc>
      </w:tr>
      <w:tr>
        <w:trPr>
          <w:trHeight w:val="148"/>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4"/>
          </w:tcPr>
          <w:p>
            <w:pPr>
              <w:jc w:val="center"/>
              <w:ind w:right="31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2"/>
                <w:szCs w:val="12"/>
                <w:color w:val="auto"/>
              </w:rPr>
            </w:pPr>
          </w:p>
        </w:tc>
        <w:tc>
          <w:tcPr>
            <w:tcW w:w="2120" w:type="dxa"/>
            <w:vAlign w:val="bottom"/>
            <w:gridSpan w:val="4"/>
          </w:tcPr>
          <w:p>
            <w:pPr>
              <w:jc w:val="center"/>
              <w:ind w:right="210"/>
              <w:spacing w:after="0" w:line="149" w:lineRule="exact"/>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4"/>
          </w:tcPr>
          <w:p>
            <w:pPr>
              <w:jc w:val="center"/>
              <w:ind w:right="310"/>
              <w:spacing w:after="0"/>
              <w:rPr>
                <w:sz w:val="20"/>
                <w:szCs w:val="20"/>
                <w:color w:val="auto"/>
              </w:rPr>
            </w:pPr>
            <w:r>
              <w:rPr>
                <w:rFonts w:ascii="Arial" w:cs="Arial" w:eastAsia="Arial" w:hAnsi="Arial"/>
                <w:sz w:val="14"/>
                <w:szCs w:val="14"/>
                <w:b w:val="1"/>
                <w:bCs w:val="1"/>
                <w:color w:val="auto"/>
                <w:w w:val="89"/>
              </w:rPr>
              <w:t>June 30, 2021 vs. 2020</w:t>
            </w:r>
          </w:p>
        </w:tc>
        <w:tc>
          <w:tcPr>
            <w:tcW w:w="140" w:type="dxa"/>
            <w:vAlign w:val="bottom"/>
          </w:tcPr>
          <w:p>
            <w:pPr>
              <w:spacing w:after="0"/>
              <w:rPr>
                <w:sz w:val="14"/>
                <w:szCs w:val="14"/>
                <w:color w:val="auto"/>
              </w:rPr>
            </w:pPr>
          </w:p>
        </w:tc>
        <w:tc>
          <w:tcPr>
            <w:tcW w:w="212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90"/>
              </w:rPr>
              <w:t>June 30, 2021 vs. 2020</w:t>
            </w:r>
          </w:p>
        </w:tc>
      </w:tr>
      <w:tr>
        <w:trPr>
          <w:trHeight w:val="119"/>
        </w:trPr>
        <w:tc>
          <w:tcPr>
            <w:tcW w:w="4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0"/>
              </w:rPr>
              <w:t>Related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0"/>
              </w:rPr>
              <w:t>Related</w:t>
            </w:r>
          </w:p>
        </w:tc>
      </w:tr>
      <w:tr>
        <w:trPr>
          <w:trHeight w:val="17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5"/>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11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6"/>
              </w:rPr>
              <w:t>Business</w:t>
            </w:r>
          </w:p>
        </w:tc>
        <w:tc>
          <w:tcPr>
            <w:tcW w:w="140" w:type="dxa"/>
            <w:vAlign w:val="bottom"/>
          </w:tcPr>
          <w:p>
            <w:pPr>
              <w:spacing w:after="0"/>
              <w:rPr>
                <w:sz w:val="14"/>
                <w:szCs w:val="14"/>
                <w:color w:val="auto"/>
              </w:rPr>
            </w:pPr>
          </w:p>
        </w:tc>
        <w:tc>
          <w:tcPr>
            <w:tcW w:w="740" w:type="dxa"/>
            <w:vAlign w:val="bottom"/>
          </w:tcPr>
          <w:p>
            <w:pPr>
              <w:jc w:val="right"/>
              <w:ind w:right="95"/>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10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6"/>
              </w:rPr>
              <w:t>Business</w:t>
            </w: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4.2</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r>
      <w:tr>
        <w:trPr>
          <w:trHeight w:val="210"/>
        </w:trPr>
        <w:tc>
          <w:tcPr>
            <w:tcW w:w="428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20" w:type="dxa"/>
            <w:vAlign w:val="bottom"/>
            <w:tcBorders>
              <w:bottom w:val="single" w:sz="8" w:color="CCEEFF"/>
            </w:tcBorders>
            <w:gridSpan w:val="2"/>
          </w:tcPr>
          <w:p>
            <w:pPr>
              <w:ind w:left="94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CCEEFF"/>
            </w:tcBorders>
            <w:gridSpan w:val="2"/>
          </w:tcPr>
          <w:p>
            <w:pPr>
              <w:ind w:left="94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18"/>
                <w:szCs w:val="18"/>
                <w:color w:val="auto"/>
              </w:rPr>
            </w:pPr>
          </w:p>
        </w:tc>
      </w:tr>
      <w:tr>
        <w:trPr>
          <w:trHeight w:val="210"/>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3.7 %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3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w w:val="91"/>
              </w:rPr>
              <w:t>3.2 %</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Our overall strategic pricing efforts are focused on improving our average unit rate as well as recovering any inflationary cost increases. This strategy has been most successful in our collection line of business where we experienced average yield growth of 4.6% and 4.0% for the three and six months ended June 30, 2021, respectively. We are driving improvements in our residential line of business, aligning the price charged for services we provide to our customers with the costs to provide the services, which has increased our average yield 4.7% and 4.5% for the three and six months ended June 30, 2021, respectively, as compared with the prior year periods. We are also continuing to see solid growth in our landfill and transfer businesses with our municipal solid waste business experiencing 2.8% and 2.7% average yield growth for the three and six months ended June 30, 2021, respectively, as compared with the prior year periods.</w:t>
      </w:r>
    </w:p>
    <w:p>
      <w:pPr>
        <w:spacing w:after="0" w:line="16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i w:val="1"/>
          <w:iCs w:val="1"/>
          <w:color w:val="auto"/>
        </w:rPr>
        <w:t xml:space="preserve">Recycling </w:t>
      </w:r>
      <w:r>
        <w:rPr>
          <w:rFonts w:ascii="Arial" w:cs="Arial" w:eastAsia="Arial" w:hAnsi="Arial"/>
          <w:sz w:val="16"/>
          <w:szCs w:val="16"/>
          <w:color w:val="auto"/>
        </w:rPr>
        <w:t>— Improved profitability in our recycling business primarily from higher market prices for recycling</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commodities and volume recovery from facilities where we temporarily suspended operations during the pandemic resulted in revenue growth of $84 million and $181 million for the three months and six months ended June 30, 2021, respectively, as compared with the prior year periods. During the three and six months ended June 30, 2021, average market prices for recycling commodities at the Company’s facilities were approximately 75% and 90% higher, respectively, as compared to the prior year periods. We currently expect the year-over-year increase to continue for the remainder of 2021 as we see strong demand for recycled materials outpacing supply, driven by the growth in e-commerce, businesses re-opening, and manufacturers committing to use more recycled content in their packaging. We have also maintained our focus on converting to a fee-based pricing model that ensures fees paid by customers address the cost of processing materials and the impact on our cost structure of managing contamination in the recycling stream.</w:t>
      </w:r>
    </w:p>
    <w:p>
      <w:pPr>
        <w:spacing w:after="0" w:line="16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Fuel Surcharges and Mandated Fees — </w:t>
      </w:r>
      <w:r>
        <w:rPr>
          <w:rFonts w:ascii="Arial" w:cs="Arial" w:eastAsia="Arial" w:hAnsi="Arial"/>
          <w:sz w:val="16"/>
          <w:szCs w:val="16"/>
          <w:color w:val="auto"/>
        </w:rPr>
        <w:t>These fees, which are predominantly generated by our fuel surcharge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$46 million and $37 million for the three and six months ended June 30, 2021, respectively, as compared with the prior year periods. These revenues are based on and fluctuate in response to changes in the national average prices for diesel fuel, and also vary with changes in our volume-based revenue activity. Market prices for diesel fuel increased approximately 30% and 15% for the three and six months ended June 30, 2021, respectively, as compared with the prior year periods. The mandated fees are primarily related to fees and taxes assessed by various state, county and municipal government agencies at our landfills and transfer stations. These amounts have not significantly impacted the change in revenue for the three and six months ended June 30, 2021, as compared with the prior year periods.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revenues from volumes (excluding volumes from acquisitions and divestitures) increased $341 million, or 9.6%, and $240 million, or 3.3%, for the three and six months ended June 30, 2021, respectively, as compared with the prior year periods.</w:t>
      </w:r>
    </w:p>
    <w:p>
      <w:pPr>
        <w:spacing w:after="0" w:line="184"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Over the last year, our volumes have been recovering from the sharp decline experienced in April 2020 as a result of COVID-19. The pace of recovery in our volumes accelerated in the second quarter of 2021 as more communities and businesses re-opened. The portions of our business that had the most pronounced decreases in volume due to the pandemic</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2" w:name="page33"/>
    <w:bookmarkEnd w:id="32"/>
    <w:p>
      <w:pPr>
        <w:jc w:val="both"/>
        <w:ind w:left="60" w:right="59"/>
        <w:spacing w:after="0" w:line="271" w:lineRule="auto"/>
        <w:rPr>
          <w:sz w:val="20"/>
          <w:szCs w:val="20"/>
          <w:color w:val="auto"/>
        </w:rPr>
      </w:pPr>
      <w:r>
        <w:rPr>
          <w:rFonts w:ascii="Arial" w:cs="Arial" w:eastAsia="Arial" w:hAnsi="Arial"/>
          <w:sz w:val="17"/>
          <w:szCs w:val="17"/>
          <w:color w:val="auto"/>
        </w:rPr>
        <w:t>were our industrial and commercial collection businesses and construction and demolition and special waste volumes at our landfills. As we exited the second quarter of 2021, volumes in each of these lines of business were either on par with pre-pandemic levels or have now surpassed 2019 volumes. Volumes in our recycling business are also up primarily due to the re-opening of facilities where we temporarily suspended operations during the pandemic. We continue to be optimistic about our volume recovery in 2021 as the economy continues to rebound and states and local jurisdictions continue re-opening. However, uncertainty remains with respect to the pace of economic recovery, as well as the potential for resurgence in transmission of COVID-19 and related business closures due to virus variants or otherwise. Such conditions could adversely impact our volume results over the remainder of the year.</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jc w:val="both"/>
        <w:ind w:left="60" w:right="79" w:firstLine="259"/>
        <w:spacing w:after="0" w:line="259" w:lineRule="auto"/>
        <w:rPr>
          <w:sz w:val="20"/>
          <w:szCs w:val="20"/>
          <w:color w:val="auto"/>
        </w:rPr>
      </w:pPr>
      <w:r>
        <w:rPr>
          <w:rFonts w:ascii="Arial" w:cs="Arial" w:eastAsia="Arial" w:hAnsi="Arial"/>
          <w:sz w:val="18"/>
          <w:szCs w:val="18"/>
          <w:color w:val="auto"/>
        </w:rPr>
        <w:t>Revenues increased $316 million, or 8.9%, and $618 million, or 8.5%, for the three and six months ended June 30, 2021, respectively, as compared with the prior year periods, primarily due to our acquisition of Advanced Disposal. The revenue increase due to the Advanced Disposal acquisition was principally in our collection and disposal lines of business.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(in millions of dollars and as a percentage of revenues):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8"/>
              </w:rPr>
              <w:t>Three Months Ended</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42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 and related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17.7 %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17.9 %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$ 1,537</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17.9 %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$ 1,325</w:t>
            </w: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18.2 %</w:t>
            </w: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Transfer and disposal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and repairs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Subcontractor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10.0</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Fuel</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 and franchise fees and taxes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Landfill operating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management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tcPr>
          <w:p>
            <w:pPr>
              <w:spacing w:after="0"/>
              <w:rPr>
                <w:sz w:val="18"/>
                <w:szCs w:val="18"/>
                <w:color w:val="auto"/>
              </w:rPr>
            </w:pPr>
          </w:p>
        </w:tc>
      </w:tr>
      <w:tr>
        <w:trPr>
          <w:trHeight w:val="425"/>
        </w:trPr>
        <w:tc>
          <w:tcPr>
            <w:tcW w:w="3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2,736</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61.1 %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2,180</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61.2 %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$ 5,250</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61.1 %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$ 4,509</w:t>
            </w: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61.9 %</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Our operating expenses for the three and six months ended June 30, 2021 increased primarily due to volume increases and the acquisition of Advanced Disposal. During the second quarter of 2021, we began to see inflationary cost pressures as well as increased overtime from driver shortages that increased our operating costs. Although our costs increased, efforts to recover higher costs through price and the significant revenue increases in our high-margin businesses, which include our landfill and commercial and industrial collection businesses, resulted in a reduction of our overall operating expenses as a percentage of revenues when compared with the prior year periods. Additionally, our operating expenses as a percentage of revenues benefited from our focus on operating efficiency, continued efforts to control costs as volumes grow and our disciplined integration of Advanced Disposal which historically has generated lower margins.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items affecting the comparability of operating expenses for the reported periods include:</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Labor and Related Benefits </w:t>
      </w:r>
      <w:r>
        <w:rPr>
          <w:rFonts w:ascii="Arial" w:cs="Arial" w:eastAsia="Arial" w:hAnsi="Arial"/>
          <w:sz w:val="17"/>
          <w:szCs w:val="17"/>
          <w:color w:val="auto"/>
        </w:rPr>
        <w:t>— The increase in labor and related benefits costs was largely driven by (i) increased labor</w:t>
      </w:r>
      <w:r>
        <w:rPr>
          <w:rFonts w:ascii="Arial" w:cs="Arial" w:eastAsia="Arial" w:hAnsi="Arial"/>
          <w:sz w:val="17"/>
          <w:szCs w:val="17"/>
          <w:i w:val="1"/>
          <w:iCs w:val="1"/>
          <w:color w:val="auto"/>
        </w:rPr>
        <w:t xml:space="preserve"> </w:t>
      </w:r>
      <w:r>
        <w:rPr>
          <w:rFonts w:ascii="Arial" w:cs="Arial" w:eastAsia="Arial" w:hAnsi="Arial"/>
          <w:sz w:val="17"/>
          <w:szCs w:val="17"/>
          <w:color w:val="auto"/>
        </w:rPr>
        <w:t>and support costs related to of our acquisition of Advanced Disposal; (ii) merit and proactive market wage adjustments to hire and retain talent; (iii) volume increases, particularly in our commercial and industrial collection businesses, which when combined with driver shortages in certain markets, increased overtime; (iv) increases in health and welfare costs attributable to medical care activity generally returning to pre-pandemic levels from the lower levels experienced during 2020 and (v) higher incentive compensations costs.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3" w:name="page34"/>
    <w:bookmarkEnd w:id="33"/>
    <w:p>
      <w:pPr>
        <w:jc w:val="both"/>
        <w:ind w:left="60" w:right="79" w:firstLine="324"/>
        <w:spacing w:after="0" w:line="263" w:lineRule="auto"/>
        <w:rPr>
          <w:sz w:val="20"/>
          <w:szCs w:val="20"/>
          <w:color w:val="auto"/>
        </w:rPr>
      </w:pPr>
      <w:r>
        <w:rPr>
          <w:rFonts w:ascii="Arial" w:cs="Arial" w:eastAsia="Arial" w:hAnsi="Arial"/>
          <w:sz w:val="18"/>
          <w:szCs w:val="18"/>
          <w:i w:val="1"/>
          <w:iCs w:val="1"/>
          <w:color w:val="auto"/>
        </w:rPr>
        <w:t xml:space="preserve">Transfer and Disposal Costs </w:t>
      </w:r>
      <w:r>
        <w:rPr>
          <w:rFonts w:ascii="Arial" w:cs="Arial" w:eastAsia="Arial" w:hAnsi="Arial"/>
          <w:sz w:val="18"/>
          <w:szCs w:val="18"/>
          <w:color w:val="auto"/>
        </w:rPr>
        <w:t>— The increase in transfer and disposal costs was largely driven by additional disposal</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 a result of our acquisition of Advanced Disposal, increased volume and inflationary cost increases from our third-party haulers.</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Maintenance and Repairs </w:t>
      </w:r>
      <w:r>
        <w:rPr>
          <w:rFonts w:ascii="Arial" w:cs="Arial" w:eastAsia="Arial" w:hAnsi="Arial"/>
          <w:sz w:val="16"/>
          <w:szCs w:val="16"/>
          <w:color w:val="auto"/>
        </w:rPr>
        <w:t>— The increase in maintenance and repairs costs was largely driven by (i) our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Advanced Disposal, including intentional investments in the fleet acquired to bring the trucks to WM standards;</w:t>
      </w:r>
    </w:p>
    <w:p>
      <w:pPr>
        <w:jc w:val="both"/>
        <w:ind w:left="60" w:right="59" w:hanging="10"/>
        <w:spacing w:after="0" w:line="277" w:lineRule="auto"/>
        <w:tabs>
          <w:tab w:leader="none" w:pos="32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additional fleet maintenance driven by commercial and industrial volume increases; (iii) an increase in container repairs driven by volume increases and delays in normal-course capital expenditures for steel containers due to both steel costs and supply chain constraints and (iv) inflationary cost increases for parts, supplies and third-party services.</w:t>
      </w:r>
    </w:p>
    <w:p>
      <w:pPr>
        <w:spacing w:after="0" w:line="173"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 xml:space="preserve">Subcontractor Costs </w:t>
      </w:r>
      <w:r>
        <w:rPr>
          <w:rFonts w:ascii="Arial" w:cs="Arial" w:eastAsia="Arial" w:hAnsi="Arial"/>
          <w:sz w:val="17"/>
          <w:szCs w:val="17"/>
          <w:color w:val="auto"/>
        </w:rPr>
        <w:t>— The increase in subcontractor costs was largely driven by (i) the acquisition of Advanced</w:t>
      </w:r>
      <w:r>
        <w:rPr>
          <w:rFonts w:ascii="Arial" w:cs="Arial" w:eastAsia="Arial" w:hAnsi="Arial"/>
          <w:sz w:val="17"/>
          <w:szCs w:val="17"/>
          <w:i w:val="1"/>
          <w:iCs w:val="1"/>
          <w:color w:val="auto"/>
        </w:rPr>
        <w:t xml:space="preserve"> </w:t>
      </w:r>
      <w:r>
        <w:rPr>
          <w:rFonts w:ascii="Arial" w:cs="Arial" w:eastAsia="Arial" w:hAnsi="Arial"/>
          <w:sz w:val="17"/>
          <w:szCs w:val="17"/>
          <w:color w:val="auto"/>
        </w:rPr>
        <w:t>Disposal; (ii) an increase in volumes in our WMSBS business, which relies more extensively on subcontracted hauling than our collection and disposal business and (iii) inflationary cost increases from third-party haulers.</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The increase in cost of goods sold was primarily driven by increases in market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recycling commodities of approximately 75% and 90% during the three and six months ended June 30, 2021, respectively. Tons processed also increased from prior year primarily due to the re-opening of facilities where operations were temporarily suspended during the pandemic.</w:t>
      </w:r>
    </w:p>
    <w:p>
      <w:pPr>
        <w:spacing w:after="0" w:line="18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Fuel </w:t>
      </w:r>
      <w:r>
        <w:rPr>
          <w:rFonts w:ascii="Arial" w:cs="Arial" w:eastAsia="Arial" w:hAnsi="Arial"/>
          <w:sz w:val="16"/>
          <w:szCs w:val="16"/>
          <w:color w:val="auto"/>
        </w:rPr>
        <w:t>— The increase in fuel costs was primarily due to (i) increases of approximately 30% and 15% in market fuel</w:t>
      </w:r>
      <w:r>
        <w:rPr>
          <w:rFonts w:ascii="Arial" w:cs="Arial" w:eastAsia="Arial" w:hAnsi="Arial"/>
          <w:sz w:val="16"/>
          <w:szCs w:val="16"/>
          <w:i w:val="1"/>
          <w:iCs w:val="1"/>
          <w:color w:val="auto"/>
        </w:rPr>
        <w:t xml:space="preserve"> </w:t>
      </w:r>
      <w:r>
        <w:rPr>
          <w:rFonts w:ascii="Arial" w:cs="Arial" w:eastAsia="Arial" w:hAnsi="Arial"/>
          <w:sz w:val="16"/>
          <w:szCs w:val="16"/>
          <w:color w:val="auto"/>
        </w:rPr>
        <w:t>prices during the three and six months ended June 30, 2021, respectively, as compared with the prior year periods; (ii) volume increases in our commercial and industrial collection businesses and (iii) the acquisition of Advanced Disposal.</w:t>
      </w:r>
    </w:p>
    <w:p>
      <w:pPr>
        <w:spacing w:after="0" w:line="14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Disposal and Franchise Fees and Taxes </w:t>
      </w:r>
      <w:r>
        <w:rPr>
          <w:rFonts w:ascii="Arial" w:cs="Arial" w:eastAsia="Arial" w:hAnsi="Arial"/>
          <w:sz w:val="18"/>
          <w:szCs w:val="18"/>
          <w:color w:val="auto"/>
        </w:rPr>
        <w:t>— The increase in disposal and franchise fees and taxes as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periods was primarily driven by landfill volume increases and additional costs attributable to our acquisition of Advanced Disposal.</w:t>
      </w:r>
    </w:p>
    <w:p>
      <w:pPr>
        <w:spacing w:after="0" w:line="18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Landfill Operating Costs </w:t>
      </w:r>
      <w:r>
        <w:rPr>
          <w:rFonts w:ascii="Arial" w:cs="Arial" w:eastAsia="Arial" w:hAnsi="Arial"/>
          <w:sz w:val="16"/>
          <w:szCs w:val="16"/>
          <w:color w:val="auto"/>
        </w:rPr>
        <w:t>— The increase in landfill operating costs for the three and six months ended June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volume increases and the Advanced Disposal acquisition. These increases were partially offset by lower leachate management costs primarily due to the cessation of certain transportation costs in our Tier 3 segment.</w:t>
      </w:r>
    </w:p>
    <w:p>
      <w:pPr>
        <w:spacing w:after="0" w:line="14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Additionally, the increase in landfill operating costs for the six months ended June 30, 2021 was partially offset by the impacts of changes in the measurement of our environmental remediation obligations and recovery assets in both the first quarter of 2020 and 2021. Our measurement of these balances includes application of a risk-free discount rate, which is based on the rate for U.S. Treasury bonds. In the first quarter of 2021, there was an increase in the discount rate, which resulted in a reduction in the net liability balance and a credit to expense. Conversely, in the first quarter of 2020, there was a decrease in the discount rate, which resulted in an increase in the net liability balance and a charge to expense.</w:t>
      </w:r>
    </w:p>
    <w:p>
      <w:pPr>
        <w:spacing w:after="0" w:line="16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The increase in risk management costs was primarily due to our acquisition of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and to a lesser extent, unusually low claims during the second quarter of 2020 that we attribute to the COVID-19 driven decline in business activity.</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Other operating cost increases were due to our acquisition of Advanced Disposal, partially offset by a</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litigation settlement in the second quarter of 2021 and asset sales.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4" w:name="page35"/>
    <w:bookmarkEnd w:id="34"/>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(in millions of dollars and as a percentage of revenues):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6"/>
              </w:rPr>
              <w:t>Three Months Ended</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22"/>
              <w:spacing w:after="0" w:line="142" w:lineRule="exact"/>
              <w:rPr>
                <w:sz w:val="20"/>
                <w:szCs w:val="20"/>
                <w:color w:val="auto"/>
              </w:rPr>
            </w:pPr>
            <w:r>
              <w:rPr>
                <w:rFonts w:ascii="Arial" w:cs="Arial" w:eastAsia="Arial" w:hAnsi="Arial"/>
                <w:sz w:val="14"/>
                <w:szCs w:val="14"/>
                <w:b w:val="1"/>
                <w:bCs w:val="1"/>
                <w:color w:val="auto"/>
                <w:w w:val="96"/>
              </w:rPr>
              <w:t>2021</w:t>
            </w:r>
          </w:p>
        </w:tc>
        <w:tc>
          <w:tcPr>
            <w:tcW w:w="3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$ 228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$ 594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$ 474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r>
      <w:tr>
        <w:trPr>
          <w:trHeight w:val="216"/>
        </w:trPr>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tcPr>
          <w:p>
            <w:pPr>
              <w:spacing w:after="0"/>
              <w:rPr>
                <w:sz w:val="18"/>
                <w:szCs w:val="18"/>
                <w:color w:val="auto"/>
              </w:rPr>
            </w:pPr>
          </w:p>
        </w:tc>
      </w:tr>
      <w:tr>
        <w:trPr>
          <w:trHeight w:val="426"/>
        </w:trPr>
        <w:tc>
          <w:tcPr>
            <w:tcW w:w="33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445</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9.9 %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$ 377</w:t>
            </w: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9"/>
              </w:rPr>
              <w:t>10.6 %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$ 903</w:t>
            </w:r>
          </w:p>
        </w:tc>
        <w:tc>
          <w:tcPr>
            <w:tcW w:w="11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10.5 %</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$ 802</w:t>
            </w: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11.0 %</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Selling, general and administrative expenses have increased primarily due to (i) higher incentive compensation costs;</w:t>
      </w:r>
    </w:p>
    <w:p>
      <w:pPr>
        <w:spacing w:after="0" w:line="46" w:lineRule="exact"/>
        <w:rPr>
          <w:sz w:val="20"/>
          <w:szCs w:val="20"/>
          <w:color w:val="auto"/>
        </w:rPr>
      </w:pPr>
    </w:p>
    <w:p>
      <w:pPr>
        <w:jc w:val="both"/>
        <w:ind w:left="60" w:right="59" w:hanging="10"/>
        <w:spacing w:after="0" w:line="273" w:lineRule="auto"/>
        <w:tabs>
          <w:tab w:leader="none" w:pos="332"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increased labor and support costs related to our acquisition of Advanced Disposal and (iii) strategic investments in our digital platform. Although our costs increased, the significant revenue increases in our high-margin businesses, which include our landfill and commercial and industrial collection businesses, positioned us to reduce our overall selling, general and administrative expenses as a percentage of revenues when compared with the prior year periods.</w:t>
      </w:r>
    </w:p>
    <w:p>
      <w:pPr>
        <w:spacing w:after="0" w:line="17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between reported periods include:</w:t>
      </w:r>
    </w:p>
    <w:p>
      <w:pPr>
        <w:spacing w:after="0" w:line="170" w:lineRule="exact"/>
        <w:rPr>
          <w:sz w:val="20"/>
          <w:szCs w:val="20"/>
          <w:color w:val="auto"/>
        </w:rPr>
      </w:pPr>
    </w:p>
    <w:p>
      <w:pPr>
        <w:jc w:val="both"/>
        <w:ind w:left="60" w:right="59" w:firstLine="324"/>
        <w:spacing w:after="0" w:line="274" w:lineRule="auto"/>
        <w:rPr>
          <w:sz w:val="20"/>
          <w:szCs w:val="20"/>
          <w:color w:val="auto"/>
        </w:rPr>
      </w:pPr>
      <w:r>
        <w:rPr>
          <w:rFonts w:ascii="Arial" w:cs="Arial" w:eastAsia="Arial" w:hAnsi="Arial"/>
          <w:sz w:val="17"/>
          <w:szCs w:val="17"/>
          <w:i w:val="1"/>
          <w:iCs w:val="1"/>
          <w:color w:val="auto"/>
        </w:rPr>
        <w:t xml:space="preserve">Labor and Related Benefits </w:t>
      </w:r>
      <w:r>
        <w:rPr>
          <w:rFonts w:ascii="Arial" w:cs="Arial" w:eastAsia="Arial" w:hAnsi="Arial"/>
          <w:sz w:val="17"/>
          <w:szCs w:val="17"/>
          <w:color w:val="auto"/>
        </w:rPr>
        <w:t>— The increase in labor and related benefits costs was primarily related to (i) higher</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compensation costs; (ii) additional headcount in connection with our acquisition of Advanced Disposal;</w:t>
      </w:r>
    </w:p>
    <w:p>
      <w:pPr>
        <w:jc w:val="both"/>
        <w:ind w:left="60" w:right="59" w:hanging="10"/>
        <w:spacing w:after="0" w:line="255" w:lineRule="auto"/>
        <w:tabs>
          <w:tab w:leader="none" w:pos="3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health and welfare costs attributable to medical care activity generally returning to pre-pandemic levels from the lower levels experienced during 2020; (iv) costs associated with our strategic investments in our digital platform and (v) annual merit increases for our employees.</w:t>
      </w:r>
    </w:p>
    <w:p>
      <w:pPr>
        <w:spacing w:after="0" w:line="19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 xml:space="preserve">Professional Fees </w:t>
      </w:r>
      <w:r>
        <w:rPr>
          <w:rFonts w:ascii="Arial" w:cs="Arial" w:eastAsia="Arial" w:hAnsi="Arial"/>
          <w:sz w:val="17"/>
          <w:szCs w:val="17"/>
          <w:color w:val="auto"/>
        </w:rPr>
        <w:t>— Professional fees increased primarily due to our strategic investments in our digital platform.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2021, these increases were partially offset by lower consulting, advisory and legal fees following the completion of the acquisition of Advanced Disposal in the fourth quarter of 2020.</w:t>
      </w:r>
    </w:p>
    <w:p>
      <w:pPr>
        <w:spacing w:after="0" w:line="16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The decrease in provision for bad debts was primarily due to an overall improvement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account collections and decreased collection risk with certain customers.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The increase in other expenses was primarily driven by costs associated with the acquisition of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and increased digital costs. For the six months ended June 30, 2021, these increases were partially offset by reductions in telecommunications and travel and entertainment costs.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components of our depreciation and amortization expenses (in millions of dollars and as a percentage of revenues):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3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02"/>
              <w:spacing w:after="0" w:line="142" w:lineRule="exact"/>
              <w:rPr>
                <w:sz w:val="20"/>
                <w:szCs w:val="20"/>
                <w:color w:val="auto"/>
              </w:rPr>
            </w:pPr>
            <w:r>
              <w:rPr>
                <w:rFonts w:ascii="Arial" w:cs="Arial" w:eastAsia="Arial" w:hAnsi="Arial"/>
                <w:sz w:val="14"/>
                <w:szCs w:val="14"/>
                <w:b w:val="1"/>
                <w:bCs w:val="1"/>
                <w:color w:val="auto"/>
                <w:w w:val="96"/>
              </w:rPr>
              <w:t>2021</w:t>
            </w:r>
          </w:p>
        </w:tc>
        <w:tc>
          <w:tcPr>
            <w:tcW w:w="3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33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Depreciation of tangible property and</w:t>
            </w: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$ 279</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$ 242</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$ 558</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$ 482</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20" w:type="dxa"/>
            <w:vAlign w:val="bottom"/>
          </w:tcPr>
          <w:p>
            <w:pPr>
              <w:spacing w:after="0"/>
              <w:rPr>
                <w:sz w:val="20"/>
                <w:szCs w:val="20"/>
                <w:color w:val="auto"/>
              </w:rPr>
            </w:pPr>
          </w:p>
        </w:tc>
      </w:tr>
      <w:tr>
        <w:trPr>
          <w:trHeight w:val="432"/>
        </w:trPr>
        <w:tc>
          <w:tcPr>
            <w:tcW w:w="3340" w:type="dxa"/>
            <w:vAlign w:val="bottom"/>
          </w:tcPr>
          <w:p>
            <w:pPr>
              <w:ind w:left="20"/>
              <w:spacing w:after="0"/>
              <w:rPr>
                <w:sz w:val="20"/>
                <w:szCs w:val="20"/>
                <w:color w:val="auto"/>
              </w:rPr>
            </w:pPr>
            <w:r>
              <w:rPr>
                <w:rFonts w:ascii="Arial" w:cs="Arial" w:eastAsia="Arial" w:hAnsi="Arial"/>
                <w:sz w:val="18"/>
                <w:szCs w:val="18"/>
                <w:color w:val="auto"/>
              </w:rPr>
              <w:t>Amortization of landfill airspace</w:t>
            </w:r>
          </w:p>
        </w:tc>
        <w:tc>
          <w:tcPr>
            <w:tcW w:w="52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25"/>
        </w:trPr>
        <w:tc>
          <w:tcPr>
            <w:tcW w:w="3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$ 500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11.2 %</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$ 414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11.6 %</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$ 972</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11.3 %</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$ 816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2"/>
              </w:rPr>
              <w:t>11.2 %</w:t>
            </w:r>
          </w:p>
        </w:tc>
        <w:tc>
          <w:tcPr>
            <w:tcW w:w="20" w:type="dxa"/>
            <w:vAlign w:val="bottom"/>
          </w:tcPr>
          <w:p>
            <w:pPr>
              <w:spacing w:after="0"/>
              <w:rPr>
                <w:sz w:val="24"/>
                <w:szCs w:val="24"/>
                <w:color w:val="auto"/>
              </w:rPr>
            </w:pPr>
          </w:p>
        </w:tc>
      </w:tr>
      <w:tr>
        <w:trPr>
          <w:trHeight w:val="20"/>
        </w:trPr>
        <w:tc>
          <w:tcPr>
            <w:tcW w:w="3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3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81" w:right="1440" w:bottom="1440" w:gutter="0" w:footer="0" w:header="0"/>
        </w:sectPr>
      </w:pPr>
    </w:p>
    <w:bookmarkStart w:id="35" w:name="page36"/>
    <w:bookmarkEnd w:id="35"/>
    <w:p>
      <w:pPr>
        <w:jc w:val="both"/>
        <w:ind w:left="60" w:right="59" w:firstLine="324"/>
        <w:spacing w:after="0" w:line="275" w:lineRule="auto"/>
        <w:rPr>
          <w:sz w:val="20"/>
          <w:szCs w:val="20"/>
          <w:color w:val="auto"/>
        </w:rPr>
      </w:pPr>
      <w:r>
        <w:rPr>
          <w:rFonts w:ascii="Arial" w:cs="Arial" w:eastAsia="Arial" w:hAnsi="Arial"/>
          <w:sz w:val="17"/>
          <w:szCs w:val="17"/>
          <w:color w:val="auto"/>
        </w:rPr>
        <w:t>The increase in depreciation of tangible property and equipment was primarily related to our acquisition of Advanced Disposal and investments in capital assets, including our fleet and facilities. The increase in amortization of landfill airspace was driven by (i) landfill volume increases from the continued economic recovery; (ii) our acquisition of Advanced Disposal and (iii) changes in landfill estimates. The increase in amortization of intangible assets is primarily driven by the amortization of acquired intangible assets related to the acquisition of Advanced Disposal.</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six months ended June 30, 2021, we recognized net charges of $17 million in the first quarter of 2021 consisting of (i) a $19 million charge pertaining to reserves for certain loss contingencies in our Corporate and Other segment and (ii) $6 million of asset impairment charges primarily related to our WM Renewable Energy business within our Other segment. These charges were partially offset by an $8 million gain from divestitures of certain ancillary operations in our Other segment.</w:t>
      </w:r>
    </w:p>
    <w:p>
      <w:pPr>
        <w:spacing w:after="0" w:line="18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During the six months ended June 30, 2020, we recognized non-cash impairment charges of $61 million in the second quarter of 2020 primarily related to the following:</w:t>
      </w:r>
    </w:p>
    <w:p>
      <w:pPr>
        <w:spacing w:after="0" w:line="17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Energy Services Asset Impairments </w:t>
      </w:r>
      <w:r>
        <w:rPr>
          <w:rFonts w:ascii="Arial" w:cs="Arial" w:eastAsia="Arial" w:hAnsi="Arial"/>
          <w:sz w:val="18"/>
          <w:szCs w:val="18"/>
          <w:color w:val="auto"/>
        </w:rPr>
        <w:t>— During the second quarter of 2020, the Company tested the recoverability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energy services assets in our Tier 2 segment. Indicators of impairment included (i) the sharp downturn in oil demand that has led to a significant decline in oil prices and production activities, which we project will have long-term impacts on the utilization of our assets and (ii) significant shifts in our business, including increases in competition and customers choosing to bury waste on site versus in a landfill, reducing our revenue outlook. The Company determined that the carrying amount of the asset group was not fully recoverable. As a result, we recognized $41 million of non-cash impairment charges primarily related to two landfills and an oil field waste injection facility in our Tier 2 segment. We wrote down the net book value of these assets to their estimated fair value using an income approach based on estimated future cash flow projections (Level 3). The aggregate fair value of the impaired asset group was $8 million as of June 30, 2020.</w:t>
      </w:r>
    </w:p>
    <w:p>
      <w:pPr>
        <w:spacing w:after="0" w:line="19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Other Impairments </w:t>
      </w:r>
      <w:r>
        <w:rPr>
          <w:rFonts w:ascii="Arial" w:cs="Arial" w:eastAsia="Arial" w:hAnsi="Arial"/>
          <w:sz w:val="17"/>
          <w:szCs w:val="17"/>
          <w:color w:val="auto"/>
        </w:rPr>
        <w:t>— In addition to the energy services impairments noted above, during the second quarter of 2020,</w:t>
      </w:r>
      <w:r>
        <w:rPr>
          <w:rFonts w:ascii="Arial" w:cs="Arial" w:eastAsia="Arial" w:hAnsi="Arial"/>
          <w:sz w:val="17"/>
          <w:szCs w:val="17"/>
          <w:i w:val="1"/>
          <w:iCs w:val="1"/>
          <w:color w:val="auto"/>
        </w:rPr>
        <w:t xml:space="preserve"> </w:t>
      </w:r>
      <w:r>
        <w:rPr>
          <w:rFonts w:ascii="Arial" w:cs="Arial" w:eastAsia="Arial" w:hAnsi="Arial"/>
          <w:sz w:val="17"/>
          <w:szCs w:val="17"/>
          <w:color w:val="auto"/>
        </w:rPr>
        <w:t>we recognized a $20 million non-cash impairment charge in our Tier 3 segment due to management’s decision to close a landfill once its constructed airspace is filled and abandon any remaining permitted airspace, which was considered an impairment indicator. As the carrying value was not recoverable, we wrote off the entire net book value of the asset using an income approach based on estimated future cash flow projections (Level 3). The impairment charge was comprised of $12 million related to the carrying value of the asset and $8 million related to the acceleration of the expected timing of capping, closure and post-closure activities.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6" w:name="page37"/>
    <w:bookmarkEnd w:id="36"/>
    <w:p>
      <w:pPr>
        <w:ind w:left="18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the second quarter of 2021, we combined our Eastern and Western Canada Areas reducing the number of Areas we manage from 17 to 16, and realigned our Solid Waste tiers. Reclassifications have been made to our prior period condensed consolidated financial information to conform to the current year presentation.</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income from operations for our reportable segments (dollars in millions):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7"/>
          </w:tcPr>
          <w:p>
            <w:pPr>
              <w:jc w:val="right"/>
              <w:ind w:right="25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Period-to-Period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70"/>
              <w:spacing w:after="0"/>
              <w:rPr>
                <w:sz w:val="20"/>
                <w:szCs w:val="20"/>
                <w:color w:val="auto"/>
              </w:rPr>
            </w:pPr>
            <w:r>
              <w:rPr>
                <w:rFonts w:ascii="Arial" w:cs="Arial" w:eastAsia="Arial" w:hAnsi="Arial"/>
                <w:sz w:val="14"/>
                <w:szCs w:val="14"/>
                <w:b w:val="1"/>
                <w:bCs w:val="1"/>
                <w:color w:val="auto"/>
                <w:w w:val="98"/>
              </w:rPr>
              <w:t>Six Months Ended</w:t>
            </w:r>
          </w:p>
        </w:tc>
        <w:tc>
          <w:tcPr>
            <w:tcW w:w="100" w:type="dxa"/>
            <w:vAlign w:val="bottom"/>
          </w:tcPr>
          <w:p>
            <w:pPr>
              <w:spacing w:after="0"/>
              <w:rPr>
                <w:sz w:val="14"/>
                <w:szCs w:val="14"/>
                <w:color w:val="auto"/>
              </w:rPr>
            </w:pPr>
          </w:p>
        </w:tc>
        <w:tc>
          <w:tcPr>
            <w:tcW w:w="126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Tier 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29.6 %</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657</w:t>
            </w:r>
          </w:p>
        </w:tc>
        <w:tc>
          <w:tcPr>
            <w:tcW w:w="2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558</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Tier 3</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131</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53.7</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1,056</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1,974</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1,567</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Other (a)</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26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(185)</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2220" w:type="dxa"/>
            <w:vAlign w:val="bottom"/>
          </w:tcPr>
          <w:p>
            <w:pPr>
              <w:ind w:left="4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24"/>
                <w:szCs w:val="24"/>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264</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50.1 %</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1,441</w:t>
            </w:r>
          </w:p>
        </w:tc>
        <w:tc>
          <w:tcPr>
            <w:tcW w:w="2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1,100</w:t>
            </w:r>
          </w:p>
        </w:tc>
        <w:tc>
          <w:tcPr>
            <w:tcW w:w="2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341</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31.0 %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Percentage of revenues</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w:t>
            </w:r>
          </w:p>
        </w:tc>
        <w:tc>
          <w:tcPr>
            <w:tcW w:w="26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*Percentage change does not provide a meaningful comparison.</w:t>
      </w:r>
    </w:p>
    <w:p>
      <w:pPr>
        <w:spacing w:after="0" w:line="117" w:lineRule="exact"/>
        <w:rPr>
          <w:sz w:val="20"/>
          <w:szCs w:val="20"/>
          <w:color w:val="auto"/>
        </w:rPr>
      </w:pPr>
    </w:p>
    <w:p>
      <w:pPr>
        <w:jc w:val="both"/>
        <w:ind w:left="380" w:right="79" w:hanging="330"/>
        <w:spacing w:after="0" w:line="273" w:lineRule="auto"/>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includes (i) our WMSBS business; (ii) elements of our landfill gas-to-energy operations managed by our WM Renewable Energy business and not included in the operations of our reportable segments; (iii) elements of our third-party subcontract and administration revenues managed by our EES business and not included in the operations of our reportable segments; (iv) our recycling brokerage services and (v)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69" w:lineRule="exact"/>
        <w:rPr>
          <w:rFonts w:ascii="Arial" w:cs="Arial" w:eastAsia="Arial" w:hAnsi="Arial"/>
          <w:sz w:val="17"/>
          <w:szCs w:val="17"/>
          <w:color w:val="auto"/>
        </w:rPr>
      </w:pPr>
    </w:p>
    <w:p>
      <w:pPr>
        <w:jc w:val="both"/>
        <w:ind w:left="380" w:right="79" w:hanging="330"/>
        <w:spacing w:after="0" w:line="257"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significant items affecting income from operations for our segments during the three and six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2021, as compared with the prior year periods, are summarized below:</w:t>
      </w:r>
    </w:p>
    <w:p>
      <w:pPr>
        <w:spacing w:after="0" w:line="103"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Solid Waste </w:t>
      </w:r>
      <w:r>
        <w:rPr>
          <w:rFonts w:ascii="Arial" w:cs="Arial" w:eastAsia="Arial" w:hAnsi="Arial"/>
          <w:sz w:val="17"/>
          <w:szCs w:val="17"/>
          <w:color w:val="auto"/>
        </w:rPr>
        <w:t>— Income from operations in our Solid Waste business increased significantly primarily due to</w:t>
      </w:r>
    </w:p>
    <w:p>
      <w:pPr>
        <w:spacing w:after="0" w:line="34" w:lineRule="exact"/>
        <w:rPr>
          <w:rFonts w:ascii="Arial" w:cs="Arial" w:eastAsia="Arial" w:hAnsi="Arial"/>
          <w:sz w:val="17"/>
          <w:szCs w:val="17"/>
          <w:color w:val="auto"/>
        </w:rPr>
      </w:pPr>
    </w:p>
    <w:p>
      <w:pPr>
        <w:jc w:val="both"/>
        <w:ind w:left="720" w:right="79" w:firstLine="5"/>
        <w:spacing w:after="0" w:line="286" w:lineRule="auto"/>
        <w:tabs>
          <w:tab w:leader="none" w:pos="964" w:val="left"/>
        </w:tabs>
        <w:numPr>
          <w:ilvl w:val="1"/>
          <w:numId w:val="28"/>
        </w:numPr>
        <w:rPr>
          <w:rFonts w:ascii="Arial" w:cs="Arial" w:eastAsia="Arial" w:hAnsi="Arial"/>
          <w:sz w:val="16"/>
          <w:szCs w:val="16"/>
          <w:color w:val="auto"/>
        </w:rPr>
      </w:pPr>
      <w:r>
        <w:rPr>
          <w:rFonts w:ascii="Arial" w:cs="Arial" w:eastAsia="Arial" w:hAnsi="Arial"/>
          <w:sz w:val="16"/>
          <w:szCs w:val="16"/>
          <w:color w:val="auto"/>
        </w:rPr>
        <w:t>revenue growth in our collection and disposal businesses driven by both volume and yield; (ii) improved profitability in our recycling business from higher market prices for recycling commodities, volume recovery from facilities where we temporarily suspended operations during the pandemic and improved costs at facilities where we have made investments in enhanced technology and equipment; (iii) a decrease in the provision for bad debts and (iv) the continuation of our proactive cost management efforts as volumes increased. These increases were partially offset by (i) higher incentive compensation costs; (ii) inflationary cost pressures and (iii) increased overtime driven by increased volumes and driver shortages. Additionally, the prior year periods were impacted by non-cash impairment charges, as further discussed below. The positive earnings contributions of Advanced Disposal were offset by elevated depreciation and amortization of acquired assets.</w:t>
      </w:r>
    </w:p>
    <w:p>
      <w:pPr>
        <w:spacing w:after="0" w:line="64"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During the second quarter of 2020, income from operations was impacted by $61 million of non-cash impairments consisting of (i) $41 million of non-cash asset impairment charges in our Tier 2 segment primarily related to two landfills and an oil field waste injection facility and (ii) a $20 million non-cash impairment charge in our Tier 3 segment related to management’s decision to close a landfill once its constructed airspace is filled and abandon any remaining permitted airspace.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7" w:name="page38"/>
    <w:bookmarkEnd w:id="37"/>
    <w:p>
      <w:pPr>
        <w:jc w:val="both"/>
        <w:ind w:left="720" w:right="79" w:hanging="319"/>
        <w:spacing w:after="0" w:line="273"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 The increase in income from operations was primarily driven by (i) increased market values for</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credits generated by our WM Renewable Energy business; (ii) increased revenues for our WMSBS business as a result of new contracts, improved pricing and increased customer activity and (iii) higher market prices for commodities benefiting our recycling brokerage services. The increase in income from operations for the six months ended June 30, 2021, as compared with the prior year period, was also due to a gain from the divestitures of certain ancillary operations during the first quarter of 2021.</w:t>
      </w:r>
    </w:p>
    <w:p>
      <w:pPr>
        <w:spacing w:after="0" w:line="177" w:lineRule="exact"/>
        <w:rPr>
          <w:rFonts w:ascii="Arial" w:cs="Arial" w:eastAsia="Arial" w:hAnsi="Arial"/>
          <w:sz w:val="17"/>
          <w:szCs w:val="17"/>
          <w:color w:val="auto"/>
        </w:rPr>
      </w:pPr>
    </w:p>
    <w:p>
      <w:pPr>
        <w:ind w:left="720" w:hanging="319"/>
        <w:spacing w:after="0"/>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 The increase in these costs was driven by (i) higher incentive compensation costs;</w:t>
      </w:r>
    </w:p>
    <w:p>
      <w:pPr>
        <w:spacing w:after="0" w:line="34" w:lineRule="exact"/>
        <w:rPr>
          <w:rFonts w:ascii="Arial" w:cs="Arial" w:eastAsia="Arial" w:hAnsi="Arial"/>
          <w:sz w:val="17"/>
          <w:szCs w:val="17"/>
          <w:color w:val="auto"/>
        </w:rPr>
      </w:pPr>
    </w:p>
    <w:p>
      <w:pPr>
        <w:jc w:val="both"/>
        <w:ind w:left="720" w:right="79" w:firstLine="5"/>
        <w:spacing w:after="0" w:line="265" w:lineRule="auto"/>
        <w:tabs>
          <w:tab w:leader="none" w:pos="1003" w:val="left"/>
        </w:tabs>
        <w:numPr>
          <w:ilvl w:val="1"/>
          <w:numId w:val="29"/>
        </w:numPr>
        <w:rPr>
          <w:rFonts w:ascii="Arial" w:cs="Arial" w:eastAsia="Arial" w:hAnsi="Arial"/>
          <w:sz w:val="17"/>
          <w:szCs w:val="17"/>
          <w:color w:val="auto"/>
        </w:rPr>
      </w:pPr>
      <w:r>
        <w:rPr>
          <w:rFonts w:ascii="Arial" w:cs="Arial" w:eastAsia="Arial" w:hAnsi="Arial"/>
          <w:sz w:val="17"/>
          <w:szCs w:val="17"/>
          <w:color w:val="auto"/>
        </w:rPr>
        <w:t>strategic investments in our digital platform; (iii) increased health and welfare costs attributable to medical care activity generally returning to pre-pandemic levels from the lower levels experienced during 2020 and</w:t>
      </w:r>
    </w:p>
    <w:p>
      <w:pPr>
        <w:jc w:val="both"/>
        <w:ind w:left="720" w:right="79" w:firstLine="5"/>
        <w:spacing w:after="0" w:line="295" w:lineRule="auto"/>
        <w:tabs>
          <w:tab w:leader="none" w:pos="1071"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increased labor and support costs from our acquisition of Advanced Disposal. The six months ended June 30, 2021, as compared with the prior year period, was further impacted by a charge pertaining to reserves for certain loss contingencies during the first quarter of 2021, as well as changes in the measurement of our environmental remediation obligations and recovery assets in both the first quarter of 2020 and 2021.</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left="60" w:right="59" w:firstLine="259"/>
        <w:spacing w:after="0" w:line="239" w:lineRule="auto"/>
        <w:rPr>
          <w:sz w:val="20"/>
          <w:szCs w:val="20"/>
          <w:color w:val="auto"/>
        </w:rPr>
      </w:pPr>
      <w:r>
        <w:rPr>
          <w:rFonts w:ascii="Arial" w:cs="Arial" w:eastAsia="Arial" w:hAnsi="Arial"/>
          <w:sz w:val="18"/>
          <w:szCs w:val="18"/>
          <w:color w:val="auto"/>
        </w:rPr>
        <w:t>Our interest expense, net was $98 million and $195 million for the three and six months ended June 30, 2021, respectively, compared to $119 million and $231 million for the three and six months ended June 30, 2020, respectively. The decreases are primarily due to certain refinancing activities, including (i) the redemption of $3.0 billion of senior notes in July 2020 and the issuance of $2.5 billion of senior notes in November 2020 at lower rates and (ii) the retirement of $1.3 billion of certain high-coupon senior notes and issuance of $950 million of lower coupon senior notes in May 2021, as discussed further below. The decreases were partially offset by decreases in interest income as a result of lower cash and cash equivalents balances in 2021.</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jc w:val="both"/>
        <w:ind w:left="60" w:right="59" w:firstLine="259"/>
        <w:spacing w:after="0" w:line="291" w:lineRule="auto"/>
        <w:rPr>
          <w:sz w:val="20"/>
          <w:szCs w:val="20"/>
          <w:color w:val="auto"/>
        </w:rPr>
      </w:pPr>
      <w:r>
        <w:rPr>
          <w:rFonts w:ascii="Arial" w:cs="Arial" w:eastAsia="Arial" w:hAnsi="Arial"/>
          <w:sz w:val="16"/>
          <w:szCs w:val="16"/>
          <w:color w:val="auto"/>
        </w:rPr>
        <w:t xml:space="preserve">In May 2021, WM issued $950 million of senior notes, which are discussed further below in </w:t>
      </w:r>
      <w:r>
        <w:rPr>
          <w:rFonts w:ascii="Arial" w:cs="Arial" w:eastAsia="Arial" w:hAnsi="Arial"/>
          <w:sz w:val="16"/>
          <w:szCs w:val="16"/>
          <w:i w:val="1"/>
          <w:iCs w:val="1"/>
          <w:color w:val="auto"/>
        </w:rPr>
        <w:t>Summary of Cash and</w:t>
      </w:r>
      <w:r>
        <w:rPr>
          <w:rFonts w:ascii="Arial" w:cs="Arial" w:eastAsia="Arial" w:hAnsi="Arial"/>
          <w:sz w:val="16"/>
          <w:szCs w:val="16"/>
          <w:color w:val="auto"/>
        </w:rPr>
        <w:t xml:space="preserve"> </w:t>
      </w:r>
      <w:r>
        <w:rPr>
          <w:rFonts w:ascii="Arial" w:cs="Arial" w:eastAsia="Arial" w:hAnsi="Arial"/>
          <w:sz w:val="16"/>
          <w:szCs w:val="16"/>
          <w:i w:val="1"/>
          <w:iCs w:val="1"/>
          <w:color w:val="auto"/>
        </w:rPr>
        <w:t>Cash Equivalents, Restricted Trust and Escrow Accounts and Debt Obligations</w:t>
      </w:r>
      <w:r>
        <w:rPr>
          <w:rFonts w:ascii="Arial" w:cs="Arial" w:eastAsia="Arial" w:hAnsi="Arial"/>
          <w:sz w:val="16"/>
          <w:szCs w:val="16"/>
          <w:color w:val="auto"/>
        </w:rPr>
        <w:t>. Concurrently, we used the net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newly issued senior notes of $942 million and available cash on hand, to retire $1.3 billion of certain high-coupon senior notes. The loss on early extinguishment of debt for the three and six months ended June 30, 2021 includes $220 million of charges related to these tender offer, including cash paid of $211 million related to premiums and other third-party costs, and $9 million primarily related to unamortized discounts and debt issuance costs. Refer to Note 3 to the Condensed Consolidated Financial Statements for additional information related to these transactions.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recognized equity in net losses of unconsolidated entities of $11 million and $20 million for the three and six months ended June 30, 2021, respectively, compared to $14 million and $40 million for the three months and six months ended June 30, 2020, respectively. The losses for each period were primarily related to our noncontrolling interests in entities established to invest in and manage low-income housing properties. We generate tax benefits, including tax credits, from the losses incurred from these investments. During the three months ended March 31, 2020, the entity that held and managed our ownership interest in a refined coal facility sold a majority of its assets resulting in a $7 million non-cash impairment charge at that time. Refer to Note 4 to the Condensed Consolidated Financial Statements.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ind w:left="60" w:right="339" w:firstLine="272"/>
        <w:spacing w:after="0" w:line="342" w:lineRule="auto"/>
        <w:rPr>
          <w:sz w:val="20"/>
          <w:szCs w:val="20"/>
          <w:color w:val="auto"/>
        </w:rPr>
      </w:pPr>
      <w:r>
        <w:rPr>
          <w:rFonts w:ascii="Arial" w:cs="Arial" w:eastAsia="Arial" w:hAnsi="Arial"/>
          <w:sz w:val="16"/>
          <w:szCs w:val="16"/>
          <w:color w:val="auto"/>
        </w:rPr>
        <w:t xml:space="preserve">During the second quarter of 2021, we recognized an $8 million loss upon settlement of a reverse Treasury rate lock associated with the refinancing of certain senior notes as discussed above in </w:t>
      </w:r>
      <w:r>
        <w:rPr>
          <w:rFonts w:ascii="Arial" w:cs="Arial" w:eastAsia="Arial" w:hAnsi="Arial"/>
          <w:sz w:val="16"/>
          <w:szCs w:val="16"/>
          <w:i w:val="1"/>
          <w:iCs w:val="1"/>
          <w:color w:val="auto"/>
        </w:rPr>
        <w:t>Loss on Early Extinguishment of Debt.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8" w:name="page39"/>
    <w:bookmarkEnd w:id="38"/>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Our income tax expense was $105 million and $229 million for the three and six months ended June 30, 2021, respectively, compared to $88 million and $162 million for the three and six months ended June 30, 2020, respectively. Our effective income tax rate was 22.9% and 22.8% for the three and six months ended June 30, 2021, respectively, compared to 22.2% and 19.5% for the three and six months ended June 30, 2020, respectively.</w:t>
      </w:r>
    </w:p>
    <w:p>
      <w:pPr>
        <w:spacing w:after="0" w:line="17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increase in our income tax expense and effective income tax rate when comparing the three and six months ended June 30, 2021 with the prior year period was due to (i) an increase in pre-tax income in 2021; (ii) a decrease in the benefits realized on tax audit settlements and (iii) lower federal tax credits. The increase in our income tax expense and effective tax rate for the six months ended June 30, 2021 as compared with the prior year period was also impacted by (i) a decrease in excess tax benefits associated with equity-based compensation and (ii) favorable adjustments to accruals and related deferred taxes recorded in 2020.</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See Note 4 to the Condensed Consolidated Financial Statements for more information related to income taxes.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consistently generates cash flow from operations that meets and exceeds our working capital needs, payment of our dividends and investment in the business through capital expenditures and tuck-in acquisitions. We continually monitor our actual and forecasted cash flows, our liquidity and our capital resources, enabling us to plan for our present needs and fund unbudgeted business requirements that may arise during the year. The Company believes that its investment grade credit ratings, large value of unencumbered assets and modest leverage enable it to obtain adequate financing to meet its ongoing capital, operating, strategic and other liquidity requirements.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ind w:left="20"/>
              <w:spacing w:after="0"/>
              <w:rPr>
                <w:sz w:val="20"/>
                <w:szCs w:val="20"/>
                <w:color w:val="auto"/>
              </w:rPr>
            </w:pPr>
            <w:r>
              <w:rPr>
                <w:rFonts w:ascii="Arial" w:cs="Arial" w:eastAsia="Arial" w:hAnsi="Arial"/>
                <w:sz w:val="18"/>
                <w:szCs w:val="18"/>
                <w:color w:val="auto"/>
              </w:rPr>
              <w:t>Restricted trust and escrow accounts:</w:t>
            </w: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3"/>
            <w:vMerge w:val="continue"/>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reserves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Tax-exempt bond funds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restricted trust and escrow accounts (a)</w:t>
            </w: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ind w:left="20"/>
              <w:spacing w:after="0"/>
              <w:rPr>
                <w:sz w:val="20"/>
                <w:szCs w:val="20"/>
                <w:color w:val="auto"/>
              </w:rPr>
            </w:pPr>
            <w:r>
              <w:rPr>
                <w:rFonts w:ascii="Arial" w:cs="Arial" w:eastAsia="Arial" w:hAnsi="Arial"/>
                <w:sz w:val="18"/>
                <w:szCs w:val="18"/>
                <w:color w:val="auto"/>
              </w:rPr>
              <w:t>Debt:</w:t>
            </w: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3"/>
            <w:vMerge w:val="continue"/>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Long-term portion</w:t>
            </w: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debt</w:t>
            </w: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June 30, 2021 and December 31, 2020, $75 million of these account balances was included in other current assets in our Condensed Consolidated Balance Sheets.</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As of June 30, 2021 we had $2.9 billion of debt maturing within the next 12 months, including (i) $1.5 billion of short-term borrowings under our commercial paper program; (ii) $1.2 billion of tax-exempt bonds with term interest rate periods that expire within the next 12 months, which is prior to their scheduled maturities and (iii) $212 million of other debt with scheduled maturities within the next 12 months, including $103 million of tax-exempt bonds. As of June 30, 2021, we have classified $2.6 billion of debt maturing in the next 12 months as long-term because we have the intent and ability to refinance these borrowings on a long-term basis as supported by the forecasted available capacity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9" w:name="page40"/>
    <w:bookmarkEnd w:id="39"/>
    <w:p>
      <w:pPr>
        <w:jc w:val="both"/>
        <w:ind w:left="60" w:right="59"/>
        <w:spacing w:after="0" w:line="277" w:lineRule="auto"/>
        <w:rPr>
          <w:sz w:val="20"/>
          <w:szCs w:val="20"/>
          <w:color w:val="auto"/>
        </w:rPr>
      </w:pPr>
      <w:r>
        <w:rPr>
          <w:rFonts w:ascii="Arial" w:cs="Arial" w:eastAsia="Arial" w:hAnsi="Arial"/>
          <w:sz w:val="18"/>
          <w:szCs w:val="18"/>
          <w:color w:val="auto"/>
        </w:rPr>
        <w:t>under our $3.5 billion long-term U.S. and Canadian revolving credit facility (“$3.5 billion revolving credit facility”). The remaining $361 million of debt maturing in the next 12 months is classified as current obligations.</w:t>
      </w:r>
    </w:p>
    <w:p>
      <w:pPr>
        <w:spacing w:after="0" w:line="17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May 2021, WM issued $950 million of senior notes consisting of $475 million of 2.00% senior notes due June 1, 2029 and $475 million of 2.95% senior notes due June 15, 2041. The net proceeds from these debt issuances were $942 million, all of which were used along with available cash on hand, to retire $1.3 billion of certain high-coupon senior notes. The cash paid includes the principal amount of the debt retired, $211 million of related premiums and other third-party costs, which are classified as loss on early extinguishment of debt in our Condensed Consolidated Statement of Operations, and $15 million of accrued interest.</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In lieu of providing separate financial statements for the subsidiary issuer and guarantor (WM and WM Holdings), we have presented the accompanying supplemental summarized combined balance sheet and income statement information for WM and WM Holdings on a combined basis after elimination of intercompany transactions between WM and WM Holdings and amounts related to investments in any subsidiary that is a non-guarantor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Information: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Advances due to affiliates</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17,782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16,505</w:t>
            </w: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w:t>
            </w:r>
          </w:p>
        </w:tc>
      </w:tr>
      <w:tr>
        <w:trPr>
          <w:trHeight w:val="355"/>
        </w:trPr>
        <w:tc>
          <w:tcPr>
            <w:tcW w:w="6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8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w w:val="98"/>
              </w:rPr>
              <w:t>June 30, 2021</w:t>
            </w: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Information: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18"/>
                <w:szCs w:val="18"/>
                <w:color w:val="auto"/>
              </w:rPr>
            </w:pPr>
          </w:p>
        </w:tc>
        <w:tc>
          <w:tcPr>
            <w:tcW w:w="8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w:t>
            </w:r>
          </w:p>
        </w:tc>
      </w:tr>
    </w:tbl>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cash flows for the six months ended June 30 (in millions):</w:t>
      </w:r>
    </w:p>
    <w:p>
      <w:pPr>
        <w:spacing w:after="0" w:line="122"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Six Months Ended</w:t>
      </w:r>
    </w:p>
    <w:p>
      <w:pPr>
        <w:jc w:val="center"/>
        <w:ind w:left="69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69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(708)</w:t>
            </w:r>
          </w:p>
        </w:tc>
        <w:tc>
          <w:tcPr>
            <w:tcW w:w="2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(1,810)</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Net Cash Provided by Operating Activities — </w:t>
      </w:r>
      <w:r>
        <w:rPr>
          <w:rFonts w:ascii="Arial" w:cs="Arial" w:eastAsia="Arial" w:hAnsi="Arial"/>
          <w:sz w:val="16"/>
          <w:szCs w:val="16"/>
          <w:color w:val="auto"/>
        </w:rPr>
        <w:t>Our operating cash flows increased by $542 million as compared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period, as a result of (i) an increase in earnings primarily attributable to our collection, disposal and recycling lines of business; (ii) favorable changes in our working capital, net of effects of acquisitions and divestitures; (iii) the acquisition of Advanced Disposal and (iv) lower annual incentive compensation payments in the current year. Our working capital was favorably impacted by the timing of cash payments for our capital expenditures and an improvement in our days sales outstanding. These favorable impacts were partially offset by (i) higher income tax payments in the current year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7"/>
          <w:szCs w:val="17"/>
          <w:color w:val="auto"/>
        </w:rPr>
        <w:t>period; (ii) the timing of cash tax benefits received in 2020 associated with federal alternative fuel tax credits and</w:t>
      </w:r>
    </w:p>
    <w:p>
      <w:pPr>
        <w:spacing w:after="0" w:line="35" w:lineRule="exact"/>
        <w:rPr>
          <w:sz w:val="20"/>
          <w:szCs w:val="20"/>
          <w:color w:val="auto"/>
        </w:rPr>
      </w:pPr>
    </w:p>
    <w:p>
      <w:pPr>
        <w:ind w:left="60" w:right="59" w:hanging="10"/>
        <w:spacing w:after="0" w:line="260" w:lineRule="auto"/>
        <w:tabs>
          <w:tab w:leader="none" w:pos="3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timing differences in the payment of payroll taxes due to a temporary deferral taken in 2020 as provided for by the Coronavirus Aid, Relief and Economic Security Act.</w:t>
      </w:r>
    </w:p>
    <w:p>
      <w:pPr>
        <w:spacing w:after="0" w:line="185"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included in our investing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2021 and 2020 are summarized below:</w:t>
      </w:r>
    </w:p>
    <w:p>
      <w:pPr>
        <w:spacing w:after="0" w:line="62" w:lineRule="exact"/>
        <w:rPr>
          <w:sz w:val="20"/>
          <w:szCs w:val="20"/>
          <w:color w:val="auto"/>
        </w:rPr>
      </w:pPr>
    </w:p>
    <w:p>
      <w:pPr>
        <w:jc w:val="both"/>
        <w:ind w:left="720" w:right="79" w:hanging="319"/>
        <w:spacing w:after="0" w:line="275"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Capital Expenditures — </w:t>
      </w:r>
      <w:r>
        <w:rPr>
          <w:rFonts w:ascii="Arial" w:cs="Arial" w:eastAsia="Arial" w:hAnsi="Arial"/>
          <w:sz w:val="17"/>
          <w:szCs w:val="17"/>
          <w:color w:val="auto"/>
        </w:rPr>
        <w:t>We used $666 million and $895 million for capital expenditures during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2021 and 2020, respectively. The decrease in capital spending was primarily driven by timing differences in our fleet purchases as well as supply chain constraints in advancing current year projects. The Company continues to maintain a disciplined focus on capital management to prioritize investments in the long-term growth of our business and for the replacement of aging assets.</w:t>
      </w:r>
    </w:p>
    <w:p>
      <w:pPr>
        <w:spacing w:after="0" w:line="68" w:lineRule="exact"/>
        <w:rPr>
          <w:rFonts w:ascii="Arial" w:cs="Arial" w:eastAsia="Arial" w:hAnsi="Arial"/>
          <w:sz w:val="17"/>
          <w:szCs w:val="17"/>
          <w:color w:val="auto"/>
        </w:rPr>
      </w:pPr>
    </w:p>
    <w:p>
      <w:pPr>
        <w:jc w:val="both"/>
        <w:ind w:left="720" w:right="79" w:hanging="319"/>
        <w:spacing w:after="0" w:line="259"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Other, Net — </w:t>
      </w:r>
      <w:r>
        <w:rPr>
          <w:rFonts w:ascii="Arial" w:cs="Arial" w:eastAsia="Arial" w:hAnsi="Arial"/>
          <w:sz w:val="18"/>
          <w:szCs w:val="18"/>
          <w:color w:val="auto"/>
        </w:rPr>
        <w:t>The year-over-year changes in other investing activities were primarily driven by changes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portfolio associated with a wholly-owned insurance captive. During the six months ended June 30, 2021 and 2020, we used $56 million and $33 million, respectively, of cash from restricted cash and cash equivalents to invest in available-for-sale securities.</w:t>
      </w:r>
    </w:p>
    <w:p>
      <w:pPr>
        <w:spacing w:after="0" w:line="187"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The most significant items affecting the comparison of our financing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six months ended June 30, 2021 and 2020 are summarized below:</w:t>
      </w:r>
    </w:p>
    <w:p>
      <w:pPr>
        <w:spacing w:after="0" w:line="62" w:lineRule="exact"/>
        <w:rPr>
          <w:sz w:val="20"/>
          <w:szCs w:val="20"/>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Debt (Repayments) Borrowings — </w:t>
      </w:r>
      <w:r>
        <w:rPr>
          <w:rFonts w:ascii="Arial" w:cs="Arial" w:eastAsia="Arial" w:hAnsi="Arial"/>
          <w:sz w:val="18"/>
          <w:szCs w:val="18"/>
          <w:color w:val="auto"/>
        </w:rPr>
        <w:t>The following summarizes our cash borrowings and repayments of debt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(in millions):</w:t>
      </w:r>
    </w:p>
    <w:p>
      <w:pPr>
        <w:spacing w:after="0" w:line="6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220" w:type="dxa"/>
            <w:vAlign w:val="bottom"/>
            <w:tcBorders>
              <w:bottom w:val="single" w:sz="8" w:color="CCEEFF"/>
            </w:tcBorders>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r>
      <w:tr>
        <w:trPr>
          <w:trHeight w:val="209"/>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Commercial paper (a)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notes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Tax-exempt bonds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220" w:type="dxa"/>
            <w:vAlign w:val="bottom"/>
            <w:tcBorders>
              <w:top w:val="single" w:sz="8" w:color="CCEEFF"/>
              <w:bottom w:val="single" w:sz="8" w:color="CCEEFF"/>
            </w:tcBorders>
          </w:tcPr>
          <w:p>
            <w:pPr>
              <w:spacing w:after="0"/>
              <w:rPr>
                <w:sz w:val="18"/>
                <w:szCs w:val="18"/>
                <w:color w:val="auto"/>
              </w:rPr>
            </w:pPr>
          </w:p>
        </w:tc>
        <w:tc>
          <w:tcPr>
            <w:tcW w:w="34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Commercial paper (a)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(954)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notes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(1,289)</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Tax-exempt bonds</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222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(2,326)</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r>
      <w:tr>
        <w:trPr>
          <w:trHeight w:val="209"/>
        </w:trPr>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Net cash repayments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0"/>
        </w:trPr>
        <w:tc>
          <w:tcPr>
            <w:tcW w:w="2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89"/>
        </w:trPr>
        <w:tc>
          <w:tcPr>
            <w:tcW w:w="2220" w:type="dxa"/>
            <w:vAlign w:val="bottom"/>
            <w:tcBorders>
              <w:bottom w:val="single" w:sz="8" w:color="auto"/>
            </w:tcBorders>
          </w:tcPr>
          <w:p>
            <w:pPr>
              <w:spacing w:after="0"/>
              <w:rPr>
                <w:sz w:val="7"/>
                <w:szCs w:val="7"/>
                <w:color w:val="auto"/>
              </w:rPr>
            </w:pPr>
          </w:p>
        </w:tc>
        <w:tc>
          <w:tcPr>
            <w:tcW w:w="3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r>
    </w:tbl>
    <w:p>
      <w:pPr>
        <w:spacing w:after="0" w:line="8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Beginning in the second quarter of 2021 we reported these cash flows on a gross basis.</w:t>
      </w:r>
    </w:p>
    <w:p>
      <w:pPr>
        <w:spacing w:after="0" w:line="117" w:lineRule="exact"/>
        <w:rPr>
          <w:sz w:val="20"/>
          <w:szCs w:val="20"/>
          <w:color w:val="auto"/>
        </w:rPr>
      </w:pPr>
    </w:p>
    <w:p>
      <w:pPr>
        <w:ind w:left="700" w:right="79"/>
        <w:spacing w:after="0" w:line="277" w:lineRule="auto"/>
        <w:rPr>
          <w:sz w:val="20"/>
          <w:szCs w:val="20"/>
          <w:color w:val="auto"/>
        </w:rPr>
      </w:pPr>
      <w:r>
        <w:rPr>
          <w:rFonts w:ascii="Arial" w:cs="Arial" w:eastAsia="Arial" w:hAnsi="Arial"/>
          <w:sz w:val="18"/>
          <w:szCs w:val="18"/>
          <w:color w:val="auto"/>
        </w:rPr>
        <w:t>Refer to Note 3 to the Condensed Consolidated Financial Statements for additional information related to debt borrowings and repayments.</w:t>
      </w:r>
    </w:p>
    <w:p>
      <w:pPr>
        <w:spacing w:after="0" w:line="62" w:lineRule="exact"/>
        <w:rPr>
          <w:sz w:val="20"/>
          <w:szCs w:val="20"/>
          <w:color w:val="auto"/>
        </w:rPr>
      </w:pPr>
    </w:p>
    <w:p>
      <w:pPr>
        <w:jc w:val="both"/>
        <w:ind w:left="720" w:right="79" w:hanging="319"/>
        <w:spacing w:after="0" w:line="286"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Premiums and Other Paid on Early Extinguishment of Debt — </w:t>
      </w:r>
      <w:r>
        <w:rPr>
          <w:rFonts w:ascii="Arial" w:cs="Arial" w:eastAsia="Arial" w:hAnsi="Arial"/>
          <w:sz w:val="17"/>
          <w:szCs w:val="17"/>
          <w:color w:val="auto"/>
        </w:rPr>
        <w:t>During the six months ended June 30, 2021, we</w:t>
      </w:r>
      <w:r>
        <w:rPr>
          <w:rFonts w:ascii="Arial" w:cs="Arial" w:eastAsia="Arial" w:hAnsi="Arial"/>
          <w:sz w:val="17"/>
          <w:szCs w:val="17"/>
          <w:i w:val="1"/>
          <w:iCs w:val="1"/>
          <w:color w:val="auto"/>
        </w:rPr>
        <w:t xml:space="preserve"> </w:t>
      </w:r>
      <w:r>
        <w:rPr>
          <w:rFonts w:ascii="Arial" w:cs="Arial" w:eastAsia="Arial" w:hAnsi="Arial"/>
          <w:sz w:val="17"/>
          <w:szCs w:val="17"/>
          <w:color w:val="auto"/>
        </w:rPr>
        <w:t>paid premiums and other third-party costs of $211 million to retire certain high-coupon senior notes. See Note 3 to the Condensed Consolidated Financial Statements for further discussion of this debt transaction.</w:t>
      </w:r>
    </w:p>
    <w:p>
      <w:pPr>
        <w:spacing w:after="0" w:line="57" w:lineRule="exact"/>
        <w:rPr>
          <w:rFonts w:ascii="Arial" w:cs="Arial" w:eastAsia="Arial" w:hAnsi="Arial"/>
          <w:sz w:val="17"/>
          <w:szCs w:val="17"/>
          <w:color w:val="auto"/>
        </w:rPr>
      </w:pPr>
    </w:p>
    <w:p>
      <w:pPr>
        <w:jc w:val="both"/>
        <w:ind w:left="720" w:right="79" w:hanging="319"/>
        <w:spacing w:after="0" w:line="293"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Repurchase Program — </w:t>
      </w:r>
      <w:r>
        <w:rPr>
          <w:rFonts w:ascii="Arial" w:cs="Arial" w:eastAsia="Arial" w:hAnsi="Arial"/>
          <w:sz w:val="16"/>
          <w:szCs w:val="16"/>
          <w:color w:val="auto"/>
        </w:rPr>
        <w:t>During the six months ended June 30, 2021, we repurchased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$500 million of our common stock pursuant to two accelerated share repurchase (“ASR”) agreements, as discussed further in Note 11 to the Condensed Consolidated Financial Statements. We expect to repurchase the full amount of our remaining authorization of $850 million of common stock during the second half of 2021. During the six months ended June 30, 2020, we repurchased $402 million of our common stock, which included $313 million related to a February 2020 ASR agreement and $89 million in open market transactions.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1" w:name="page42"/>
    <w:bookmarkEnd w:id="41"/>
    <w:p>
      <w:pPr>
        <w:ind w:left="720" w:hanging="319"/>
        <w:spacing w:after="0"/>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Cash Dividends — </w:t>
      </w:r>
      <w:r>
        <w:rPr>
          <w:rFonts w:ascii="Arial" w:cs="Arial" w:eastAsia="Arial" w:hAnsi="Arial"/>
          <w:sz w:val="17"/>
          <w:szCs w:val="17"/>
          <w:color w:val="auto"/>
        </w:rPr>
        <w:t>For the periods presented, all dividends have been declared by our Board of Directors.</w:t>
      </w:r>
    </w:p>
    <w:p>
      <w:pPr>
        <w:spacing w:after="0" w:line="129"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We paid cash dividends of $489 million and $466 million during the six months ended June 30, 2021 and 2020, respectively. The increase in dividend payments is primarily due to our quarterly per share dividend increasing from $0.545 in 2020 to $0.575 in 2021 which was offset, in part, by a reduction in our common stock outstanding as a result of our common stock repurchase program.</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1"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134"/>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5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r>
      <w:tr>
        <w:trPr>
          <w:trHeight w:val="142"/>
        </w:trPr>
        <w:tc>
          <w:tcPr>
            <w:tcW w:w="5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Proceeds from divestitures of businesses and other assets, net of cash</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divested</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9"/>
        </w:trPr>
        <w:tc>
          <w:tcPr>
            <w:tcW w:w="5620" w:type="dxa"/>
            <w:vAlign w:val="bottom"/>
          </w:tcPr>
          <w:p>
            <w:pPr>
              <w:ind w:left="100"/>
              <w:spacing w:after="0"/>
              <w:rPr>
                <w:sz w:val="20"/>
                <w:szCs w:val="20"/>
                <w:color w:val="auto"/>
              </w:rPr>
            </w:pPr>
            <w:r>
              <w:rPr>
                <w:rFonts w:ascii="Arial" w:cs="Arial" w:eastAsia="Arial" w:hAnsi="Arial"/>
                <w:sz w:val="18"/>
                <w:szCs w:val="18"/>
                <w:color w:val="auto"/>
              </w:rPr>
              <w:t>Free cash flow</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the fair value of assets and liabilities acquired in business combinations or as asset acquisitions and reserves associated with our insured and self-insured claims, as described in Item 7 of our Annual Report on Form 10-K for the year ended December 31, 2020. Actual results could differ materially from the estimates and assumptions that we use in the preparation of our financial statements.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have financial interests in unconsolidated variable interest entities as discussed in Note 13 to the Condensed Consolidated Financial Statements. Additionally, we are party to guarantee arrangements with unconsolidated entities as discussed in the Guarantees section of Note 6 to the Condensed Consolidated Financial Statements. These arrangements have not materially affected our financial position, results of operations or liquidity during the six months ended June 30, 2021, nor are they expected to have a material impact on our future financial position, results of operations or liquidity.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Service disruptions caused by severe storms, extended periods of inclement weather or climate events can significantly impact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as a result of the waste volumes generated by these events. While weather-related and other event-driven special projects can boost revenues through additional work for a limited time, as a result of significant start-up costs and other factors, such revenue can generate earnings at comparatively lower margins.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5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Information about market risks as of June 30, 2021 does not differ materially from that discussed under Item 7A in our Annual Report on Form 10-K for the year ended December 31, 2020.</w:t>
      </w:r>
    </w:p>
    <w:p>
      <w:pPr>
        <w:spacing w:after="0" w:line="166"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2021 (the end of the period covered by this Quarterly Report on Form 10-Q).</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2021. We determined that there were no changes in our internal control over financial reporting during the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6 to the Condensed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left="180" w:right="79" w:firstLine="324"/>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Part I, Item 1A of our Annual Report on Form 10-K for the year ended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180" w:right="79" w:firstLine="324"/>
        <w:spacing w:after="0" w:line="277" w:lineRule="auto"/>
        <w:rPr>
          <w:sz w:val="20"/>
          <w:szCs w:val="20"/>
          <w:color w:val="auto"/>
        </w:rPr>
      </w:pPr>
      <w:r>
        <w:rPr>
          <w:rFonts w:ascii="Arial" w:cs="Arial" w:eastAsia="Arial" w:hAnsi="Arial"/>
          <w:sz w:val="18"/>
          <w:szCs w:val="18"/>
          <w:color w:val="auto"/>
        </w:rPr>
        <w:t>The following table summarizes common stock repurchases made during the second quarter of 2021 (shares in millions):</w:t>
      </w:r>
    </w:p>
    <w:p>
      <w:pPr>
        <w:spacing w:after="0" w:line="5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Approximate Maximum</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2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400" w:type="dxa"/>
            <w:vAlign w:val="bottom"/>
          </w:tcPr>
          <w:p>
            <w:pPr>
              <w:spacing w:after="0"/>
              <w:rPr>
                <w:sz w:val="12"/>
                <w:szCs w:val="12"/>
                <w:color w:val="auto"/>
              </w:rPr>
            </w:pPr>
          </w:p>
        </w:tc>
        <w:tc>
          <w:tcPr>
            <w:tcW w:w="21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22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420" w:type="dxa"/>
            <w:vAlign w:val="bottom"/>
          </w:tcPr>
          <w:p>
            <w:pPr>
              <w:spacing w:after="0"/>
              <w:rPr>
                <w:sz w:val="14"/>
                <w:szCs w:val="14"/>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per Share(a)</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09"/>
        </w:trPr>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 30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billion</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May 1 — 31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139.60</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850 million</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 30</w:t>
            </w:r>
          </w:p>
        </w:tc>
        <w:tc>
          <w:tcPr>
            <w:tcW w:w="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850 million</w:t>
            </w:r>
          </w:p>
        </w:tc>
        <w:tc>
          <w:tcPr>
            <w:tcW w:w="0" w:type="dxa"/>
            <w:vAlign w:val="bottom"/>
          </w:tcPr>
          <w:p>
            <w:pPr>
              <w:spacing w:after="0"/>
              <w:rPr>
                <w:sz w:val="1"/>
                <w:szCs w:val="1"/>
                <w:color w:val="auto"/>
              </w:rPr>
            </w:pPr>
          </w:p>
        </w:tc>
      </w:tr>
      <w:tr>
        <w:trPr>
          <w:trHeight w:val="209"/>
        </w:trPr>
        <w:tc>
          <w:tcPr>
            <w:tcW w:w="22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139.60</w:t>
            </w:r>
          </w:p>
        </w:tc>
        <w:tc>
          <w:tcPr>
            <w:tcW w:w="4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9" w:hanging="330"/>
        <w:spacing w:after="0" w:line="286" w:lineRule="auto"/>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“Average Price Paid per Share” in the table represents the final weighted average price per share paid for the accelerated share repurchase (“ASR”) agreement executed in February 2021 and the initial weighted average price per share paid for the ASR agreement executed in May 2021 which remained open as of June 30, 2021.</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February 2021, we entered into an ASR agreement to repurchase $250 million of our common stock. At the beginning of the repurchase period, we delivered $250 million cash and received 1.8 million shares based on a stock price of $110.56. The ASR agreement completed in the second quarter of 2021, at which time we received 0.2 million additional shares based on a final weighted average price of $126.83.</w:t>
      </w:r>
    </w:p>
    <w:p>
      <w:pPr>
        <w:spacing w:after="0" w:line="18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May 2021, we entered into an ASR agreement to repurchase $250 million of our common stock. At the beginning of the repurchase period, we delivered $250 million cash and received 1.4 million shares based on a stock price of $141.42.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in July 2021.</w:t>
      </w:r>
    </w:p>
    <w:p>
      <w:pPr>
        <w:spacing w:after="0" w:line="17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 of June 30, 2021, the Company has authorization for $850 million of future share repurchases. We expect to repurchase the full amount of our remaining authorization during the second half of 2021.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7"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-1905</wp:posOffset>
            </wp:positionV>
            <wp:extent cx="49206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jc w:val="both"/>
        <w:ind w:left="1200" w:right="59" w:hanging="1146"/>
        <w:spacing w:after="0" w:line="260"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w:anchor="page47">
        <w:r>
          <w:rPr>
            <w:rFonts w:ascii="Arial" w:cs="Arial" w:eastAsia="Arial" w:hAnsi="Arial"/>
            <w:sz w:val="18"/>
            <w:szCs w:val="18"/>
            <w:u w:val="single" w:color="auto"/>
            <w:color w:val="0000EE"/>
          </w:rPr>
          <w:t>Officers’ Certificate delivered pursuant to Section 301 of the Indenture dated September 10, 1997</w:t>
        </w:r>
      </w:hyperlink>
      <w:r>
        <w:rPr>
          <w:rFonts w:ascii="Arial" w:cs="Arial" w:eastAsia="Arial" w:hAnsi="Arial"/>
          <w:sz w:val="18"/>
          <w:szCs w:val="18"/>
          <w:u w:val="single" w:color="auto"/>
          <w:color w:val="0000EE"/>
        </w:rPr>
        <w:t xml:space="preserve"> </w:t>
      </w:r>
      <w:hyperlink w:anchor="page47">
        <w:r>
          <w:rPr>
            <w:rFonts w:ascii="Arial" w:cs="Arial" w:eastAsia="Arial" w:hAnsi="Arial"/>
            <w:sz w:val="18"/>
            <w:szCs w:val="18"/>
            <w:u w:val="single" w:color="auto"/>
            <w:color w:val="0000EE"/>
          </w:rPr>
          <w:t>establishing the terms and form of the 2.00% Senior Notes due 2029.</w:t>
        </w:r>
      </w:hyperlink>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4.2*</w:t>
            </w:r>
          </w:p>
        </w:tc>
        <w:tc>
          <w:tcPr>
            <w:tcW w:w="77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Officers’ Certificate delivered pursuant to Section 301 of the Indenture dated September 10, 1997</w:t>
              </w:r>
            </w:hyperlink>
          </w:p>
        </w:tc>
      </w:tr>
      <w:tr>
        <w:trPr>
          <w:trHeight w:val="196"/>
        </w:trPr>
        <w:tc>
          <w:tcPr>
            <w:tcW w:w="1140" w:type="dxa"/>
            <w:vAlign w:val="bottom"/>
          </w:tcPr>
          <w:p>
            <w:pPr>
              <w:spacing w:after="0"/>
              <w:rPr>
                <w:sz w:val="17"/>
                <w:szCs w:val="17"/>
                <w:color w:val="auto"/>
              </w:rPr>
            </w:pPr>
          </w:p>
        </w:tc>
        <w:tc>
          <w:tcPr>
            <w:tcW w:w="49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establishing the terms and form of the 2.95% Senior Notes due 2041.</w:t>
              </w:r>
            </w:hyperlink>
          </w:p>
        </w:tc>
        <w:tc>
          <w:tcPr>
            <w:tcW w:w="2780" w:type="dxa"/>
            <w:vAlign w:val="bottom"/>
            <w:gridSpan w:val="5"/>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4.3*</w:t>
            </w:r>
          </w:p>
        </w:tc>
        <w:tc>
          <w:tcPr>
            <w:tcW w:w="776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80">
              <w:r>
                <w:rPr>
                  <w:rFonts w:ascii="Arial" w:cs="Arial" w:eastAsia="Arial" w:hAnsi="Arial"/>
                  <w:sz w:val="18"/>
                  <w:szCs w:val="18"/>
                  <w:color w:val="0000EE"/>
                  <w:w w:val="94"/>
                </w:rPr>
                <w:t>Guarantee Agreement by WM Holdings in favor of The Bank of New York Mellon Trust Company, N.A.,</w:t>
              </w:r>
            </w:hyperlink>
          </w:p>
        </w:tc>
      </w:tr>
      <w:tr>
        <w:trPr>
          <w:trHeight w:val="196"/>
        </w:trPr>
        <w:tc>
          <w:tcPr>
            <w:tcW w:w="1140" w:type="dxa"/>
            <w:vAlign w:val="bottom"/>
          </w:tcPr>
          <w:p>
            <w:pPr>
              <w:spacing w:after="0"/>
              <w:rPr>
                <w:sz w:val="17"/>
                <w:szCs w:val="17"/>
                <w:color w:val="auto"/>
              </w:rPr>
            </w:pPr>
          </w:p>
        </w:tc>
        <w:tc>
          <w:tcPr>
            <w:tcW w:w="7760" w:type="dxa"/>
            <w:vAlign w:val="bottom"/>
            <w:gridSpan w:val="1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as Trustee for the holders of the 2.00% Senior Notes due 2029.</w:t>
              </w:r>
            </w:hyperlink>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4.4*</w:t>
            </w:r>
          </w:p>
        </w:tc>
        <w:tc>
          <w:tcPr>
            <w:tcW w:w="776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83">
              <w:r>
                <w:rPr>
                  <w:rFonts w:ascii="Arial" w:cs="Arial" w:eastAsia="Arial" w:hAnsi="Arial"/>
                  <w:sz w:val="18"/>
                  <w:szCs w:val="18"/>
                  <w:color w:val="0000EE"/>
                  <w:w w:val="94"/>
                </w:rPr>
                <w:t>Guarantee Agreement by WM Holdings in favor of The Bank of New York Mellon Trust Company, N.A.,</w:t>
              </w:r>
            </w:hyperlink>
          </w:p>
        </w:tc>
      </w:tr>
      <w:tr>
        <w:trPr>
          <w:trHeight w:val="196"/>
        </w:trPr>
        <w:tc>
          <w:tcPr>
            <w:tcW w:w="1140" w:type="dxa"/>
            <w:vAlign w:val="bottom"/>
          </w:tcPr>
          <w:p>
            <w:pPr>
              <w:spacing w:after="0"/>
              <w:rPr>
                <w:sz w:val="17"/>
                <w:szCs w:val="17"/>
                <w:color w:val="auto"/>
              </w:rPr>
            </w:pPr>
          </w:p>
        </w:tc>
        <w:tc>
          <w:tcPr>
            <w:tcW w:w="7760" w:type="dxa"/>
            <w:vAlign w:val="bottom"/>
            <w:gridSpan w:val="1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as Trustee for the holders of the 2.95% Senior Notes due 2041.</w:t>
              </w:r>
            </w:hyperlink>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22.1*</w:t>
            </w:r>
          </w:p>
        </w:tc>
        <w:tc>
          <w:tcPr>
            <w:tcW w:w="4520" w:type="dxa"/>
            <w:vAlign w:val="bottom"/>
            <w:tcBorders>
              <w:top w:val="single" w:sz="8" w:color="0000EE"/>
            </w:tcBorders>
            <w:gridSpan w:val="4"/>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Guarantor Subsidiary.</w:t>
              </w:r>
            </w:hyperlink>
          </w:p>
        </w:tc>
        <w:tc>
          <w:tcPr>
            <w:tcW w:w="3240" w:type="dxa"/>
            <w:vAlign w:val="bottom"/>
            <w:gridSpan w:val="6"/>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776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87">
              <w:r>
                <w:rPr>
                  <w:rFonts w:ascii="Arial" w:cs="Arial" w:eastAsia="Arial" w:hAnsi="Arial"/>
                  <w:sz w:val="18"/>
                  <w:szCs w:val="18"/>
                  <w:color w:val="0000EE"/>
                  <w:w w:val="94"/>
                </w:rPr>
                <w:t>Certification Pursuant to Rules 13a-14(a) and 15d-14(a) under the Securities Exchange Act of 1934, as</w:t>
              </w:r>
            </w:hyperlink>
          </w:p>
        </w:tc>
      </w:tr>
      <w:tr>
        <w:trPr>
          <w:trHeight w:val="196"/>
        </w:trPr>
        <w:tc>
          <w:tcPr>
            <w:tcW w:w="1140" w:type="dxa"/>
            <w:vAlign w:val="bottom"/>
          </w:tcPr>
          <w:p>
            <w:pPr>
              <w:spacing w:after="0"/>
              <w:rPr>
                <w:sz w:val="17"/>
                <w:szCs w:val="17"/>
                <w:color w:val="auto"/>
              </w:rPr>
            </w:pPr>
          </w:p>
        </w:tc>
        <w:tc>
          <w:tcPr>
            <w:tcW w:w="7760" w:type="dxa"/>
            <w:vAlign w:val="bottom"/>
            <w:gridSpan w:val="1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amended, of James C. Fish, Jr., President and Chief Executive Officer.</w:t>
              </w:r>
            </w:hyperlink>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776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88">
              <w:r>
                <w:rPr>
                  <w:rFonts w:ascii="Arial" w:cs="Arial" w:eastAsia="Arial" w:hAnsi="Arial"/>
                  <w:sz w:val="18"/>
                  <w:szCs w:val="18"/>
                  <w:color w:val="0000EE"/>
                  <w:w w:val="94"/>
                </w:rPr>
                <w:t>Certification Pursuant to Rules 13a-14(a) and 15d-14(a) under the Securities Exchange Act of 1934, as</w:t>
              </w:r>
            </w:hyperlink>
          </w:p>
        </w:tc>
      </w:tr>
      <w:tr>
        <w:trPr>
          <w:trHeight w:val="196"/>
        </w:trPr>
        <w:tc>
          <w:tcPr>
            <w:tcW w:w="1140" w:type="dxa"/>
            <w:vAlign w:val="bottom"/>
          </w:tcPr>
          <w:p>
            <w:pPr>
              <w:spacing w:after="0"/>
              <w:rPr>
                <w:sz w:val="17"/>
                <w:szCs w:val="17"/>
                <w:color w:val="auto"/>
              </w:rPr>
            </w:pPr>
          </w:p>
        </w:tc>
        <w:tc>
          <w:tcPr>
            <w:tcW w:w="62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amended, of Devina A. Rankin, Executive Vice President and Chief Financial Officer.</w:t>
              </w:r>
            </w:hyperlink>
          </w:p>
        </w:tc>
        <w:tc>
          <w:tcPr>
            <w:tcW w:w="1560" w:type="dxa"/>
            <w:vAlign w:val="bottom"/>
            <w:gridSpan w:val="3"/>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74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Certification Pursuant to 18 U.S.C. §1350 of James C. Fish, Jr., President and Chief Executive Officer.</w:t>
              </w:r>
            </w:hyperlink>
          </w:p>
        </w:tc>
        <w:tc>
          <w:tcPr>
            <w:tcW w:w="360" w:type="dxa"/>
            <w:vAlign w:val="bottom"/>
            <w:gridSpan w:val="2"/>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774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90">
              <w:r>
                <w:rPr>
                  <w:rFonts w:ascii="Arial" w:cs="Arial" w:eastAsia="Arial" w:hAnsi="Arial"/>
                  <w:sz w:val="18"/>
                  <w:szCs w:val="18"/>
                  <w:color w:val="0000EE"/>
                  <w:w w:val="98"/>
                </w:rPr>
                <w:t>Certification Pursuant to 18 U.S.C. §1350 of Devina A. Rankin, Executive Vice President and Chief</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760" w:type="dxa"/>
            <w:vAlign w:val="bottom"/>
            <w:gridSpan w:val="10"/>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Financial Officer.</w:t>
              </w:r>
            </w:hyperlink>
          </w:p>
        </w:tc>
      </w:tr>
      <w:tr>
        <w:trPr>
          <w:trHeight w:val="20"/>
        </w:trPr>
        <w:tc>
          <w:tcPr>
            <w:tcW w:w="11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95*</w:t>
            </w:r>
          </w:p>
        </w:tc>
        <w:tc>
          <w:tcPr>
            <w:tcW w:w="18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Mine Safety Disclosures.</w:t>
              </w:r>
            </w:hyperlink>
          </w:p>
        </w:tc>
        <w:tc>
          <w:tcPr>
            <w:tcW w:w="5940" w:type="dxa"/>
            <w:vAlign w:val="bottom"/>
            <w:gridSpan w:val="7"/>
          </w:tcPr>
          <w:p>
            <w:pPr>
              <w:spacing w:after="0"/>
              <w:rPr>
                <w:sz w:val="24"/>
                <w:szCs w:val="24"/>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7760" w:type="dxa"/>
            <w:vAlign w:val="bottom"/>
            <w:gridSpan w:val="10"/>
          </w:tcPr>
          <w:p>
            <w:pPr>
              <w:spacing w:after="0"/>
              <w:rPr>
                <w:sz w:val="20"/>
                <w:szCs w:val="20"/>
                <w:color w:val="auto"/>
              </w:rPr>
            </w:pPr>
            <w:r>
              <w:rPr>
                <w:rFonts w:ascii="Arial" w:cs="Arial" w:eastAsia="Arial" w:hAnsi="Arial"/>
                <w:sz w:val="18"/>
                <w:szCs w:val="18"/>
                <w:color w:val="auto"/>
              </w:rPr>
              <w:t>Inline XBRL Instance.</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77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77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77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Labels.</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77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77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776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90" w:lineRule="exact"/>
        <w:rPr>
          <w:sz w:val="20"/>
          <w:szCs w:val="20"/>
          <w:color w:val="auto"/>
        </w:rPr>
      </w:pPr>
    </w:p>
    <w:p>
      <w:pPr>
        <w:ind w:left="300" w:hanging="250"/>
        <w:spacing w:after="0"/>
        <w:tabs>
          <w:tab w:leader="none" w:pos="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Filed herewith.</w:t>
      </w:r>
    </w:p>
    <w:p>
      <w:pPr>
        <w:ind w:left="60"/>
        <w:spacing w:after="0"/>
        <w:rPr>
          <w:sz w:val="20"/>
          <w:szCs w:val="20"/>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WASTE MANAGEMENT, INC.</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LESLIE K. NAGY</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4"/>
              </w:rPr>
              <w:t>Leslie K. Nagy</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88"/>
              </w:rPr>
              <w:t>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3"/>
              </w:rPr>
              <w:t>Chief Accounting Officer</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6" w:name="page47"/>
    <w:bookmarkEnd w:id="46"/>
    <w:p>
      <w:pPr>
        <w:jc w:val="right"/>
        <w:ind w:right="219"/>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ind w:left="1660" w:right="2000"/>
        <w:spacing w:after="0" w:line="266" w:lineRule="auto"/>
        <w:rPr>
          <w:sz w:val="20"/>
          <w:szCs w:val="20"/>
          <w:color w:val="auto"/>
        </w:rPr>
      </w:pPr>
      <w:r>
        <w:rPr>
          <w:rFonts w:ascii="Arial" w:cs="Arial" w:eastAsia="Arial" w:hAnsi="Arial"/>
          <w:sz w:val="18"/>
          <w:szCs w:val="18"/>
          <w:b w:val="1"/>
          <w:bCs w:val="1"/>
          <w:color w:val="auto"/>
        </w:rPr>
        <w:t>WASTE MANAGEMENT, INC. Officers’ Certificate Delivered Pursuant to Section 301 of the Indenture dated as of September 10, 1997</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12, 2021</w:t>
      </w:r>
    </w:p>
    <w:p>
      <w:pPr>
        <w:spacing w:after="0" w:line="229" w:lineRule="exact"/>
        <w:rPr>
          <w:sz w:val="20"/>
          <w:szCs w:val="20"/>
          <w:color w:val="auto"/>
        </w:rPr>
      </w:pPr>
    </w:p>
    <w:p>
      <w:pPr>
        <w:ind w:left="200" w:right="219" w:firstLine="1296"/>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jc w:val="both"/>
        <w:ind w:left="200" w:right="219" w:firstLine="1305"/>
        <w:spacing w:after="0" w:line="255" w:lineRule="auto"/>
        <w:tabs>
          <w:tab w:leader="none" w:pos="18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12, 2021 (the “Order”) for the authentication and delivery by the Trustee of $475,000,000 aggregate principal amount of 2.00% Senior Notes due 2029 (the “Notes”).</w:t>
      </w:r>
    </w:p>
    <w:p>
      <w:pPr>
        <w:spacing w:after="0" w:line="192" w:lineRule="exact"/>
        <w:rPr>
          <w:rFonts w:ascii="Arial" w:cs="Arial" w:eastAsia="Arial" w:hAnsi="Arial"/>
          <w:sz w:val="18"/>
          <w:szCs w:val="18"/>
          <w:color w:val="auto"/>
        </w:rPr>
      </w:pPr>
    </w:p>
    <w:p>
      <w:pPr>
        <w:ind w:left="200" w:right="219" w:firstLine="1305"/>
        <w:spacing w:after="0" w:line="277" w:lineRule="auto"/>
        <w:tabs>
          <w:tab w:leader="none" w:pos="18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70" w:lineRule="exact"/>
        <w:rPr>
          <w:rFonts w:ascii="Arial" w:cs="Arial" w:eastAsia="Arial" w:hAnsi="Arial"/>
          <w:sz w:val="18"/>
          <w:szCs w:val="18"/>
          <w:color w:val="auto"/>
        </w:rPr>
      </w:pPr>
    </w:p>
    <w:p>
      <w:pPr>
        <w:jc w:val="both"/>
        <w:ind w:left="200" w:right="219" w:firstLine="1305"/>
        <w:spacing w:after="0" w:line="286" w:lineRule="auto"/>
        <w:tabs>
          <w:tab w:leader="none" w:pos="187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65" w:lineRule="exact"/>
        <w:rPr>
          <w:rFonts w:ascii="Arial" w:cs="Arial" w:eastAsia="Arial" w:hAnsi="Arial"/>
          <w:sz w:val="17"/>
          <w:szCs w:val="17"/>
          <w:color w:val="auto"/>
        </w:rPr>
      </w:pPr>
    </w:p>
    <w:p>
      <w:pPr>
        <w:ind w:left="200" w:right="219" w:firstLine="1305"/>
        <w:spacing w:after="0" w:line="277" w:lineRule="auto"/>
        <w:tabs>
          <w:tab w:leader="none" w:pos="18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undersigned have examined the Order, and they have read the covenants, conditions and provisions of the Indenture relating thereto.</w:t>
      </w:r>
    </w:p>
    <w:p>
      <w:pPr>
        <w:spacing w:after="0" w:line="170" w:lineRule="exact"/>
        <w:rPr>
          <w:rFonts w:ascii="Arial" w:cs="Arial" w:eastAsia="Arial" w:hAnsi="Arial"/>
          <w:sz w:val="18"/>
          <w:szCs w:val="18"/>
          <w:color w:val="auto"/>
        </w:rPr>
      </w:pPr>
    </w:p>
    <w:p>
      <w:pPr>
        <w:jc w:val="both"/>
        <w:ind w:left="200" w:right="219" w:firstLine="1305"/>
        <w:spacing w:after="0" w:line="286" w:lineRule="auto"/>
        <w:tabs>
          <w:tab w:leader="none" w:pos="19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65" w:lineRule="exact"/>
        <w:rPr>
          <w:rFonts w:ascii="Arial" w:cs="Arial" w:eastAsia="Arial" w:hAnsi="Arial"/>
          <w:sz w:val="17"/>
          <w:szCs w:val="17"/>
          <w:color w:val="auto"/>
        </w:rPr>
      </w:pPr>
    </w:p>
    <w:p>
      <w:pPr>
        <w:jc w:val="both"/>
        <w:ind w:left="200" w:right="219" w:firstLine="1305"/>
        <w:spacing w:after="0" w:line="286" w:lineRule="auto"/>
        <w:tabs>
          <w:tab w:leader="none" w:pos="1891"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covenants and conditions (including all conditions precedent) provided in the Indenture to the authentication and delivery by the Trustee of $475,000,000 aggregate principal amount of the Notes have been complied with, and such Notes may be delivered in accordance with the Order as provided in the Indenture.</w:t>
      </w:r>
    </w:p>
    <w:p>
      <w:pPr>
        <w:spacing w:after="0" w:line="165" w:lineRule="exact"/>
        <w:rPr>
          <w:rFonts w:ascii="Arial" w:cs="Arial" w:eastAsia="Arial" w:hAnsi="Arial"/>
          <w:sz w:val="17"/>
          <w:szCs w:val="17"/>
          <w:color w:val="auto"/>
        </w:rPr>
      </w:pPr>
    </w:p>
    <w:p>
      <w:pPr>
        <w:jc w:val="both"/>
        <w:ind w:left="200" w:right="219" w:firstLine="1305"/>
        <w:spacing w:after="0" w:line="286" w:lineRule="auto"/>
        <w:tabs>
          <w:tab w:leader="none" w:pos="1898"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terms of the Notes (including the Form of Note) as set forth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Officers’ Certificate have been approved by officers of the Company as authorized by resolutions duly adopted on June 23, 2020 by the Board of Directors of the Company, which are in full force and effect as of the date hereof.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1386205</wp:posOffset>
            </wp:positionV>
            <wp:extent cx="545211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7" w:name="page48"/>
    <w:bookmarkEnd w:id="47"/>
    <w:p>
      <w:pPr>
        <w:ind w:left="200" w:right="259" w:firstLine="1296"/>
        <w:spacing w:after="0" w:line="277" w:lineRule="auto"/>
        <w:rPr>
          <w:sz w:val="20"/>
          <w:szCs w:val="20"/>
          <w:color w:val="auto"/>
        </w:rPr>
      </w:pPr>
      <w:r>
        <w:rPr>
          <w:rFonts w:ascii="Arial" w:cs="Arial" w:eastAsia="Arial" w:hAnsi="Arial"/>
          <w:sz w:val="18"/>
          <w:szCs w:val="18"/>
          <w:color w:val="auto"/>
        </w:rPr>
        <w:t>IN WITNESS WHEREOF, the undersigned has hereunto executed this Officers’ Certificate as of the date first written above.</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7260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David L. Reed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7260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Courtney A. Tippy</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and Corporate 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1377315</wp:posOffset>
            </wp:positionV>
            <wp:extent cx="545211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jc w:val="both"/>
        <w:ind w:left="200" w:right="219" w:firstLine="1296"/>
        <w:spacing w:after="0" w:line="272" w:lineRule="auto"/>
        <w:rPr>
          <w:sz w:val="20"/>
          <w:szCs w:val="20"/>
          <w:color w:val="auto"/>
        </w:rPr>
      </w:pPr>
      <w:r>
        <w:rPr>
          <w:rFonts w:ascii="Arial" w:cs="Arial" w:eastAsia="Arial" w:hAnsi="Arial"/>
          <w:sz w:val="17"/>
          <w:szCs w:val="17"/>
          <w:color w:val="auto"/>
        </w:rPr>
        <w:t>Pursuant to authority granted by the Board of Directors of the Company on June 23, 2020 and the Sole Director of Waste Management Holdings, Inc. on April 23, 2021,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77" w:lineRule="exact"/>
        <w:rPr>
          <w:sz w:val="20"/>
          <w:szCs w:val="20"/>
          <w:color w:val="auto"/>
        </w:rPr>
      </w:pPr>
    </w:p>
    <w:p>
      <w:pPr>
        <w:ind w:left="860" w:hanging="651"/>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title of the series of Securities shall be “2.00% Senior Notes due 2029” (the “Notes”).</w:t>
      </w:r>
    </w:p>
    <w:p>
      <w:pPr>
        <w:spacing w:after="0" w:line="225" w:lineRule="exact"/>
        <w:rPr>
          <w:rFonts w:ascii="Arial" w:cs="Arial" w:eastAsia="Arial" w:hAnsi="Arial"/>
          <w:sz w:val="18"/>
          <w:szCs w:val="18"/>
          <w:color w:val="auto"/>
        </w:rPr>
      </w:pPr>
    </w:p>
    <w:p>
      <w:pPr>
        <w:ind w:left="860" w:hanging="651"/>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jc w:val="both"/>
        <w:ind w:left="860" w:right="219" w:hanging="651"/>
        <w:spacing w:after="0" w:line="255"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initial aggregate principal amount of the Notes that may be authenticated and delivered under the Indenture shall be $475,000,000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92" w:lineRule="exact"/>
        <w:rPr>
          <w:rFonts w:ascii="Arial" w:cs="Arial" w:eastAsia="Arial" w:hAnsi="Arial"/>
          <w:sz w:val="18"/>
          <w:szCs w:val="18"/>
          <w:color w:val="auto"/>
        </w:rPr>
      </w:pPr>
    </w:p>
    <w:p>
      <w:pPr>
        <w:ind w:left="860" w:hanging="651"/>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June 1, 2029.</w:t>
      </w:r>
    </w:p>
    <w:p>
      <w:pPr>
        <w:spacing w:after="0" w:line="225" w:lineRule="exact"/>
        <w:rPr>
          <w:rFonts w:ascii="Arial" w:cs="Arial" w:eastAsia="Arial" w:hAnsi="Arial"/>
          <w:sz w:val="18"/>
          <w:szCs w:val="18"/>
          <w:color w:val="auto"/>
        </w:rPr>
      </w:pPr>
    </w:p>
    <w:p>
      <w:pPr>
        <w:jc w:val="both"/>
        <w:ind w:left="860" w:right="219" w:hanging="651"/>
        <w:spacing w:after="0" w:line="255"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Note shall bear interest from May 12, 2021 at the fixed rate of 2.00% per annum; the Interest Payment Dates on which such interest shall be payable shall be June 1 and December 1, of each year, commencing December 1, 2021, until maturity unless such date falls on a day that is not a Business Day, in which case, such payment shall be made on the next day that is a Business Day. The Regular Record Date for the determination of Holders to whom interest is payable shall be May 15 or November 15, respectively, immediately preceding such date, as the case may be.</w:t>
      </w:r>
    </w:p>
    <w:p>
      <w:pPr>
        <w:spacing w:after="0" w:line="192" w:lineRule="exact"/>
        <w:rPr>
          <w:rFonts w:ascii="Arial" w:cs="Arial" w:eastAsia="Arial" w:hAnsi="Arial"/>
          <w:sz w:val="18"/>
          <w:szCs w:val="18"/>
          <w:color w:val="auto"/>
        </w:rPr>
      </w:pPr>
    </w:p>
    <w:p>
      <w:pPr>
        <w:jc w:val="both"/>
        <w:ind w:left="860" w:right="219" w:hanging="651"/>
        <w:spacing w:after="0" w:line="259"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6" w:lineRule="exact"/>
        <w:rPr>
          <w:rFonts w:ascii="Arial" w:cs="Arial" w:eastAsia="Arial" w:hAnsi="Arial"/>
          <w:sz w:val="18"/>
          <w:szCs w:val="18"/>
          <w:color w:val="auto"/>
        </w:rPr>
      </w:pPr>
    </w:p>
    <w:p>
      <w:pPr>
        <w:jc w:val="both"/>
        <w:ind w:left="860" w:right="219" w:hanging="651"/>
        <w:spacing w:after="0" w:line="257"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87" w:lineRule="exact"/>
        <w:rPr>
          <w:rFonts w:ascii="Arial" w:cs="Arial" w:eastAsia="Arial" w:hAnsi="Arial"/>
          <w:sz w:val="18"/>
          <w:szCs w:val="18"/>
          <w:color w:val="auto"/>
        </w:rPr>
      </w:pPr>
    </w:p>
    <w:p>
      <w:pPr>
        <w:jc w:val="both"/>
        <w:ind w:left="860" w:right="219" w:hanging="651"/>
        <w:spacing w:after="0" w:line="275" w:lineRule="auto"/>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1355090</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jc w:val="both"/>
        <w:ind w:left="860" w:right="219" w:hanging="651"/>
        <w:spacing w:after="0" w:line="287" w:lineRule="auto"/>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12.5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April 1, 2029.</w:t>
      </w:r>
    </w:p>
    <w:p>
      <w:pPr>
        <w:spacing w:after="0" w:line="171" w:lineRule="exact"/>
        <w:rPr>
          <w:rFonts w:ascii="Arial" w:cs="Arial" w:eastAsia="Arial" w:hAnsi="Arial"/>
          <w:sz w:val="16"/>
          <w:szCs w:val="16"/>
          <w:color w:val="auto"/>
        </w:rPr>
      </w:pPr>
    </w:p>
    <w:p>
      <w:pPr>
        <w:ind w:left="860" w:right="239" w:hanging="651"/>
        <w:spacing w:after="0" w:line="277" w:lineRule="auto"/>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170" w:lineRule="exact"/>
        <w:rPr>
          <w:rFonts w:ascii="Arial" w:cs="Arial" w:eastAsia="Arial" w:hAnsi="Arial"/>
          <w:sz w:val="18"/>
          <w:szCs w:val="18"/>
          <w:color w:val="auto"/>
        </w:rPr>
      </w:pPr>
    </w:p>
    <w:p>
      <w:pPr>
        <w:ind w:left="860" w:right="239" w:hanging="651"/>
        <w:spacing w:after="0" w:line="277" w:lineRule="auto"/>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860" w:right="239" w:hanging="651"/>
        <w:spacing w:after="0" w:line="277" w:lineRule="auto"/>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170" w:lineRule="exact"/>
        <w:rPr>
          <w:rFonts w:ascii="Arial" w:cs="Arial" w:eastAsia="Arial" w:hAnsi="Arial"/>
          <w:sz w:val="18"/>
          <w:szCs w:val="18"/>
          <w:color w:val="auto"/>
        </w:rPr>
      </w:pPr>
    </w:p>
    <w:p>
      <w:pPr>
        <w:ind w:left="860" w:hanging="651"/>
        <w:spacing w:after="0"/>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Bank of New York Mellon Trust Company, N.A. shall serve initially as Security Registrar for the Notes.</w:t>
      </w:r>
    </w:p>
    <w:p>
      <w:pPr>
        <w:spacing w:after="0" w:line="248" w:lineRule="exact"/>
        <w:rPr>
          <w:rFonts w:ascii="Arial" w:cs="Arial" w:eastAsia="Arial" w:hAnsi="Arial"/>
          <w:sz w:val="16"/>
          <w:szCs w:val="16"/>
          <w:color w:val="auto"/>
        </w:rPr>
      </w:pPr>
    </w:p>
    <w:p>
      <w:pPr>
        <w:ind w:left="860" w:hanging="651"/>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jc w:val="both"/>
        <w:ind w:left="860" w:right="219" w:hanging="651"/>
        <w:spacing w:after="0" w:line="273" w:lineRule="auto"/>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Notes will be fully and unconditionally guaranteed on a senior basis by the Company’s wholly owned subsidiary, Waste Management Holdings, Inc., pursuant to the terms and conditions of a Guarantee Agreement dated May 12, 2021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77" w:lineRule="exact"/>
        <w:rPr>
          <w:rFonts w:ascii="Arial" w:cs="Arial" w:eastAsia="Arial" w:hAnsi="Arial"/>
          <w:sz w:val="17"/>
          <w:szCs w:val="17"/>
          <w:color w:val="auto"/>
        </w:rPr>
      </w:pPr>
    </w:p>
    <w:p>
      <w:pPr>
        <w:jc w:val="both"/>
        <w:ind w:left="860" w:right="219" w:hanging="651"/>
        <w:spacing w:after="0" w:line="263" w:lineRule="auto"/>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1360170</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color w:val="auto"/>
        </w:rPr>
        <w:t>BOOK-ENTRY SECURITY</w:t>
      </w:r>
    </w:p>
    <w:p>
      <w:pPr>
        <w:spacing w:after="0" w:line="225"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8"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9019"/>
          </w:cols>
          <w:pgMar w:left="1440" w:top="125" w:right="1440" w:bottom="1440" w:gutter="0" w:footer="0" w:header="0"/>
        </w:sectPr>
      </w:pPr>
    </w:p>
    <w:p>
      <w:pPr>
        <w:spacing w:after="0" w:line="19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211" w:lineRule="exact"/>
        <w:rPr>
          <w:sz w:val="20"/>
          <w:szCs w:val="20"/>
          <w:color w:val="auto"/>
        </w:rPr>
      </w:pPr>
    </w:p>
    <w:p>
      <w:pPr>
        <w:sectPr>
          <w:pgSz w:w="11900" w:h="16838" w:orient="portrait"/>
          <w:cols w:equalWidth="0" w:num="2">
            <w:col w:w="6800" w:space="720"/>
            <w:col w:w="1499"/>
          </w:cols>
          <w:pgMar w:left="1440" w:top="1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right"/>
        <w:ind w:right="279"/>
        <w:spacing w:after="0"/>
        <w:tabs>
          <w:tab w:leader="none" w:pos="8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6"/>
          <w:szCs w:val="16"/>
          <w:color w:val="auto"/>
        </w:rPr>
        <w:t>which may be decreased</w:t>
      </w:r>
    </w:p>
    <w:p>
      <w:pPr>
        <w:spacing w:after="0" w:line="32"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ind w:right="279"/>
        <w:spacing w:after="0"/>
        <w:rPr>
          <w:sz w:val="20"/>
          <w:szCs w:val="20"/>
          <w:color w:val="auto"/>
        </w:rPr>
      </w:pPr>
      <w:r>
        <w:rPr>
          <w:rFonts w:ascii="Arial" w:cs="Arial" w:eastAsia="Arial" w:hAnsi="Arial"/>
          <w:sz w:val="16"/>
          <w:szCs w:val="16"/>
          <w:color w:val="auto"/>
        </w:rPr>
        <w:t>Exchanges of Definitive</w:t>
      </w:r>
    </w:p>
    <w:p>
      <w:pPr>
        <w:spacing w:after="0" w:line="32" w:lineRule="exact"/>
        <w:rPr>
          <w:sz w:val="20"/>
          <w:szCs w:val="20"/>
          <w:color w:val="auto"/>
        </w:rPr>
      </w:pPr>
    </w:p>
    <w:p>
      <w:pPr>
        <w:jc w:val="right"/>
        <w:ind w:right="219"/>
        <w:spacing w:after="0"/>
        <w:rPr>
          <w:sz w:val="20"/>
          <w:szCs w:val="20"/>
          <w:color w:val="auto"/>
        </w:rPr>
      </w:pPr>
      <w:r>
        <w:rPr>
          <w:rFonts w:ascii="Arial" w:cs="Arial" w:eastAsia="Arial" w:hAnsi="Arial"/>
          <w:sz w:val="16"/>
          <w:szCs w:val="16"/>
          <w:color w:val="auto"/>
        </w:rPr>
        <w:t>Security attached hereto</w:t>
      </w:r>
    </w:p>
    <w:p>
      <w:pPr>
        <w:spacing w:after="0" w:line="200" w:lineRule="exact"/>
        <w:rPr>
          <w:sz w:val="20"/>
          <w:szCs w:val="20"/>
          <w:color w:val="auto"/>
        </w:rPr>
      </w:pPr>
    </w:p>
    <w:p>
      <w:pPr>
        <w:sectPr>
          <w:pgSz w:w="11900" w:h="16838" w:orient="portrait"/>
          <w:cols w:equalWidth="0" w:num="2">
            <w:col w:w="6280" w:space="720"/>
            <w:col w:w="2019"/>
          </w:cols>
          <w:pgMar w:left="1440" w:top="125" w:right="1440" w:bottom="1440" w:gutter="0" w:footer="0" w:header="0"/>
          <w:type w:val="continuous"/>
        </w:sectPr>
      </w:pPr>
    </w:p>
    <w:p>
      <w:pPr>
        <w:spacing w:after="0" w:line="34"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2.00% SENIOR NOTES DUE 2029</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CUSIP 94106L BQ1</w:t>
      </w:r>
    </w:p>
    <w:p>
      <w:pPr>
        <w:spacing w:after="0" w:line="234"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Million ($ ) U.S. dollars, or such lesser principal sum as is shown on the attached Schedule of Exchanges of Definitive Security, on June 1, 2029 in such coin or currency of the United States of America as at the time of payment shall be legal tender for the payment of public and private debts, and to pay interest at an annual rate of 2.00% payable on June 1 and December 1 of each year, to the person in whose name this Security is registered at the close of business on the record date for such interest, which shall be the preceding May 15 or November 15, respectively, payable commencing December 1, 2021, with interest accruing from May 12, 2021,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1348740</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1" w:name="page52"/>
    <w:bookmarkEnd w:id="51"/>
    <w:p>
      <w:pPr>
        <w:jc w:val="both"/>
        <w:ind w:left="200" w:right="219" w:firstLine="648"/>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84"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8"/>
          <w:szCs w:val="18"/>
          <w:color w:val="auto"/>
        </w:rPr>
        <w:t>This Security is issued in respect of a series of Securities of an initial aggregate of U.S. $475,000,000 in principal amount designated as the 2.00% Senior Notes due 2029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2"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7"/>
          <w:szCs w:val="17"/>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65"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8"/>
          <w:szCs w:val="18"/>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1351915</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200" w:right="239" w:firstLine="648"/>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IN WITNESS WHEREOF, the Company has caused this instrument to be duly executed under its corporate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seal.</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Dated:</w:t>
            </w:r>
          </w:p>
        </w:tc>
        <w:tc>
          <w:tcPr>
            <w:tcW w:w="4940" w:type="dxa"/>
            <w:vAlign w:val="bottom"/>
            <w:gridSpan w:val="2"/>
          </w:tcPr>
          <w:p>
            <w:pPr>
              <w:ind w:left="620"/>
              <w:spacing w:after="0"/>
              <w:rPr>
                <w:sz w:val="20"/>
                <w:szCs w:val="20"/>
                <w:color w:val="auto"/>
              </w:rPr>
            </w:pPr>
            <w:r>
              <w:rPr>
                <w:rFonts w:ascii="Arial" w:cs="Arial" w:eastAsia="Arial" w:hAnsi="Arial"/>
                <w:sz w:val="18"/>
                <w:szCs w:val="18"/>
                <w:color w:val="auto"/>
              </w:rPr>
              <w:t>WASTE MANAGEMENT, INC.,</w:t>
            </w:r>
          </w:p>
        </w:tc>
      </w:tr>
      <w:tr>
        <w:trPr>
          <w:trHeight w:val="230"/>
        </w:trPr>
        <w:tc>
          <w:tcPr>
            <w:tcW w:w="3660" w:type="dxa"/>
            <w:vAlign w:val="bottom"/>
          </w:tcPr>
          <w:p>
            <w:pPr>
              <w:spacing w:after="0"/>
              <w:rPr>
                <w:sz w:val="20"/>
                <w:szCs w:val="20"/>
                <w:color w:val="auto"/>
              </w:rPr>
            </w:pPr>
          </w:p>
        </w:tc>
        <w:tc>
          <w:tcPr>
            <w:tcW w:w="4940" w:type="dxa"/>
            <w:vAlign w:val="bottom"/>
            <w:gridSpan w:val="2"/>
          </w:tcPr>
          <w:p>
            <w:pPr>
              <w:ind w:left="620"/>
              <w:spacing w:after="0"/>
              <w:rPr>
                <w:sz w:val="20"/>
                <w:szCs w:val="20"/>
                <w:color w:val="auto"/>
              </w:rPr>
            </w:pPr>
            <w:r>
              <w:rPr>
                <w:rFonts w:ascii="Arial" w:cs="Arial" w:eastAsia="Arial" w:hAnsi="Arial"/>
                <w:sz w:val="18"/>
                <w:szCs w:val="18"/>
                <w:color w:val="auto"/>
              </w:rPr>
              <w:t>a Delaware corporation</w:t>
            </w:r>
          </w:p>
        </w:tc>
      </w:tr>
      <w:tr>
        <w:trPr>
          <w:trHeight w:val="432"/>
        </w:trPr>
        <w:tc>
          <w:tcPr>
            <w:tcW w:w="3660" w:type="dxa"/>
            <w:vAlign w:val="bottom"/>
          </w:tcPr>
          <w:p>
            <w:pPr>
              <w:spacing w:after="0"/>
              <w:rPr>
                <w:sz w:val="24"/>
                <w:szCs w:val="24"/>
                <w:color w:val="auto"/>
              </w:rPr>
            </w:pPr>
          </w:p>
        </w:tc>
        <w:tc>
          <w:tcPr>
            <w:tcW w:w="4940" w:type="dxa"/>
            <w:vAlign w:val="bottom"/>
            <w:gridSpan w:val="2"/>
          </w:tcPr>
          <w:p>
            <w:pPr>
              <w:ind w:left="620"/>
              <w:spacing w:after="0"/>
              <w:rPr>
                <w:sz w:val="20"/>
                <w:szCs w:val="20"/>
                <w:color w:val="auto"/>
              </w:rPr>
            </w:pPr>
            <w:r>
              <w:rPr>
                <w:rFonts w:ascii="Arial" w:cs="Arial" w:eastAsia="Arial" w:hAnsi="Arial"/>
                <w:sz w:val="18"/>
                <w:szCs w:val="18"/>
                <w:color w:val="auto"/>
              </w:rPr>
              <w:t>By:</w:t>
            </w:r>
          </w:p>
        </w:tc>
      </w:tr>
      <w:tr>
        <w:trPr>
          <w:trHeight w:val="195"/>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3660" w:type="dxa"/>
            <w:vAlign w:val="bottom"/>
          </w:tcPr>
          <w:p>
            <w:pPr>
              <w:spacing w:after="0"/>
              <w:rPr>
                <w:sz w:val="20"/>
                <w:szCs w:val="20"/>
                <w:color w:val="auto"/>
              </w:rPr>
            </w:pPr>
          </w:p>
        </w:tc>
        <w:tc>
          <w:tcPr>
            <w:tcW w:w="4940" w:type="dxa"/>
            <w:vAlign w:val="bottom"/>
            <w:gridSpan w:val="2"/>
          </w:tcPr>
          <w:p>
            <w:pPr>
              <w:ind w:left="900"/>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3660" w:type="dxa"/>
            <w:vAlign w:val="bottom"/>
          </w:tcPr>
          <w:p>
            <w:pPr>
              <w:spacing w:after="0"/>
              <w:rPr>
                <w:sz w:val="24"/>
                <w:szCs w:val="24"/>
                <w:color w:val="auto"/>
              </w:rPr>
            </w:pPr>
          </w:p>
        </w:tc>
        <w:tc>
          <w:tcPr>
            <w:tcW w:w="4940" w:type="dxa"/>
            <w:vAlign w:val="bottom"/>
            <w:gridSpan w:val="2"/>
          </w:tcPr>
          <w:p>
            <w:pPr>
              <w:ind w:left="620"/>
              <w:spacing w:after="0"/>
              <w:rPr>
                <w:sz w:val="20"/>
                <w:szCs w:val="20"/>
                <w:color w:val="auto"/>
              </w:rPr>
            </w:pPr>
            <w:r>
              <w:rPr>
                <w:rFonts w:ascii="Arial" w:cs="Arial" w:eastAsia="Arial" w:hAnsi="Arial"/>
                <w:sz w:val="18"/>
                <w:szCs w:val="18"/>
                <w:color w:val="auto"/>
              </w:rPr>
              <w:t>Attest:</w:t>
            </w:r>
          </w:p>
        </w:tc>
      </w:tr>
      <w:tr>
        <w:trPr>
          <w:trHeight w:val="432"/>
        </w:trPr>
        <w:tc>
          <w:tcPr>
            <w:tcW w:w="3660" w:type="dxa"/>
            <w:vAlign w:val="bottom"/>
          </w:tcPr>
          <w:p>
            <w:pPr>
              <w:spacing w:after="0"/>
              <w:rPr>
                <w:sz w:val="24"/>
                <w:szCs w:val="24"/>
                <w:color w:val="auto"/>
              </w:rPr>
            </w:pPr>
          </w:p>
        </w:tc>
        <w:tc>
          <w:tcPr>
            <w:tcW w:w="4940" w:type="dxa"/>
            <w:vAlign w:val="bottom"/>
            <w:gridSpan w:val="2"/>
          </w:tcPr>
          <w:p>
            <w:pPr>
              <w:ind w:left="620"/>
              <w:spacing w:after="0"/>
              <w:rPr>
                <w:sz w:val="20"/>
                <w:szCs w:val="20"/>
                <w:color w:val="auto"/>
              </w:rPr>
            </w:pPr>
            <w:r>
              <w:rPr>
                <w:rFonts w:ascii="Arial" w:cs="Arial" w:eastAsia="Arial" w:hAnsi="Arial"/>
                <w:sz w:val="18"/>
                <w:szCs w:val="18"/>
                <w:color w:val="auto"/>
              </w:rPr>
              <w:t>By:</w:t>
            </w:r>
          </w:p>
        </w:tc>
      </w:tr>
      <w:tr>
        <w:trPr>
          <w:trHeight w:val="195"/>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3660" w:type="dxa"/>
            <w:vAlign w:val="bottom"/>
          </w:tcPr>
          <w:p>
            <w:pPr>
              <w:spacing w:after="0"/>
              <w:rPr>
                <w:sz w:val="20"/>
                <w:szCs w:val="20"/>
                <w:color w:val="auto"/>
              </w:rPr>
            </w:pPr>
          </w:p>
        </w:tc>
        <w:tc>
          <w:tcPr>
            <w:tcW w:w="4940" w:type="dxa"/>
            <w:vAlign w:val="bottom"/>
            <w:gridSpan w:val="2"/>
          </w:tcPr>
          <w:p>
            <w:pPr>
              <w:ind w:left="900"/>
              <w:spacing w:after="0"/>
              <w:rPr>
                <w:sz w:val="20"/>
                <w:szCs w:val="20"/>
                <w:color w:val="auto"/>
              </w:rPr>
            </w:pPr>
            <w:r>
              <w:rPr>
                <w:rFonts w:ascii="Arial" w:cs="Arial" w:eastAsia="Arial" w:hAnsi="Arial"/>
                <w:sz w:val="18"/>
                <w:szCs w:val="18"/>
                <w:color w:val="auto"/>
              </w:rPr>
              <w:t>Vice President and Corporate Secretary</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90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20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This is one of the Securities of the series designated therein referred to in the within-mentioned Indenture.</w:t>
      </w:r>
    </w:p>
    <w:p>
      <w:pPr>
        <w:spacing w:after="0" w:line="200" w:lineRule="exact"/>
        <w:rPr>
          <w:sz w:val="20"/>
          <w:szCs w:val="20"/>
          <w:color w:val="auto"/>
        </w:rPr>
      </w:pPr>
    </w:p>
    <w:p>
      <w:pPr>
        <w:spacing w:after="0" w:line="26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Date of Authentication:</w:t>
            </w:r>
          </w:p>
        </w:tc>
        <w:tc>
          <w:tcPr>
            <w:tcW w:w="5600" w:type="dxa"/>
            <w:vAlign w:val="bottom"/>
            <w:gridSpan w:val="2"/>
          </w:tcPr>
          <w:p>
            <w:pPr>
              <w:ind w:left="1280"/>
              <w:spacing w:after="0"/>
              <w:rPr>
                <w:sz w:val="20"/>
                <w:szCs w:val="20"/>
                <w:color w:val="auto"/>
              </w:rPr>
            </w:pPr>
            <w:r>
              <w:rPr>
                <w:rFonts w:ascii="Arial" w:cs="Arial" w:eastAsia="Arial" w:hAnsi="Arial"/>
                <w:sz w:val="18"/>
                <w:szCs w:val="18"/>
                <w:color w:val="auto"/>
                <w:w w:val="97"/>
              </w:rPr>
              <w:t>The Bank of New York Mellon Trust Company, N.A., as</w:t>
            </w: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600" w:type="dxa"/>
            <w:vAlign w:val="bottom"/>
            <w:gridSpan w:val="2"/>
          </w:tcPr>
          <w:p>
            <w:pPr>
              <w:ind w:left="1280"/>
              <w:spacing w:after="0"/>
              <w:rPr>
                <w:sz w:val="20"/>
                <w:szCs w:val="20"/>
                <w:color w:val="auto"/>
              </w:rPr>
            </w:pPr>
            <w:r>
              <w:rPr>
                <w:rFonts w:ascii="Arial" w:cs="Arial" w:eastAsia="Arial" w:hAnsi="Arial"/>
                <w:sz w:val="18"/>
                <w:szCs w:val="18"/>
                <w:color w:val="auto"/>
              </w:rPr>
              <w:t>Trustee</w:t>
            </w:r>
          </w:p>
        </w:tc>
      </w:tr>
      <w:tr>
        <w:trPr>
          <w:trHeight w:val="43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600" w:type="dxa"/>
            <w:vAlign w:val="bottom"/>
            <w:gridSpan w:val="2"/>
          </w:tcPr>
          <w:p>
            <w:pPr>
              <w:ind w:left="1280"/>
              <w:spacing w:after="0"/>
              <w:rPr>
                <w:sz w:val="20"/>
                <w:szCs w:val="20"/>
                <w:color w:val="auto"/>
              </w:rPr>
            </w:pPr>
            <w:r>
              <w:rPr>
                <w:rFonts w:ascii="Arial" w:cs="Arial" w:eastAsia="Arial" w:hAnsi="Arial"/>
                <w:sz w:val="18"/>
                <w:szCs w:val="18"/>
                <w:color w:val="auto"/>
              </w:rPr>
              <w:t>By:</w:t>
            </w:r>
          </w:p>
        </w:tc>
      </w:tr>
      <w:tr>
        <w:trPr>
          <w:trHeight w:val="224"/>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Officer</w:t>
            </w:r>
          </w:p>
        </w:tc>
      </w:tr>
      <w:tr>
        <w:trPr>
          <w:trHeight w:val="2382"/>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 SENIOR NOTES DUE 2029</w:t>
      </w:r>
    </w:p>
    <w:p>
      <w:pPr>
        <w:spacing w:after="0" w:line="225"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7"/>
          <w:szCs w:val="17"/>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2.00% Senior Notes due 2029 of the Company, in initial aggregate principal amount of $475,000,000 (the “Securities”).</w:t>
      </w:r>
    </w:p>
    <w:p>
      <w:pPr>
        <w:spacing w:after="0" w:line="181" w:lineRule="exact"/>
        <w:rPr>
          <w:sz w:val="20"/>
          <w:szCs w:val="20"/>
          <w:color w:val="auto"/>
        </w:rPr>
      </w:pPr>
    </w:p>
    <w:p>
      <w:pPr>
        <w:ind w:left="1260" w:hanging="403"/>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Company promises to pay interest on the principal amount of this Security at the rate of 2.00% per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annum.</w:t>
      </w:r>
    </w:p>
    <w:p>
      <w:pPr>
        <w:spacing w:after="0" w:line="211" w:lineRule="exact"/>
        <w:rPr>
          <w:sz w:val="20"/>
          <w:szCs w:val="20"/>
          <w:color w:val="auto"/>
        </w:rPr>
      </w:pPr>
    </w:p>
    <w:p>
      <w:pPr>
        <w:jc w:val="both"/>
        <w:ind w:left="200" w:right="219" w:firstLine="648"/>
        <w:spacing w:after="0" w:line="272" w:lineRule="auto"/>
        <w:rPr>
          <w:sz w:val="20"/>
          <w:szCs w:val="20"/>
          <w:color w:val="auto"/>
        </w:rPr>
      </w:pPr>
      <w:r>
        <w:rPr>
          <w:rFonts w:ascii="Arial" w:cs="Arial" w:eastAsia="Arial" w:hAnsi="Arial"/>
          <w:sz w:val="17"/>
          <w:szCs w:val="17"/>
          <w:color w:val="auto"/>
        </w:rPr>
        <w:t>The Company will pay interest semi-annually on June 1 and December 1 of each year (each an “Interest Payment Date”), commencing December 1, 2021. Interest on the Securities will accrue from the most recent date to which interest has been paid or, if no interest has been paid on the Securities, from May 12, 2021.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2.00% per annum, in each case to the extent lawful.</w:t>
      </w:r>
    </w:p>
    <w:p>
      <w:pPr>
        <w:spacing w:after="0" w:line="177" w:lineRule="exact"/>
        <w:rPr>
          <w:sz w:val="20"/>
          <w:szCs w:val="20"/>
          <w:color w:val="auto"/>
        </w:rPr>
      </w:pPr>
    </w:p>
    <w:p>
      <w:pPr>
        <w:ind w:left="1260" w:hanging="403"/>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jc w:val="both"/>
        <w:ind w:left="200" w:right="219" w:firstLine="648"/>
        <w:spacing w:after="0" w:line="268" w:lineRule="auto"/>
        <w:rPr>
          <w:sz w:val="20"/>
          <w:szCs w:val="20"/>
          <w:color w:val="auto"/>
        </w:rPr>
      </w:pPr>
      <w:r>
        <w:rPr>
          <w:rFonts w:ascii="Arial" w:cs="Arial" w:eastAsia="Arial" w:hAnsi="Arial"/>
          <w:sz w:val="17"/>
          <w:szCs w:val="17"/>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1357630</wp:posOffset>
            </wp:positionV>
            <wp:extent cx="545211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1260" w:hanging="403"/>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225"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7" w:lineRule="exact"/>
        <w:rPr>
          <w:sz w:val="20"/>
          <w:szCs w:val="20"/>
          <w:color w:val="auto"/>
        </w:rPr>
      </w:pPr>
    </w:p>
    <w:p>
      <w:pPr>
        <w:ind w:left="1260" w:hanging="4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225" w:lineRule="exact"/>
        <w:rPr>
          <w:sz w:val="20"/>
          <w:szCs w:val="20"/>
          <w:color w:val="auto"/>
        </w:rPr>
      </w:pPr>
    </w:p>
    <w:p>
      <w:pPr>
        <w:jc w:val="both"/>
        <w:ind w:left="200" w:right="239" w:firstLine="648"/>
        <w:spacing w:after="0" w:line="277"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170"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6"/>
          <w:szCs w:val="16"/>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June 23, 2020 (the “Resolutions”) and the written consent of the Sole Director of Waste Management Holdings, Inc. on April 23, 2021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$475,000,000.</w:t>
      </w:r>
    </w:p>
    <w:p>
      <w:pPr>
        <w:spacing w:after="0" w:line="166" w:lineRule="exact"/>
        <w:rPr>
          <w:sz w:val="20"/>
          <w:szCs w:val="20"/>
          <w:color w:val="auto"/>
        </w:rPr>
      </w:pPr>
    </w:p>
    <w:p>
      <w:pPr>
        <w:ind w:left="1260" w:hanging="4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6"/>
          <w:szCs w:val="16"/>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12.5 basis points; plus, in either case, accrued interest to the Redemption Date.</w:t>
      </w:r>
    </w:p>
    <w:p>
      <w:pPr>
        <w:spacing w:after="0" w:line="166" w:lineRule="exact"/>
        <w:rPr>
          <w:sz w:val="20"/>
          <w:szCs w:val="20"/>
          <w:color w:val="auto"/>
        </w:rPr>
      </w:pPr>
    </w:p>
    <w:p>
      <w:pPr>
        <w:jc w:val="both"/>
        <w:ind w:left="200" w:right="239" w:firstLine="648"/>
        <w:spacing w:after="0" w:line="311" w:lineRule="auto"/>
        <w:rPr>
          <w:sz w:val="20"/>
          <w:szCs w:val="20"/>
          <w:color w:val="auto"/>
        </w:rPr>
      </w:pPr>
      <w:r>
        <w:rPr>
          <w:rFonts w:ascii="Arial" w:cs="Arial" w:eastAsia="Arial" w:hAnsi="Arial"/>
          <w:sz w:val="16"/>
          <w:szCs w:val="16"/>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1337945</wp:posOffset>
            </wp:positionV>
            <wp:extent cx="5452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jc w:val="both"/>
        <w:ind w:left="200" w:right="219" w:firstLine="648"/>
        <w:spacing w:after="0" w:line="269" w:lineRule="auto"/>
        <w:rPr>
          <w:sz w:val="20"/>
          <w:szCs w:val="20"/>
          <w:color w:val="auto"/>
        </w:rPr>
      </w:pPr>
      <w:r>
        <w:rPr>
          <w:rFonts w:ascii="Arial" w:cs="Arial" w:eastAsia="Arial" w:hAnsi="Arial"/>
          <w:sz w:val="17"/>
          <w:szCs w:val="17"/>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8"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8"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jc w:val="both"/>
        <w:ind w:left="200" w:right="219" w:firstLine="648"/>
        <w:spacing w:after="0" w:line="279" w:lineRule="auto"/>
        <w:rPr>
          <w:sz w:val="20"/>
          <w:szCs w:val="20"/>
          <w:color w:val="auto"/>
        </w:rPr>
      </w:pPr>
      <w:r>
        <w:rPr>
          <w:rFonts w:ascii="Arial" w:cs="Arial" w:eastAsia="Arial" w:hAnsi="Arial"/>
          <w:sz w:val="17"/>
          <w:szCs w:val="17"/>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“Par Call Date” means April 1, 2029.</w:t>
      </w:r>
    </w:p>
    <w:p>
      <w:pPr>
        <w:spacing w:after="0" w:line="225"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8"/>
          <w:szCs w:val="18"/>
          <w:color w:val="auto"/>
        </w:rPr>
        <w:t>“Reference Treasury Dealer” means (i) each of Credit Suisse Securities (USA) LLC, Goldman Sachs &amp; Co. LLC and Wells Fargo Securities, LLC (and their respective successors or affiliates),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1362710</wp:posOffset>
            </wp:positionV>
            <wp:extent cx="545211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jc w:val="both"/>
        <w:ind w:left="200" w:right="219" w:firstLine="648"/>
        <w:spacing w:after="0" w:line="275" w:lineRule="auto"/>
        <w:rPr>
          <w:sz w:val="20"/>
          <w:szCs w:val="20"/>
          <w:color w:val="auto"/>
        </w:rPr>
      </w:pPr>
      <w:r>
        <w:rPr>
          <w:rFonts w:ascii="Arial" w:cs="Arial" w:eastAsia="Arial" w:hAnsi="Arial"/>
          <w:sz w:val="17"/>
          <w:szCs w:val="17"/>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76"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8"/>
          <w:szCs w:val="18"/>
          <w:color w:val="auto"/>
        </w:rPr>
        <w:t>Except as set forth above, the Securities will not be redeemable prior to their Stated Maturity and will not be entitled to the benefit of any sinking fund.</w:t>
      </w:r>
    </w:p>
    <w:p>
      <w:pPr>
        <w:spacing w:after="0" w:line="170"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260" w:hanging="4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6"/>
          <w:szCs w:val="16"/>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66"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7"/>
          <w:szCs w:val="17"/>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500" w:right="239" w:hanging="643"/>
        <w:spacing w:after="0" w:line="277" w:lineRule="auto"/>
        <w:tabs>
          <w:tab w:leader="none" w:pos="1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accept for payment all Securities or portions of Securities properly tendered and not withdrawn pursuant to the Change of Control Offer;</w:t>
      </w:r>
    </w:p>
    <w:p>
      <w:pPr>
        <w:spacing w:after="0" w:line="170" w:lineRule="exact"/>
        <w:rPr>
          <w:rFonts w:ascii="Arial" w:cs="Arial" w:eastAsia="Arial" w:hAnsi="Arial"/>
          <w:sz w:val="18"/>
          <w:szCs w:val="18"/>
          <w:color w:val="auto"/>
        </w:rPr>
      </w:pPr>
    </w:p>
    <w:p>
      <w:pPr>
        <w:ind w:left="1500" w:right="239" w:hanging="643"/>
        <w:spacing w:after="0" w:line="277" w:lineRule="auto"/>
        <w:tabs>
          <w:tab w:leader="none" w:pos="1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1214755</wp:posOffset>
            </wp:positionV>
            <wp:extent cx="54521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jc w:val="both"/>
        <w:ind w:left="1500" w:right="219" w:hanging="643"/>
        <w:spacing w:after="0" w:line="263" w:lineRule="auto"/>
        <w:tabs>
          <w:tab w:leader="none" w:pos="1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84"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7"/>
          <w:szCs w:val="17"/>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78"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9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For purposes of the Change of Control Offer provisions of the Securities, the following terms are applicable:</w:t>
      </w:r>
    </w:p>
    <w:p>
      <w:pPr>
        <w:spacing w:after="0" w:line="248" w:lineRule="exact"/>
        <w:rPr>
          <w:sz w:val="20"/>
          <w:szCs w:val="20"/>
          <w:color w:val="auto"/>
        </w:rPr>
      </w:pPr>
    </w:p>
    <w:p>
      <w:pPr>
        <w:jc w:val="both"/>
        <w:ind w:left="200" w:right="219" w:firstLine="648"/>
        <w:spacing w:after="0" w:line="268"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1357630</wp:posOffset>
            </wp:positionV>
            <wp:extent cx="54521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58" w:name="page59"/>
    <w:bookmarkEnd w:id="58"/>
    <w:p>
      <w:pPr>
        <w:ind w:left="860"/>
        <w:spacing w:after="0"/>
        <w:rPr>
          <w:sz w:val="20"/>
          <w:szCs w:val="20"/>
          <w:color w:val="auto"/>
        </w:rPr>
      </w:pPr>
      <w:r>
        <w:rPr>
          <w:rFonts w:ascii="Arial" w:cs="Arial" w:eastAsia="Arial" w:hAnsi="Arial"/>
          <w:sz w:val="16"/>
          <w:szCs w:val="16"/>
          <w:color w:val="auto"/>
        </w:rPr>
        <w:t>Notwithstanding the preceding, a transaction will not be deemed to involve a Change of Control under clause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 above if (i) the Company becomes a direct or indirect wholly-owned subsidiary of a holding company and (ii)</w:t>
      </w:r>
    </w:p>
    <w:p>
      <w:pPr>
        <w:spacing w:after="0" w:line="21" w:lineRule="exact"/>
        <w:rPr>
          <w:sz w:val="20"/>
          <w:szCs w:val="20"/>
          <w:color w:val="auto"/>
        </w:rPr>
      </w:pPr>
    </w:p>
    <w:p>
      <w:pPr>
        <w:jc w:val="both"/>
        <w:ind w:left="200" w:right="219" w:firstLine="9"/>
        <w:spacing w:after="0" w:line="281" w:lineRule="auto"/>
        <w:tabs>
          <w:tab w:leader="none" w:pos="47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direct or indirect holders of the Voting Stock of such holding company immediately following that transaction are substantially the same as the holders of Voting Stock of the Company immediately prior to that transaction or</w:t>
      </w:r>
    </w:p>
    <w:p>
      <w:pPr>
        <w:spacing w:after="0" w:line="1" w:lineRule="exact"/>
        <w:rPr>
          <w:rFonts w:ascii="Arial" w:cs="Arial" w:eastAsia="Arial" w:hAnsi="Arial"/>
          <w:sz w:val="16"/>
          <w:szCs w:val="16"/>
          <w:color w:val="auto"/>
        </w:rPr>
      </w:pPr>
    </w:p>
    <w:p>
      <w:pPr>
        <w:jc w:val="both"/>
        <w:ind w:left="200" w:right="219" w:firstLine="9"/>
        <w:spacing w:after="0" w:line="253" w:lineRule="auto"/>
        <w:tabs>
          <w:tab w:leader="none" w:pos="4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“Change of Control Triggering Event” means the occurrence of both a Change of Control and a Rating Event.</w:t>
      </w:r>
    </w:p>
    <w:p>
      <w:pPr>
        <w:spacing w:after="0" w:line="24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8"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7"/>
          <w:szCs w:val="17"/>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jc w:val="both"/>
        <w:ind w:left="200" w:right="239" w:firstLine="648"/>
        <w:spacing w:after="0" w:line="263"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84" w:lineRule="exact"/>
        <w:rPr>
          <w:sz w:val="20"/>
          <w:szCs w:val="20"/>
          <w:color w:val="auto"/>
        </w:rPr>
      </w:pPr>
    </w:p>
    <w:p>
      <w:pPr>
        <w:ind w:left="1260" w:hanging="4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1362710</wp:posOffset>
            </wp:positionV>
            <wp:extent cx="54521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1260" w:hanging="40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260" w:hanging="4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7"/>
          <w:szCs w:val="17"/>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1" w:lineRule="exact"/>
        <w:rPr>
          <w:sz w:val="20"/>
          <w:szCs w:val="20"/>
          <w:color w:val="auto"/>
        </w:rPr>
      </w:pPr>
    </w:p>
    <w:p>
      <w:pPr>
        <w:ind w:left="1320" w:hanging="463"/>
        <w:spacing w:after="0"/>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jc w:val="both"/>
        <w:ind w:left="200" w:right="219" w:firstLine="648"/>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1" w:lineRule="exact"/>
        <w:rPr>
          <w:sz w:val="20"/>
          <w:szCs w:val="20"/>
          <w:color w:val="auto"/>
        </w:rPr>
      </w:pPr>
    </w:p>
    <w:p>
      <w:pPr>
        <w:jc w:val="both"/>
        <w:ind w:left="200" w:right="219" w:firstLine="9"/>
        <w:spacing w:after="0" w:line="285" w:lineRule="auto"/>
        <w:tabs>
          <w:tab w:leader="none" w:pos="46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1354455</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1340" w:hanging="483"/>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4" w:lineRule="exact"/>
        <w:rPr>
          <w:sz w:val="20"/>
          <w:szCs w:val="20"/>
          <w:color w:val="auto"/>
        </w:rPr>
      </w:pPr>
    </w:p>
    <w:p>
      <w:pPr>
        <w:ind w:left="1360" w:hanging="503"/>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200" w:right="219" w:firstLine="648"/>
        <w:spacing w:after="0" w:line="277" w:lineRule="auto"/>
        <w:rPr>
          <w:sz w:val="20"/>
          <w:szCs w:val="20"/>
          <w:color w:val="auto"/>
        </w:rPr>
      </w:pPr>
      <w:r>
        <w:rPr>
          <w:rFonts w:ascii="Arial" w:cs="Arial" w:eastAsia="Arial" w:hAnsi="Arial"/>
          <w:sz w:val="18"/>
          <w:szCs w:val="18"/>
          <w:color w:val="auto"/>
        </w:rPr>
        <w:t>This Security shall not be valid until the Trustee or authenticating agent signs the certificate of authentication on the other side of this Security.</w:t>
      </w:r>
    </w:p>
    <w:p>
      <w:pPr>
        <w:spacing w:after="0" w:line="170" w:lineRule="exact"/>
        <w:rPr>
          <w:sz w:val="20"/>
          <w:szCs w:val="20"/>
          <w:color w:val="auto"/>
        </w:rPr>
      </w:pPr>
    </w:p>
    <w:p>
      <w:pPr>
        <w:ind w:left="1360" w:hanging="503"/>
        <w:spacing w:after="0"/>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4" w:lineRule="exact"/>
        <w:rPr>
          <w:sz w:val="20"/>
          <w:szCs w:val="20"/>
          <w:color w:val="auto"/>
        </w:rPr>
      </w:pPr>
    </w:p>
    <w:p>
      <w:pPr>
        <w:ind w:left="1360" w:hanging="503"/>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7" w:lineRule="exact"/>
        <w:rPr>
          <w:sz w:val="20"/>
          <w:szCs w:val="20"/>
          <w:color w:val="auto"/>
        </w:rPr>
      </w:pPr>
    </w:p>
    <w:p>
      <w:pPr>
        <w:ind w:left="1360" w:hanging="503"/>
        <w:spacing w:after="0"/>
        <w:tabs>
          <w:tab w:leader="none" w:pos="13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left="200" w:right="219" w:firstLine="648"/>
        <w:spacing w:after="0" w:line="311" w:lineRule="auto"/>
        <w:rPr>
          <w:sz w:val="20"/>
          <w:szCs w:val="20"/>
          <w:color w:val="auto"/>
        </w:rPr>
      </w:pPr>
      <w:r>
        <w:rPr>
          <w:rFonts w:ascii="Arial" w:cs="Arial" w:eastAsia="Arial" w:hAnsi="Arial"/>
          <w:sz w:val="16"/>
          <w:szCs w:val="16"/>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49" w:lineRule="exact"/>
        <w:rPr>
          <w:sz w:val="20"/>
          <w:szCs w:val="20"/>
          <w:color w:val="auto"/>
        </w:rPr>
      </w:pPr>
    </w:p>
    <w:p>
      <w:pPr>
        <w:ind w:left="1360" w:hanging="503"/>
        <w:spacing w:after="0"/>
        <w:tabs>
          <w:tab w:leader="none" w:pos="13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jc w:val="both"/>
        <w:ind w:left="200" w:right="219" w:firstLine="648"/>
        <w:spacing w:after="0" w:line="272" w:lineRule="auto"/>
        <w:rPr>
          <w:sz w:val="20"/>
          <w:szCs w:val="20"/>
          <w:color w:val="auto"/>
        </w:rPr>
      </w:pPr>
      <w:r>
        <w:rPr>
          <w:rFonts w:ascii="Arial" w:cs="Arial" w:eastAsia="Arial" w:hAnsi="Arial"/>
          <w:sz w:val="17"/>
          <w:szCs w:val="17"/>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1356360</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ind w:left="1360" w:hanging="503"/>
        <w:spacing w:after="0"/>
        <w:tabs>
          <w:tab w:leader="none" w:pos="13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This Security shall be construed in accordance with and governed by the laws of the State of New York.</w:t>
      </w:r>
    </w:p>
    <w:p>
      <w:pPr>
        <w:spacing w:after="0" w:line="237" w:lineRule="exact"/>
        <w:rPr>
          <w:sz w:val="20"/>
          <w:szCs w:val="20"/>
          <w:color w:val="auto"/>
        </w:rPr>
      </w:pPr>
    </w:p>
    <w:p>
      <w:pPr>
        <w:ind w:left="1360" w:hanging="503"/>
        <w:spacing w:after="0"/>
        <w:tabs>
          <w:tab w:leader="none" w:pos="13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jc w:val="both"/>
        <w:ind w:left="200" w:right="219" w:firstLine="648"/>
        <w:spacing w:after="0" w:line="255" w:lineRule="auto"/>
        <w:rPr>
          <w:sz w:val="20"/>
          <w:szCs w:val="20"/>
          <w:color w:val="auto"/>
        </w:rPr>
      </w:pPr>
      <w:r>
        <w:rPr>
          <w:rFonts w:ascii="Arial" w:cs="Arial" w:eastAsia="Arial" w:hAnsi="Arial"/>
          <w:sz w:val="18"/>
          <w:szCs w:val="18"/>
          <w:color w:val="auto"/>
        </w:rPr>
        <w:t>The Securities will be fully and unconditionally guaranteed on a senior basis by the Company’s wholly owned subsidiary, Waste Management Holdings, Inc., pursuant to the terms and conditions of a Guarantee, dated as of May 12, 2021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92" w:lineRule="exact"/>
        <w:rPr>
          <w:sz w:val="20"/>
          <w:szCs w:val="20"/>
          <w:color w:val="auto"/>
        </w:rPr>
      </w:pPr>
    </w:p>
    <w:p>
      <w:pPr>
        <w:ind w:left="1360" w:hanging="503"/>
        <w:spacing w:after="0"/>
        <w:tabs>
          <w:tab w:leader="none" w:pos="13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6"/>
          <w:szCs w:val="16"/>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w:t>
      </w:r>
    </w:p>
    <w:p>
      <w:pPr>
        <w:spacing w:after="0" w:line="1" w:lineRule="exact"/>
        <w:rPr>
          <w:sz w:val="20"/>
          <w:szCs w:val="20"/>
          <w:color w:val="auto"/>
        </w:rPr>
      </w:pPr>
    </w:p>
    <w:p>
      <w:pPr>
        <w:ind w:left="200" w:right="219" w:firstLine="9"/>
        <w:spacing w:after="0" w:line="260" w:lineRule="auto"/>
        <w:tabs>
          <w:tab w:leader="none" w:pos="4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1361440</wp:posOffset>
            </wp:positionV>
            <wp:extent cx="54521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color w:val="auto"/>
        </w:rPr>
        <w:t>SCHEDULE OF EXCHANGES OF DEFINITIVE SECURITY</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following exchanges of a part of this Book-Entry Security for definitive Securities have been made:</w:t>
      </w: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Amount of</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Amount of increase</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Principal Amount</w:t>
            </w:r>
          </w:p>
        </w:tc>
        <w:tc>
          <w:tcPr>
            <w:tcW w:w="166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decrease in</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 Principal</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of this Book-Entry</w:t>
            </w:r>
          </w:p>
        </w:tc>
        <w:tc>
          <w:tcPr>
            <w:tcW w:w="16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Signature of</w:t>
            </w: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Principal Amount</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Amount of this</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Security following</w:t>
            </w:r>
          </w:p>
        </w:tc>
        <w:tc>
          <w:tcPr>
            <w:tcW w:w="16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authorized officer</w:t>
            </w: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of this Book-Entry</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Book-Entry</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such decrease (or</w:t>
            </w:r>
          </w:p>
        </w:tc>
        <w:tc>
          <w:tcPr>
            <w:tcW w:w="16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of Trustee or</w:t>
            </w:r>
          </w:p>
        </w:tc>
      </w:tr>
      <w:tr>
        <w:trPr>
          <w:trHeight w:val="241"/>
        </w:trPr>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Date of Exchange</w:t>
            </w: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increase)</w:t>
            </w:r>
          </w:p>
        </w:tc>
        <w:tc>
          <w:tcPr>
            <w:tcW w:w="16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Security Custodian</w:t>
            </w:r>
          </w:p>
        </w:tc>
      </w:tr>
      <w:tr>
        <w:trPr>
          <w:trHeight w:val="1019"/>
        </w:trPr>
        <w:tc>
          <w:tcPr>
            <w:tcW w:w="15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left="1400" w:right="2260"/>
        <w:spacing w:after="0" w:line="266" w:lineRule="auto"/>
        <w:rPr>
          <w:sz w:val="20"/>
          <w:szCs w:val="20"/>
          <w:color w:val="auto"/>
        </w:rPr>
      </w:pPr>
      <w:r>
        <w:rPr>
          <w:rFonts w:ascii="Arial" w:cs="Arial" w:eastAsia="Arial" w:hAnsi="Arial"/>
          <w:sz w:val="18"/>
          <w:szCs w:val="18"/>
          <w:b w:val="1"/>
          <w:bCs w:val="1"/>
          <w:color w:val="auto"/>
        </w:rPr>
        <w:t>WASTE MANAGEMENT, INC. Officers’ Certificate Delivered Pursuant to Section 301 of the Indenture dated as of September 10, 1997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12, 2021</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jc w:val="both"/>
        <w:ind w:firstLine="1301"/>
        <w:spacing w:after="0" w:line="275" w:lineRule="auto"/>
        <w:tabs>
          <w:tab w:leader="none" w:pos="167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12, 2021 (the “Order”) for the authentication and delivery by the Trustee of $475,000,000 aggregate principal amount of 2.95% Senior Notes due 2041 (the “Notes”).</w:t>
      </w:r>
    </w:p>
    <w:p>
      <w:pPr>
        <w:spacing w:after="0" w:line="176" w:lineRule="exact"/>
        <w:rPr>
          <w:rFonts w:ascii="Arial" w:cs="Arial" w:eastAsia="Arial" w:hAnsi="Arial"/>
          <w:sz w:val="17"/>
          <w:szCs w:val="17"/>
          <w:color w:val="auto"/>
        </w:rPr>
      </w:pPr>
    </w:p>
    <w:p>
      <w:pPr>
        <w:ind w:firstLine="1301"/>
        <w:spacing w:after="0" w:line="277" w:lineRule="auto"/>
        <w:tabs>
          <w:tab w:leader="none" w:pos="16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70" w:lineRule="exact"/>
        <w:rPr>
          <w:rFonts w:ascii="Arial" w:cs="Arial" w:eastAsia="Arial" w:hAnsi="Arial"/>
          <w:sz w:val="18"/>
          <w:szCs w:val="18"/>
          <w:color w:val="auto"/>
        </w:rPr>
      </w:pPr>
    </w:p>
    <w:p>
      <w:pPr>
        <w:jc w:val="both"/>
        <w:ind w:firstLine="1301"/>
        <w:spacing w:after="0" w:line="263" w:lineRule="auto"/>
        <w:tabs>
          <w:tab w:leader="none" w:pos="16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3" w:lineRule="exact"/>
        <w:rPr>
          <w:rFonts w:ascii="Arial" w:cs="Arial" w:eastAsia="Arial" w:hAnsi="Arial"/>
          <w:sz w:val="18"/>
          <w:szCs w:val="18"/>
          <w:color w:val="auto"/>
        </w:rPr>
      </w:pPr>
    </w:p>
    <w:p>
      <w:pPr>
        <w:ind w:firstLine="1301"/>
        <w:spacing w:after="0" w:line="277" w:lineRule="auto"/>
        <w:tabs>
          <w:tab w:leader="none" w:pos="16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undersigned have examined the Order, and they have read the covenants, conditions and provisions of the Indenture relating thereto.</w:t>
      </w:r>
    </w:p>
    <w:p>
      <w:pPr>
        <w:spacing w:after="0" w:line="170" w:lineRule="exact"/>
        <w:rPr>
          <w:rFonts w:ascii="Arial" w:cs="Arial" w:eastAsia="Arial" w:hAnsi="Arial"/>
          <w:sz w:val="18"/>
          <w:szCs w:val="18"/>
          <w:color w:val="auto"/>
        </w:rPr>
      </w:pPr>
    </w:p>
    <w:p>
      <w:pPr>
        <w:jc w:val="both"/>
        <w:ind w:firstLine="1301"/>
        <w:spacing w:after="0" w:line="263" w:lineRule="auto"/>
        <w:tabs>
          <w:tab w:leader="none" w:pos="1701"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3" w:lineRule="exact"/>
        <w:rPr>
          <w:rFonts w:ascii="Arial" w:cs="Arial" w:eastAsia="Arial" w:hAnsi="Arial"/>
          <w:sz w:val="18"/>
          <w:szCs w:val="18"/>
          <w:color w:val="auto"/>
        </w:rPr>
      </w:pPr>
    </w:p>
    <w:p>
      <w:pPr>
        <w:jc w:val="both"/>
        <w:ind w:firstLine="1301"/>
        <w:spacing w:after="0" w:line="263" w:lineRule="auto"/>
        <w:tabs>
          <w:tab w:leader="none" w:pos="16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$475,000,000 aggregate principal amount of the Notes have been complied with, and such Notes may be delivered in accordance with the Order as provided in the Indenture.</w:t>
      </w:r>
    </w:p>
    <w:p>
      <w:pPr>
        <w:spacing w:after="0" w:line="183" w:lineRule="exact"/>
        <w:rPr>
          <w:rFonts w:ascii="Arial" w:cs="Arial" w:eastAsia="Arial" w:hAnsi="Arial"/>
          <w:sz w:val="18"/>
          <w:szCs w:val="18"/>
          <w:color w:val="auto"/>
        </w:rPr>
      </w:pPr>
    </w:p>
    <w:p>
      <w:pPr>
        <w:jc w:val="both"/>
        <w:ind w:firstLine="1301"/>
        <w:spacing w:after="0" w:line="263" w:lineRule="auto"/>
        <w:tabs>
          <w:tab w:leader="none" w:pos="16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authorized by resolutions duly adopted on June 23, 2020 by the Board of Directors of the Company, which are in full force and effect as of the date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1386205</wp:posOffset>
            </wp:positionV>
            <wp:extent cx="57950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337" w:right="1399" w:bottom="1440" w:gutter="0" w:footer="0" w:header="0"/>
        </w:sectPr>
      </w:pPr>
    </w:p>
    <w:bookmarkStart w:id="64" w:name="page65"/>
    <w:bookmarkEnd w:id="64"/>
    <w:p>
      <w:pPr>
        <w:ind w:right="179" w:firstLine="1296"/>
        <w:spacing w:after="0" w:line="277" w:lineRule="auto"/>
        <w:rPr>
          <w:sz w:val="20"/>
          <w:szCs w:val="20"/>
          <w:color w:val="auto"/>
        </w:rPr>
      </w:pPr>
      <w:r>
        <w:rPr>
          <w:rFonts w:ascii="Arial" w:cs="Arial" w:eastAsia="Arial" w:hAnsi="Arial"/>
          <w:sz w:val="18"/>
          <w:szCs w:val="18"/>
          <w:color w:val="auto"/>
        </w:rPr>
        <w:t>IN WITNESS WHEREOF, the undersigned has hereunto executed this Officers’ Certificate as of the date first written above.</w:t>
      </w:r>
    </w:p>
    <w:p>
      <w:pPr>
        <w:spacing w:after="0" w:line="40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14605</wp:posOffset>
            </wp:positionV>
            <wp:extent cx="28886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David L. Reed</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Vice President and Treasurer</w:t>
      </w:r>
    </w:p>
    <w:p>
      <w:pPr>
        <w:spacing w:after="0" w:line="21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14605</wp:posOffset>
            </wp:positionV>
            <wp:extent cx="28886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Courtney A. Tippy</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Vice President and Corporate Secretary</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1514475</wp:posOffset>
            </wp:positionV>
            <wp:extent cx="579501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79"/>
          </w:cols>
          <w:pgMar w:left="1380" w:top="125" w:right="1440"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Pursuant to authority granted by the Board of Directors of the Company on June 23, 2020 and the Sole Director of Waste Management Holdings, Inc. on April 23, 2021,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95" w:lineRule="exact"/>
        <w:rPr>
          <w:sz w:val="20"/>
          <w:szCs w:val="20"/>
          <w:color w:val="auto"/>
        </w:rPr>
      </w:pPr>
    </w:p>
    <w:p>
      <w:pPr>
        <w:ind w:left="660" w:hanging="64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title of the series of Securities shall be “2.95% Senior Notes due 2041” (the “Notes”).</w:t>
      </w:r>
    </w:p>
    <w:p>
      <w:pPr>
        <w:spacing w:after="0" w:line="225" w:lineRule="exact"/>
        <w:rPr>
          <w:rFonts w:ascii="Arial" w:cs="Arial" w:eastAsia="Arial" w:hAnsi="Arial"/>
          <w:sz w:val="18"/>
          <w:szCs w:val="18"/>
          <w:color w:val="auto"/>
        </w:rPr>
      </w:pPr>
    </w:p>
    <w:p>
      <w:pPr>
        <w:ind w:left="660" w:hanging="64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jc w:val="both"/>
        <w:ind w:left="660" w:hanging="642"/>
        <w:spacing w:after="0" w:line="296"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$475,000,000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61" w:lineRule="exact"/>
        <w:rPr>
          <w:rFonts w:ascii="Arial" w:cs="Arial" w:eastAsia="Arial" w:hAnsi="Arial"/>
          <w:sz w:val="16"/>
          <w:szCs w:val="16"/>
          <w:color w:val="auto"/>
        </w:rPr>
      </w:pPr>
    </w:p>
    <w:p>
      <w:pPr>
        <w:ind w:left="660" w:hanging="64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June 1, 2041.</w:t>
      </w:r>
    </w:p>
    <w:p>
      <w:pPr>
        <w:spacing w:after="0" w:line="225" w:lineRule="exact"/>
        <w:rPr>
          <w:rFonts w:ascii="Arial" w:cs="Arial" w:eastAsia="Arial" w:hAnsi="Arial"/>
          <w:sz w:val="18"/>
          <w:szCs w:val="18"/>
          <w:color w:val="auto"/>
        </w:rPr>
      </w:pPr>
    </w:p>
    <w:p>
      <w:pPr>
        <w:jc w:val="both"/>
        <w:ind w:left="660" w:hanging="642"/>
        <w:spacing w:after="0" w:line="296"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Each Note shall bear interest from May 12, 2021 at the fixed rate of 2.95% per annum; the Interest Payment Dates on which such interest shall be payable shall be June 1 and December 1, of each year, commencing December 1, 2021, until maturity unless such date falls on a day that is not a Business Day, in which case, such payment shall be made on the next day that is a Business Day. The Regular Record Date for the determination of Holders to whom interest is payable shall be May 15 or November 15, respectively, immediately preceding such date, as the case may be.</w:t>
      </w:r>
    </w:p>
    <w:p>
      <w:pPr>
        <w:spacing w:after="0" w:line="161" w:lineRule="exact"/>
        <w:rPr>
          <w:rFonts w:ascii="Arial" w:cs="Arial" w:eastAsia="Arial" w:hAnsi="Arial"/>
          <w:sz w:val="16"/>
          <w:szCs w:val="16"/>
          <w:color w:val="auto"/>
        </w:rPr>
      </w:pPr>
    </w:p>
    <w:p>
      <w:pPr>
        <w:jc w:val="both"/>
        <w:ind w:left="660" w:hanging="642"/>
        <w:spacing w:after="0" w:line="311"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48" w:lineRule="exact"/>
        <w:rPr>
          <w:rFonts w:ascii="Arial" w:cs="Arial" w:eastAsia="Arial" w:hAnsi="Arial"/>
          <w:sz w:val="16"/>
          <w:szCs w:val="16"/>
          <w:color w:val="auto"/>
        </w:rPr>
      </w:pPr>
    </w:p>
    <w:p>
      <w:pPr>
        <w:jc w:val="both"/>
        <w:ind w:left="660" w:hanging="642"/>
        <w:spacing w:after="0" w:line="291"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Notes are to be issued as Registered Securities only. Each Note is to be issued as a book-entry note (“Book-Entry Note”) but in certain circumstances may be represented by Notes in definitive form. The Book-Entry Notes</w:t>
      </w:r>
    </w:p>
    <w:p>
      <w:pPr>
        <w:jc w:val="both"/>
        <w:ind w:left="660"/>
        <w:spacing w:after="0" w:line="255" w:lineRule="auto"/>
        <w:rPr>
          <w:sz w:val="20"/>
          <w:szCs w:val="20"/>
          <w:color w:val="auto"/>
        </w:rPr>
      </w:pPr>
      <w:r>
        <w:rPr>
          <w:rFonts w:ascii="Arial" w:cs="Arial" w:eastAsia="Arial" w:hAnsi="Arial"/>
          <w:sz w:val="18"/>
          <w:szCs w:val="18"/>
          <w:color w:val="auto"/>
        </w:rPr>
        <w:t>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952500</wp:posOffset>
            </wp:positionV>
            <wp:extent cx="579501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66" w:name="page67"/>
    <w:bookmarkEnd w:id="66"/>
    <w:p>
      <w:pPr>
        <w:jc w:val="both"/>
        <w:ind w:left="642" w:hanging="642"/>
        <w:spacing w:after="0" w:line="257" w:lineRule="auto"/>
        <w:tabs>
          <w:tab w:leader="none" w:pos="642"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87" w:lineRule="exact"/>
        <w:rPr>
          <w:rFonts w:ascii="Arial" w:cs="Arial" w:eastAsia="Arial" w:hAnsi="Arial"/>
          <w:sz w:val="18"/>
          <w:szCs w:val="18"/>
          <w:color w:val="auto"/>
        </w:rPr>
      </w:pPr>
    </w:p>
    <w:p>
      <w:pPr>
        <w:jc w:val="both"/>
        <w:ind w:left="642" w:hanging="642"/>
        <w:spacing w:after="0" w:line="269" w:lineRule="auto"/>
        <w:tabs>
          <w:tab w:leader="none" w:pos="642" w:val="left"/>
        </w:tabs>
        <w:numPr>
          <w:ilvl w:val="0"/>
          <w:numId w:val="68"/>
        </w:numPr>
        <w:rPr>
          <w:rFonts w:ascii="Arial" w:cs="Arial" w:eastAsia="Arial" w:hAnsi="Arial"/>
          <w:sz w:val="17"/>
          <w:szCs w:val="17"/>
          <w:color w:val="auto"/>
        </w:rPr>
      </w:pPr>
      <w:r>
        <w:rPr>
          <w:rFonts w:ascii="Arial" w:cs="Arial" w:eastAsia="Arial" w:hAnsi="Arial"/>
          <w:sz w:val="17"/>
          <w:szCs w:val="17"/>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360-day year consisting of twelve 30-day months) at the applicable Treasury Yield (as defined in the Notes) plus 15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December 1, 2040.</w:t>
      </w:r>
    </w:p>
    <w:p>
      <w:pPr>
        <w:spacing w:after="0" w:line="181" w:lineRule="exact"/>
        <w:rPr>
          <w:rFonts w:ascii="Arial" w:cs="Arial" w:eastAsia="Arial" w:hAnsi="Arial"/>
          <w:sz w:val="17"/>
          <w:szCs w:val="17"/>
          <w:color w:val="auto"/>
        </w:rPr>
      </w:pPr>
    </w:p>
    <w:p>
      <w:pPr>
        <w:ind w:left="642" w:right="20" w:hanging="642"/>
        <w:spacing w:after="0" w:line="277" w:lineRule="auto"/>
        <w:tabs>
          <w:tab w:leader="none" w:pos="64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170" w:lineRule="exact"/>
        <w:rPr>
          <w:rFonts w:ascii="Arial" w:cs="Arial" w:eastAsia="Arial" w:hAnsi="Arial"/>
          <w:sz w:val="18"/>
          <w:szCs w:val="18"/>
          <w:color w:val="auto"/>
        </w:rPr>
      </w:pPr>
    </w:p>
    <w:p>
      <w:pPr>
        <w:ind w:left="642" w:hanging="642"/>
        <w:spacing w:after="0" w:line="277" w:lineRule="auto"/>
        <w:tabs>
          <w:tab w:leader="none" w:pos="64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42" w:hanging="642"/>
        <w:spacing w:after="0"/>
        <w:tabs>
          <w:tab w:leader="none" w:pos="64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Notes shall be entitled to the benefit of the covenants contained in Sections 1008 and 1009 of the Indenture.</w:t>
      </w:r>
    </w:p>
    <w:p>
      <w:pPr>
        <w:spacing w:after="0" w:line="248" w:lineRule="exact"/>
        <w:rPr>
          <w:rFonts w:ascii="Arial" w:cs="Arial" w:eastAsia="Arial" w:hAnsi="Arial"/>
          <w:sz w:val="16"/>
          <w:szCs w:val="16"/>
          <w:color w:val="auto"/>
        </w:rPr>
      </w:pPr>
    </w:p>
    <w:p>
      <w:pPr>
        <w:ind w:left="642" w:hanging="642"/>
        <w:spacing w:after="0"/>
        <w:tabs>
          <w:tab w:leader="none" w:pos="64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Bank of New York Mellon Trust Company, N.A. shall serve initially as Security Registrar for the Notes.</w:t>
      </w:r>
    </w:p>
    <w:p>
      <w:pPr>
        <w:spacing w:after="0" w:line="236" w:lineRule="exact"/>
        <w:rPr>
          <w:rFonts w:ascii="Arial" w:cs="Arial" w:eastAsia="Arial" w:hAnsi="Arial"/>
          <w:sz w:val="17"/>
          <w:szCs w:val="17"/>
          <w:color w:val="auto"/>
        </w:rPr>
      </w:pPr>
    </w:p>
    <w:p>
      <w:pPr>
        <w:ind w:left="642" w:hanging="642"/>
        <w:spacing w:after="0"/>
        <w:tabs>
          <w:tab w:leader="none" w:pos="64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jc w:val="both"/>
        <w:ind w:left="642" w:hanging="642"/>
        <w:spacing w:after="0" w:line="255" w:lineRule="auto"/>
        <w:tabs>
          <w:tab w:leader="none" w:pos="64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May 12, 2021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92" w:lineRule="exact"/>
        <w:rPr>
          <w:rFonts w:ascii="Arial" w:cs="Arial" w:eastAsia="Arial" w:hAnsi="Arial"/>
          <w:sz w:val="18"/>
          <w:szCs w:val="18"/>
          <w:color w:val="auto"/>
        </w:rPr>
      </w:pPr>
    </w:p>
    <w:p>
      <w:pPr>
        <w:jc w:val="both"/>
        <w:ind w:left="642" w:hanging="642"/>
        <w:spacing w:after="0" w:line="263" w:lineRule="auto"/>
        <w:tabs>
          <w:tab w:leader="none" w:pos="64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1360170</wp:posOffset>
            </wp:positionV>
            <wp:extent cx="579501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2"/>
          </w:cols>
          <w:pgMar w:left="1398" w:top="773" w:right="139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BOOK-ENTRY SECURITY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8" w:lineRule="exact"/>
        <w:rPr>
          <w:sz w:val="20"/>
          <w:szCs w:val="20"/>
          <w:color w:val="auto"/>
        </w:rPr>
      </w:pPr>
    </w:p>
    <w:p>
      <w:pPr>
        <w:spacing w:after="0"/>
        <w:tabs>
          <w:tab w:leader="none" w:pos="7820" w:val="left"/>
        </w:tabs>
        <w:rPr>
          <w:sz w:val="20"/>
          <w:szCs w:val="20"/>
          <w:color w:val="auto"/>
        </w:rPr>
      </w:pPr>
      <w:r>
        <w:rPr>
          <w:rFonts w:ascii="Arial" w:cs="Arial" w:eastAsia="Arial" w:hAnsi="Arial"/>
          <w:sz w:val="16"/>
          <w:szCs w:val="16"/>
          <w:color w:val="auto"/>
        </w:rPr>
        <w:t>RGN</w:t>
      </w:r>
      <w:r>
        <w:rPr>
          <w:sz w:val="20"/>
          <w:szCs w:val="20"/>
          <w:color w:val="auto"/>
        </w:rPr>
        <w:tab/>
      </w:r>
      <w:r>
        <w:rPr>
          <w:rFonts w:ascii="Arial" w:cs="Arial" w:eastAsia="Arial" w:hAnsi="Arial"/>
          <w:sz w:val="16"/>
          <w:szCs w:val="16"/>
          <w:color w:val="auto"/>
        </w:rPr>
        <w:t>Principal Amount</w:t>
      </w:r>
    </w:p>
    <w:p>
      <w:pPr>
        <w:spacing w:after="0" w:line="248" w:lineRule="exact"/>
        <w:rPr>
          <w:sz w:val="20"/>
          <w:szCs w:val="20"/>
          <w:color w:val="auto"/>
        </w:rPr>
      </w:pPr>
    </w:p>
    <w:p>
      <w:pPr>
        <w:jc w:val="right"/>
        <w:spacing w:after="0"/>
        <w:tabs>
          <w:tab w:leader="none" w:pos="86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6"/>
          <w:szCs w:val="16"/>
          <w:color w:val="auto"/>
        </w:rPr>
        <w:t>, which may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be decreased by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of Exchanges</w:t>
      </w:r>
    </w:p>
    <w:p>
      <w:pPr>
        <w:spacing w:after="0" w:line="9" w:lineRule="exact"/>
        <w:rPr>
          <w:sz w:val="20"/>
          <w:szCs w:val="20"/>
          <w:color w:val="auto"/>
        </w:rPr>
      </w:pPr>
    </w:p>
    <w:p>
      <w:pPr>
        <w:jc w:val="both"/>
        <w:ind w:left="7540" w:hanging="4415"/>
        <w:spacing w:after="0" w:line="290" w:lineRule="auto"/>
        <w:tabs>
          <w:tab w:leader="none" w:pos="7520" w:val="left"/>
        </w:tabs>
        <w:rPr>
          <w:sz w:val="20"/>
          <w:szCs w:val="20"/>
          <w:color w:val="auto"/>
        </w:rPr>
      </w:pPr>
      <w:r>
        <w:rPr>
          <w:rFonts w:ascii="Arial" w:cs="Arial" w:eastAsia="Arial" w:hAnsi="Arial"/>
          <w:sz w:val="18"/>
          <w:szCs w:val="18"/>
          <w:color w:val="auto"/>
        </w:rPr>
        <w:t>WASTE MANAGEMENT, INC.</w:t>
      </w:r>
      <w:r>
        <w:rPr>
          <w:sz w:val="20"/>
          <w:szCs w:val="20"/>
          <w:color w:val="auto"/>
        </w:rPr>
        <w:tab/>
      </w:r>
      <w:r>
        <w:rPr>
          <w:rFonts w:ascii="Arial" w:cs="Arial" w:eastAsia="Arial" w:hAnsi="Arial"/>
          <w:sz w:val="17"/>
          <w:szCs w:val="17"/>
          <w:color w:val="auto"/>
        </w:rPr>
        <w:t>of Definitive Security attached hereto</w:t>
      </w:r>
    </w:p>
    <w:p>
      <w:pPr>
        <w:spacing w:after="0" w:line="16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2.95% SENIOR NOTES DUE 2041</w:t>
      </w:r>
    </w:p>
    <w:p>
      <w:pPr>
        <w:spacing w:after="0" w:line="225" w:lineRule="exact"/>
        <w:rPr>
          <w:sz w:val="20"/>
          <w:szCs w:val="20"/>
          <w:color w:val="auto"/>
        </w:rPr>
      </w:pPr>
    </w:p>
    <w:p>
      <w:pPr>
        <w:ind w:left="7620"/>
        <w:spacing w:after="0"/>
        <w:rPr>
          <w:sz w:val="20"/>
          <w:szCs w:val="20"/>
          <w:color w:val="auto"/>
        </w:rPr>
      </w:pPr>
      <w:r>
        <w:rPr>
          <w:rFonts w:ascii="Arial" w:cs="Arial" w:eastAsia="Arial" w:hAnsi="Arial"/>
          <w:sz w:val="16"/>
          <w:szCs w:val="16"/>
          <w:color w:val="auto"/>
        </w:rPr>
        <w:t>CUSIP 94106L BR9</w:t>
      </w:r>
    </w:p>
    <w:p>
      <w:pPr>
        <w:spacing w:after="0" w:line="2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w:t>
      </w:r>
    </w:p>
    <w:p>
      <w:pPr>
        <w:jc w:val="both"/>
        <w:spacing w:after="0" w:line="252" w:lineRule="auto"/>
        <w:rPr>
          <w:sz w:val="20"/>
          <w:szCs w:val="20"/>
          <w:color w:val="auto"/>
        </w:rPr>
      </w:pPr>
      <w:r>
        <w:rPr>
          <w:rFonts w:ascii="Arial" w:cs="Arial" w:eastAsia="Arial" w:hAnsi="Arial"/>
          <w:sz w:val="18"/>
          <w:szCs w:val="18"/>
          <w:color w:val="auto"/>
        </w:rPr>
        <w:t>office or agency of the Company, the principal sum of Million ($ ) U.S. dollars, or such lesser principal sum as is shown on the attached Schedule of Exchanges of Definitive Security, on June 1, 2041 in such coin or currency of the United States of America as at the time of payment shall be legal tender for the payment of public and private debts, and to pay interest at an annual rate of 2.95% payable on June 1 and December 1 of each year, to the person in whose name this Security is registered at the close of business on the record date for such interest, which shall be the preceding May 15 or November 15, respectively, payable commencing December 1, 2021, with interest accruing from May 12, 2021,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1365885</wp:posOffset>
            </wp:positionV>
            <wp:extent cx="57950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68" w:name="page69"/>
    <w:bookmarkEnd w:id="68"/>
    <w:p>
      <w:pPr>
        <w:jc w:val="both"/>
        <w:ind w:firstLine="648"/>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Security is issued in respect of a series of Securities of an initial aggregate of U.S. $475,000,000 in principal amount designated as the 2.95% Senior Notes due 2041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1351915</wp:posOffset>
            </wp:positionV>
            <wp:extent cx="57950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69" w:name="page70"/>
    <w:bookmarkEnd w:id="69"/>
    <w:p>
      <w:pPr>
        <w:ind w:firstLine="648"/>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Company has caused this instrument to be duly executed under its corporate seal.</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Dated:</w:t>
            </w:r>
          </w:p>
        </w:tc>
        <w:tc>
          <w:tcPr>
            <w:tcW w:w="5320" w:type="dxa"/>
            <w:vAlign w:val="bottom"/>
            <w:gridSpan w:val="2"/>
          </w:tcPr>
          <w:p>
            <w:pPr>
              <w:ind w:left="780"/>
              <w:spacing w:after="0"/>
              <w:rPr>
                <w:sz w:val="20"/>
                <w:szCs w:val="20"/>
                <w:color w:val="auto"/>
              </w:rPr>
            </w:pPr>
            <w:r>
              <w:rPr>
                <w:rFonts w:ascii="Arial" w:cs="Arial" w:eastAsia="Arial" w:hAnsi="Arial"/>
                <w:sz w:val="18"/>
                <w:szCs w:val="18"/>
                <w:color w:val="auto"/>
              </w:rPr>
              <w:t>WASTE MANAGEMENT, INC.,</w:t>
            </w:r>
          </w:p>
        </w:tc>
      </w:tr>
      <w:tr>
        <w:trPr>
          <w:trHeight w:val="230"/>
        </w:trPr>
        <w:tc>
          <w:tcPr>
            <w:tcW w:w="3800" w:type="dxa"/>
            <w:vAlign w:val="bottom"/>
          </w:tcPr>
          <w:p>
            <w:pPr>
              <w:spacing w:after="0"/>
              <w:rPr>
                <w:sz w:val="20"/>
                <w:szCs w:val="20"/>
                <w:color w:val="auto"/>
              </w:rPr>
            </w:pPr>
          </w:p>
        </w:tc>
        <w:tc>
          <w:tcPr>
            <w:tcW w:w="5320" w:type="dxa"/>
            <w:vAlign w:val="bottom"/>
            <w:gridSpan w:val="2"/>
          </w:tcPr>
          <w:p>
            <w:pPr>
              <w:ind w:left="780"/>
              <w:spacing w:after="0"/>
              <w:rPr>
                <w:sz w:val="20"/>
                <w:szCs w:val="20"/>
                <w:color w:val="auto"/>
              </w:rPr>
            </w:pPr>
            <w:r>
              <w:rPr>
                <w:rFonts w:ascii="Arial" w:cs="Arial" w:eastAsia="Arial" w:hAnsi="Arial"/>
                <w:sz w:val="18"/>
                <w:szCs w:val="18"/>
                <w:color w:val="auto"/>
              </w:rPr>
              <w:t>a Delaware corporation</w:t>
            </w:r>
          </w:p>
        </w:tc>
      </w:tr>
      <w:tr>
        <w:trPr>
          <w:trHeight w:val="432"/>
        </w:trPr>
        <w:tc>
          <w:tcPr>
            <w:tcW w:w="3800" w:type="dxa"/>
            <w:vAlign w:val="bottom"/>
          </w:tcPr>
          <w:p>
            <w:pPr>
              <w:spacing w:after="0"/>
              <w:rPr>
                <w:sz w:val="24"/>
                <w:szCs w:val="24"/>
                <w:color w:val="auto"/>
              </w:rPr>
            </w:pPr>
          </w:p>
        </w:tc>
        <w:tc>
          <w:tcPr>
            <w:tcW w:w="5320" w:type="dxa"/>
            <w:vAlign w:val="bottom"/>
            <w:gridSpan w:val="2"/>
          </w:tcPr>
          <w:p>
            <w:pPr>
              <w:ind w:left="780"/>
              <w:spacing w:after="0"/>
              <w:rPr>
                <w:sz w:val="20"/>
                <w:szCs w:val="20"/>
                <w:color w:val="auto"/>
              </w:rPr>
            </w:pPr>
            <w:r>
              <w:rPr>
                <w:rFonts w:ascii="Arial" w:cs="Arial" w:eastAsia="Arial" w:hAnsi="Arial"/>
                <w:sz w:val="18"/>
                <w:szCs w:val="18"/>
                <w:color w:val="auto"/>
              </w:rPr>
              <w:t>By:</w:t>
            </w:r>
          </w:p>
        </w:tc>
      </w:tr>
      <w:tr>
        <w:trPr>
          <w:trHeight w:val="195"/>
        </w:trPr>
        <w:tc>
          <w:tcPr>
            <w:tcW w:w="3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3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648"/>
        </w:trPr>
        <w:tc>
          <w:tcPr>
            <w:tcW w:w="3800" w:type="dxa"/>
            <w:vAlign w:val="bottom"/>
          </w:tcPr>
          <w:p>
            <w:pPr>
              <w:spacing w:after="0"/>
              <w:rPr>
                <w:sz w:val="24"/>
                <w:szCs w:val="24"/>
                <w:color w:val="auto"/>
              </w:rPr>
            </w:pPr>
          </w:p>
        </w:tc>
        <w:tc>
          <w:tcPr>
            <w:tcW w:w="5320" w:type="dxa"/>
            <w:vAlign w:val="bottom"/>
            <w:gridSpan w:val="2"/>
          </w:tcPr>
          <w:p>
            <w:pPr>
              <w:ind w:left="780"/>
              <w:spacing w:after="0"/>
              <w:rPr>
                <w:sz w:val="20"/>
                <w:szCs w:val="20"/>
                <w:color w:val="auto"/>
              </w:rPr>
            </w:pPr>
            <w:r>
              <w:rPr>
                <w:rFonts w:ascii="Arial" w:cs="Arial" w:eastAsia="Arial" w:hAnsi="Arial"/>
                <w:sz w:val="18"/>
                <w:szCs w:val="18"/>
                <w:color w:val="auto"/>
              </w:rPr>
              <w:t>Attest:</w:t>
            </w:r>
          </w:p>
        </w:tc>
      </w:tr>
      <w:tr>
        <w:trPr>
          <w:trHeight w:val="432"/>
        </w:trPr>
        <w:tc>
          <w:tcPr>
            <w:tcW w:w="3800" w:type="dxa"/>
            <w:vAlign w:val="bottom"/>
          </w:tcPr>
          <w:p>
            <w:pPr>
              <w:spacing w:after="0"/>
              <w:rPr>
                <w:sz w:val="24"/>
                <w:szCs w:val="24"/>
                <w:color w:val="auto"/>
              </w:rPr>
            </w:pPr>
          </w:p>
        </w:tc>
        <w:tc>
          <w:tcPr>
            <w:tcW w:w="5320" w:type="dxa"/>
            <w:vAlign w:val="bottom"/>
            <w:gridSpan w:val="2"/>
          </w:tcPr>
          <w:p>
            <w:pPr>
              <w:ind w:left="780"/>
              <w:spacing w:after="0"/>
              <w:rPr>
                <w:sz w:val="20"/>
                <w:szCs w:val="20"/>
                <w:color w:val="auto"/>
              </w:rPr>
            </w:pPr>
            <w:r>
              <w:rPr>
                <w:rFonts w:ascii="Arial" w:cs="Arial" w:eastAsia="Arial" w:hAnsi="Arial"/>
                <w:sz w:val="18"/>
                <w:szCs w:val="18"/>
                <w:color w:val="auto"/>
              </w:rPr>
              <w:t>By:</w:t>
            </w:r>
          </w:p>
        </w:tc>
      </w:tr>
      <w:tr>
        <w:trPr>
          <w:trHeight w:val="195"/>
        </w:trPr>
        <w:tc>
          <w:tcPr>
            <w:tcW w:w="3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3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Vice President and Corporate Secretary</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122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Date of Authentication:</w:t>
            </w:r>
          </w:p>
        </w:tc>
        <w:tc>
          <w:tcPr>
            <w:tcW w:w="6000" w:type="dxa"/>
            <w:vAlign w:val="bottom"/>
            <w:gridSpan w:val="3"/>
          </w:tcPr>
          <w:p>
            <w:pPr>
              <w:ind w:left="1420"/>
              <w:spacing w:after="0"/>
              <w:rPr>
                <w:sz w:val="20"/>
                <w:szCs w:val="20"/>
                <w:color w:val="auto"/>
              </w:rPr>
            </w:pPr>
            <w:r>
              <w:rPr>
                <w:rFonts w:ascii="Arial" w:cs="Arial" w:eastAsia="Arial" w:hAnsi="Arial"/>
                <w:sz w:val="18"/>
                <w:szCs w:val="18"/>
                <w:color w:val="auto"/>
              </w:rPr>
              <w:t>The Bank of New York Mellon Trust Company, N.A., as</w:t>
            </w:r>
          </w:p>
        </w:tc>
      </w:tr>
      <w:tr>
        <w:trPr>
          <w:trHeight w:val="230"/>
        </w:trPr>
        <w:tc>
          <w:tcPr>
            <w:tcW w:w="3140" w:type="dxa"/>
            <w:vAlign w:val="bottom"/>
          </w:tcPr>
          <w:p>
            <w:pPr>
              <w:spacing w:after="0"/>
              <w:rPr>
                <w:sz w:val="20"/>
                <w:szCs w:val="20"/>
                <w:color w:val="auto"/>
              </w:rPr>
            </w:pPr>
          </w:p>
        </w:tc>
        <w:tc>
          <w:tcPr>
            <w:tcW w:w="6000" w:type="dxa"/>
            <w:vAlign w:val="bottom"/>
            <w:gridSpan w:val="3"/>
          </w:tcPr>
          <w:p>
            <w:pPr>
              <w:ind w:left="1420"/>
              <w:spacing w:after="0"/>
              <w:rPr>
                <w:sz w:val="20"/>
                <w:szCs w:val="20"/>
                <w:color w:val="auto"/>
              </w:rPr>
            </w:pPr>
            <w:r>
              <w:rPr>
                <w:rFonts w:ascii="Arial" w:cs="Arial" w:eastAsia="Arial" w:hAnsi="Arial"/>
                <w:sz w:val="18"/>
                <w:szCs w:val="18"/>
                <w:color w:val="auto"/>
              </w:rPr>
              <w:t>Trustee</w:t>
            </w:r>
          </w:p>
        </w:tc>
      </w:tr>
      <w:tr>
        <w:trPr>
          <w:trHeight w:val="432"/>
        </w:trPr>
        <w:tc>
          <w:tcPr>
            <w:tcW w:w="3140" w:type="dxa"/>
            <w:vAlign w:val="bottom"/>
          </w:tcPr>
          <w:p>
            <w:pPr>
              <w:spacing w:after="0"/>
              <w:rPr>
                <w:sz w:val="24"/>
                <w:szCs w:val="24"/>
                <w:color w:val="auto"/>
              </w:rPr>
            </w:pPr>
          </w:p>
        </w:tc>
        <w:tc>
          <w:tcPr>
            <w:tcW w:w="6000" w:type="dxa"/>
            <w:vAlign w:val="bottom"/>
            <w:gridSpan w:val="3"/>
          </w:tcPr>
          <w:p>
            <w:pPr>
              <w:ind w:left="1420"/>
              <w:spacing w:after="0"/>
              <w:rPr>
                <w:sz w:val="20"/>
                <w:szCs w:val="20"/>
                <w:color w:val="auto"/>
              </w:rPr>
            </w:pPr>
            <w:r>
              <w:rPr>
                <w:rFonts w:ascii="Arial" w:cs="Arial" w:eastAsia="Arial" w:hAnsi="Arial"/>
                <w:sz w:val="18"/>
                <w:szCs w:val="18"/>
                <w:color w:val="auto"/>
              </w:rPr>
              <w:t>By:</w:t>
            </w:r>
          </w:p>
        </w:tc>
      </w:tr>
      <w:tr>
        <w:trPr>
          <w:trHeight w:val="224"/>
        </w:trPr>
        <w:tc>
          <w:tcPr>
            <w:tcW w:w="3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Officer</w:t>
            </w:r>
          </w:p>
        </w:tc>
        <w:tc>
          <w:tcPr>
            <w:tcW w:w="20" w:type="dxa"/>
            <w:vAlign w:val="bottom"/>
          </w:tcPr>
          <w:p>
            <w:pPr>
              <w:spacing w:after="0"/>
              <w:rPr>
                <w:sz w:val="19"/>
                <w:szCs w:val="19"/>
                <w:color w:val="auto"/>
              </w:rPr>
            </w:pPr>
          </w:p>
        </w:tc>
      </w:tr>
      <w:tr>
        <w:trPr>
          <w:trHeight w:val="2166"/>
        </w:trPr>
        <w:tc>
          <w:tcPr>
            <w:tcW w:w="3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125" w:right="139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REVERSE OF BOOK-ENTRY SECURITY</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2.95% SENIOR NOTES DUE 2041</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2.95% Senior Notes due 2041 of the Company, in initial aggregate principal amount of $475,000,000 (the “Securities”).</w:t>
      </w:r>
    </w:p>
    <w:p>
      <w:pPr>
        <w:spacing w:after="0" w:line="165" w:lineRule="exact"/>
        <w:rPr>
          <w:sz w:val="20"/>
          <w:szCs w:val="20"/>
          <w:color w:val="auto"/>
        </w:rPr>
      </w:pPr>
    </w:p>
    <w:p>
      <w:pPr>
        <w:ind w:left="1300" w:hanging="647"/>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promises to pay interest on the principal amount of this Security at the rate of 2.95% per annum.</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will pay interest semi-annually on June 1 and December 1 of each year (each an “Interest Payment Date”), commencing December 1, 2021. Interest on the Securities will accrue from the most recent date to which interest has been paid or, if no interest has been paid on the Securities, from May 12, 2021.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2.95% per annum, in each case to the extent lawful.</w:t>
      </w:r>
    </w:p>
    <w:p>
      <w:pPr>
        <w:spacing w:after="0" w:line="195" w:lineRule="exact"/>
        <w:rPr>
          <w:sz w:val="20"/>
          <w:szCs w:val="20"/>
          <w:color w:val="auto"/>
        </w:rPr>
      </w:pPr>
    </w:p>
    <w:p>
      <w:pPr>
        <w:ind w:left="1300" w:hanging="647"/>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1221740</wp:posOffset>
            </wp:positionV>
            <wp:extent cx="579501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71" w:name="page72"/>
    <w:bookmarkEnd w:id="71"/>
    <w:p>
      <w:pPr>
        <w:ind w:left="1300" w:hanging="647"/>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49" w:lineRule="exact"/>
        <w:rPr>
          <w:sz w:val="20"/>
          <w:szCs w:val="20"/>
          <w:color w:val="auto"/>
        </w:rPr>
      </w:pPr>
    </w:p>
    <w:p>
      <w:pPr>
        <w:ind w:left="1300" w:hanging="647"/>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June 23, 2020 (the “Resolutions”) and the written consent of the Sole Director of Waste Management Holdings, Inc. on April 23, 2021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$475,000,000.</w:t>
      </w:r>
    </w:p>
    <w:p>
      <w:pPr>
        <w:spacing w:after="0" w:line="181" w:lineRule="exact"/>
        <w:rPr>
          <w:sz w:val="20"/>
          <w:szCs w:val="20"/>
          <w:color w:val="auto"/>
        </w:rPr>
      </w:pPr>
    </w:p>
    <w:p>
      <w:pPr>
        <w:ind w:left="1300" w:hanging="647"/>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 (ii) 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360-day year consisting of twelve 30-day months) at the applicable Treasury Yield plus 15 basis points; plus, in either case, accrued interest to the Redemption Date.</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1348740</wp:posOffset>
            </wp:positionV>
            <wp:extent cx="579501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57" w:right="1399" w:bottom="1440" w:gutter="0" w:footer="0" w:header="0"/>
        </w:sectPr>
      </w:pPr>
    </w:p>
    <w:bookmarkStart w:id="72" w:name="page73"/>
    <w:bookmarkEnd w:id="72"/>
    <w:p>
      <w:pPr>
        <w:jc w:val="both"/>
        <w:ind w:firstLine="648"/>
        <w:spacing w:after="0" w:line="289" w:lineRule="auto"/>
        <w:rPr>
          <w:sz w:val="20"/>
          <w:szCs w:val="20"/>
          <w:color w:val="auto"/>
        </w:rPr>
      </w:pPr>
      <w:r>
        <w:rPr>
          <w:rFonts w:ascii="Arial" w:cs="Arial" w:eastAsia="Arial" w:hAnsi="Arial"/>
          <w:sz w:val="16"/>
          <w:szCs w:val="16"/>
          <w:color w:val="auto"/>
        </w:rPr>
        <w:t>Securities called for redemption become due on the Redemption Date. Notices of redemption will be mailed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 (or with respect to Securities in global form, by such method as the Depository may require).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 from time to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 Call Date” means December 1, 2040.</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“Reference Treasury Dealer” means (i) each of Credit Suisse Securities (USA) LLC, Goldman Sachs &amp; Co. LLC and Wells Fargo Securities, LLC (and their respective successors or affiliates),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1343025</wp:posOffset>
            </wp:positionV>
            <wp:extent cx="57950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73" w:name="page74"/>
    <w:bookmarkEnd w:id="73"/>
    <w:p>
      <w:pPr>
        <w:jc w:val="both"/>
        <w:ind w:firstLine="648"/>
        <w:spacing w:after="0" w:line="257"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set forth above, the Securities will not be redeemable prior to their Stated Maturity and will not be entitled to the benefit of any sinking fund.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300" w:hanging="647"/>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300" w:right="20" w:hanging="647"/>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accept for payment all Securities or portions of Securities properly tendered and not withdrawn pursuant to the Change of Control Offer;</w:t>
      </w:r>
    </w:p>
    <w:p>
      <w:pPr>
        <w:spacing w:after="0" w:line="170" w:lineRule="exact"/>
        <w:rPr>
          <w:rFonts w:ascii="Arial" w:cs="Arial" w:eastAsia="Arial" w:hAnsi="Arial"/>
          <w:sz w:val="18"/>
          <w:szCs w:val="18"/>
          <w:color w:val="auto"/>
        </w:rPr>
      </w:pPr>
    </w:p>
    <w:p>
      <w:pPr>
        <w:ind w:left="1300" w:hanging="647"/>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1214755</wp:posOffset>
            </wp:positionV>
            <wp:extent cx="57950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74" w:name="page75"/>
    <w:bookmarkEnd w:id="74"/>
    <w:p>
      <w:pPr>
        <w:ind w:left="1300" w:right="20" w:hanging="647"/>
        <w:spacing w:after="0" w:line="342" w:lineRule="auto"/>
        <w:tabs>
          <w:tab w:leader="none" w:pos="13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deliver or cause to be delivered to the Trustee the Securities properly accepted together with an Officers’ Certificate stating the aggregate principal amount of Securities or portions of Securities being repurchased.</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purposes of the Change of Control Offer provisions of the Securities, the following terms are applicable:</w:t>
      </w:r>
    </w:p>
    <w:p>
      <w:pPr>
        <w:spacing w:after="0" w:line="2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1358900</wp:posOffset>
            </wp:positionV>
            <wp:extent cx="57950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773" w:right="1399" w:bottom="1440" w:gutter="0" w:footer="0" w:header="0"/>
        </w:sectPr>
      </w:pPr>
    </w:p>
    <w:bookmarkStart w:id="75" w:name="page76"/>
    <w:bookmarkEnd w:id="75"/>
    <w:p>
      <w:pPr>
        <w:ind w:left="660"/>
        <w:spacing w:after="0"/>
        <w:rPr>
          <w:sz w:val="20"/>
          <w:szCs w:val="20"/>
          <w:color w:val="auto"/>
        </w:rPr>
      </w:pPr>
      <w:r>
        <w:rPr>
          <w:rFonts w:ascii="Arial" w:cs="Arial" w:eastAsia="Arial" w:hAnsi="Arial"/>
          <w:sz w:val="17"/>
          <w:szCs w:val="17"/>
          <w:color w:val="auto"/>
        </w:rPr>
        <w:t>Notwithstanding the preceding, a transaction will not be deemed to involve a Change of Control under clause</w:t>
      </w:r>
    </w:p>
    <w:p>
      <w:pPr>
        <w:spacing w:after="0" w:line="35" w:lineRule="exact"/>
        <w:rPr>
          <w:sz w:val="20"/>
          <w:szCs w:val="20"/>
          <w:color w:val="auto"/>
        </w:rPr>
      </w:pPr>
    </w:p>
    <w:p>
      <w:pPr>
        <w:jc w:val="both"/>
        <w:ind w:firstLine="5"/>
        <w:spacing w:after="0" w:line="270" w:lineRule="auto"/>
        <w:tabs>
          <w:tab w:leader="none" w:pos="232" w:val="left"/>
        </w:tabs>
        <w:numPr>
          <w:ilvl w:val="0"/>
          <w:numId w:val="77"/>
        </w:numPr>
        <w:rPr>
          <w:rFonts w:ascii="Arial" w:cs="Arial" w:eastAsia="Arial" w:hAnsi="Arial"/>
          <w:sz w:val="17"/>
          <w:szCs w:val="17"/>
          <w:color w:val="auto"/>
        </w:rPr>
      </w:pPr>
      <w:r>
        <w:rPr>
          <w:rFonts w:ascii="Arial" w:cs="Arial" w:eastAsia="Arial" w:hAnsi="Arial"/>
          <w:sz w:val="17"/>
          <w:szCs w:val="17"/>
          <w:color w:val="auto"/>
        </w:rPr>
        <w:t>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“Change of Control Triggering Event” means the occurrence of both a Change of Control and a Rating Event.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84" w:lineRule="exact"/>
        <w:rPr>
          <w:sz w:val="20"/>
          <w:szCs w:val="20"/>
          <w:color w:val="auto"/>
        </w:rPr>
      </w:pPr>
    </w:p>
    <w:p>
      <w:pPr>
        <w:ind w:left="1300" w:hanging="647"/>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1351915</wp:posOffset>
            </wp:positionV>
            <wp:extent cx="579501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341" w:right="1399" w:bottom="1440" w:gutter="0" w:footer="0" w:header="0"/>
        </w:sectPr>
      </w:pPr>
    </w:p>
    <w:bookmarkStart w:id="76" w:name="page77"/>
    <w:bookmarkEnd w:id="76"/>
    <w:p>
      <w:pPr>
        <w:ind w:left="1300" w:hanging="647"/>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300" w:hanging="647"/>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65" w:lineRule="exact"/>
        <w:rPr>
          <w:sz w:val="20"/>
          <w:szCs w:val="20"/>
          <w:color w:val="auto"/>
        </w:rPr>
      </w:pPr>
    </w:p>
    <w:p>
      <w:pPr>
        <w:ind w:left="1300" w:hanging="647"/>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1353820</wp:posOffset>
            </wp:positionV>
            <wp:extent cx="57950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341" w:right="1399" w:bottom="1440" w:gutter="0" w:footer="0" w:header="0"/>
        </w:sectPr>
      </w:pPr>
    </w:p>
    <w:bookmarkStart w:id="77" w:name="page78"/>
    <w:bookmarkEnd w:id="77"/>
    <w:p>
      <w:pPr>
        <w:ind w:left="1300" w:hanging="647"/>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4" w:lineRule="exact"/>
        <w:rPr>
          <w:sz w:val="20"/>
          <w:szCs w:val="20"/>
          <w:color w:val="auto"/>
        </w:rPr>
      </w:pPr>
    </w:p>
    <w:p>
      <w:pPr>
        <w:ind w:left="1300" w:hanging="647"/>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Security shall not be valid until the Trustee or authenticating agent signs the certificate of authentication on the other side of this Security.</w:t>
      </w:r>
    </w:p>
    <w:p>
      <w:pPr>
        <w:spacing w:after="0" w:line="170" w:lineRule="exact"/>
        <w:rPr>
          <w:sz w:val="20"/>
          <w:szCs w:val="20"/>
          <w:color w:val="auto"/>
        </w:rPr>
      </w:pPr>
    </w:p>
    <w:p>
      <w:pPr>
        <w:ind w:left="1300" w:hanging="647"/>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4" w:lineRule="exact"/>
        <w:rPr>
          <w:sz w:val="20"/>
          <w:szCs w:val="20"/>
          <w:color w:val="auto"/>
        </w:rPr>
      </w:pPr>
    </w:p>
    <w:p>
      <w:pPr>
        <w:ind w:left="1300" w:hanging="647"/>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7" w:lineRule="exact"/>
        <w:rPr>
          <w:sz w:val="20"/>
          <w:szCs w:val="20"/>
          <w:color w:val="auto"/>
        </w:rPr>
      </w:pPr>
    </w:p>
    <w:p>
      <w:pPr>
        <w:ind w:left="1300" w:hanging="647"/>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65" w:lineRule="exact"/>
        <w:rPr>
          <w:sz w:val="20"/>
          <w:szCs w:val="20"/>
          <w:color w:val="auto"/>
        </w:rPr>
      </w:pPr>
    </w:p>
    <w:p>
      <w:pPr>
        <w:ind w:left="1300" w:hanging="647"/>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64" w:lineRule="exact"/>
        <w:rPr>
          <w:sz w:val="20"/>
          <w:szCs w:val="20"/>
          <w:color w:val="auto"/>
        </w:rPr>
      </w:pPr>
    </w:p>
    <w:p>
      <w:pPr>
        <w:ind w:left="1300" w:hanging="647"/>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1300" w:hanging="647"/>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dated as of May 12, 2021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61" w:lineRule="exact"/>
        <w:rPr>
          <w:sz w:val="20"/>
          <w:szCs w:val="20"/>
          <w:color w:val="auto"/>
        </w:rPr>
      </w:pPr>
    </w:p>
    <w:p>
      <w:pPr>
        <w:ind w:left="1300" w:hanging="647"/>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611505</wp:posOffset>
            </wp:positionV>
            <wp:extent cx="579501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SCHEDULE OF EXCHANGES OF DEFINITIVE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Amount of</w:t>
            </w:r>
          </w:p>
        </w:tc>
        <w:tc>
          <w:tcPr>
            <w:tcW w:w="1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Amount of increase</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Principal Amount</w:t>
            </w:r>
          </w:p>
        </w:tc>
        <w:tc>
          <w:tcPr>
            <w:tcW w:w="17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decrease in</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 Principal</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of this Book-Entry</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 of</w:t>
            </w:r>
          </w:p>
        </w:tc>
      </w:tr>
      <w:tr>
        <w:trPr>
          <w:trHeight w:val="216"/>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Principal Amount</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Amount of this</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Security following</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authorized officer</w:t>
            </w:r>
          </w:p>
        </w:tc>
      </w:tr>
      <w:tr>
        <w:trPr>
          <w:trHeight w:val="216"/>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of this Book-Entry</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Book-Entry</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such decrease (or</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of Trustee or</w:t>
            </w:r>
          </w:p>
        </w:tc>
      </w:tr>
      <w:tr>
        <w:trPr>
          <w:trHeight w:val="241"/>
        </w:trPr>
        <w:tc>
          <w:tcPr>
            <w:tcW w:w="1800" w:type="dxa"/>
            <w:vAlign w:val="bottom"/>
            <w:gridSpan w:val="2"/>
          </w:tcPr>
          <w:p>
            <w:pPr>
              <w:ind w:left="200"/>
              <w:spacing w:after="0"/>
              <w:rPr>
                <w:sz w:val="20"/>
                <w:szCs w:val="20"/>
                <w:color w:val="auto"/>
              </w:rPr>
            </w:pPr>
            <w:r>
              <w:rPr>
                <w:rFonts w:ascii="Arial" w:cs="Arial" w:eastAsia="Arial" w:hAnsi="Arial"/>
                <w:sz w:val="18"/>
                <w:szCs w:val="18"/>
                <w:b w:val="1"/>
                <w:bCs w:val="1"/>
                <w:color w:val="auto"/>
              </w:rPr>
              <w:t>Date of Exchange</w:t>
            </w: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Security</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Security</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increase)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 Custodian</w:t>
            </w:r>
          </w:p>
        </w:tc>
      </w:tr>
      <w:tr>
        <w:trPr>
          <w:trHeight w:val="803"/>
        </w:trPr>
        <w:tc>
          <w:tcPr>
            <w:tcW w:w="17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9120"/>
          </w:cols>
          <w:pgMar w:left="1380" w:top="341" w:right="139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Favor of The Bank of New York Mellon Trust Company, N.A., as Trustee for the 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$475,000,000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 Senior Notes due 2029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GUARANTEE, dated as of May 12, 2021 (as amended from time to time, this “Guarantee”), made by Waste Management Holdings, Inc. (formerly known as Waste Management, Inc.), a Delaware corporation (the “Guarantor”), in favor of The Bank of New York Mellon Trust Company, N.A., as trustee for the holders of the $475 million aggregate principal amount of 2.00% Senior Notes due 2029 (the “Debt Securities”) of Waste Management, Inc. (formerly known as USA Waste Services, Inc.), a Delaware corporation (the “Issuer”).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25" w:lineRule="exact"/>
        <w:rPr>
          <w:sz w:val="20"/>
          <w:szCs w:val="20"/>
          <w:color w:val="auto"/>
        </w:rPr>
      </w:pPr>
    </w:p>
    <w:p>
      <w:pPr>
        <w:jc w:val="both"/>
        <w:ind w:firstLine="1289"/>
        <w:spacing w:after="0" w:line="254" w:lineRule="auto"/>
        <w:tabs>
          <w:tab w:leader="none" w:pos="189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4" w:lineRule="exact"/>
        <w:rPr>
          <w:rFonts w:ascii="Arial" w:cs="Arial" w:eastAsia="Arial" w:hAnsi="Arial"/>
          <w:sz w:val="18"/>
          <w:szCs w:val="18"/>
          <w:color w:val="auto"/>
        </w:rPr>
      </w:pPr>
    </w:p>
    <w:p>
      <w:pPr>
        <w:jc w:val="both"/>
        <w:ind w:firstLine="1289"/>
        <w:spacing w:after="0" w:line="254" w:lineRule="auto"/>
        <w:tabs>
          <w:tab w:leader="none" w:pos="1845" w:val="left"/>
        </w:tabs>
        <w:numPr>
          <w:ilvl w:val="0"/>
          <w:numId w:val="91"/>
        </w:numPr>
        <w:rPr>
          <w:rFonts w:ascii="Arial" w:cs="Arial" w:eastAsia="Arial" w:hAnsi="Arial"/>
          <w:sz w:val="18"/>
          <w:szCs w:val="18"/>
          <w:color w:val="auto"/>
        </w:rPr>
      </w:pPr>
      <w:r>
        <w:rPr>
          <w:rFonts w:ascii="Arial" w:cs="Arial" w:eastAsia="Arial" w:hAnsi="Arial"/>
          <w:sz w:val="18"/>
          <w:szCs w:val="18"/>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Guarantee Absolute</w:t>
      </w:r>
      <w:r>
        <w:rPr>
          <w:rFonts w:ascii="Arial" w:cs="Arial" w:eastAsia="Arial" w:hAnsi="Arial"/>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7" w:lineRule="exact"/>
        <w:rPr>
          <w:sz w:val="20"/>
          <w:szCs w:val="20"/>
          <w:color w:val="auto"/>
        </w:rPr>
      </w:pPr>
    </w:p>
    <w:p>
      <w:pPr>
        <w:ind w:left="320" w:firstLine="969"/>
        <w:spacing w:after="0" w:line="277" w:lineRule="auto"/>
        <w:tabs>
          <w:tab w:leader="none" w:pos="19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170" w:lineRule="exact"/>
        <w:rPr>
          <w:rFonts w:ascii="Arial" w:cs="Arial" w:eastAsia="Arial" w:hAnsi="Arial"/>
          <w:sz w:val="18"/>
          <w:szCs w:val="18"/>
          <w:color w:val="auto"/>
        </w:rPr>
      </w:pPr>
    </w:p>
    <w:p>
      <w:pPr>
        <w:ind w:left="320" w:firstLine="969"/>
        <w:spacing w:after="0" w:line="277" w:lineRule="auto"/>
        <w:tabs>
          <w:tab w:leader="none" w:pos="19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460375</wp:posOffset>
            </wp:positionV>
            <wp:extent cx="595757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80" w:name="page81"/>
    <w:bookmarkEnd w:id="80"/>
    <w:p>
      <w:pPr>
        <w:ind w:left="320" w:right="20" w:firstLine="969"/>
        <w:spacing w:after="0" w:line="277" w:lineRule="auto"/>
        <w:tabs>
          <w:tab w:leader="none" w:pos="1876"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386" w:lineRule="exact"/>
        <w:rPr>
          <w:rFonts w:ascii="Arial" w:cs="Arial" w:eastAsia="Arial" w:hAnsi="Arial"/>
          <w:sz w:val="18"/>
          <w:szCs w:val="18"/>
          <w:color w:val="auto"/>
        </w:rPr>
      </w:pPr>
    </w:p>
    <w:p>
      <w:pPr>
        <w:ind w:left="1880" w:hanging="591"/>
        <w:spacing w:after="0"/>
        <w:tabs>
          <w:tab w:leader="none" w:pos="18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other circumstance which might otherwise constitute a defense available to, or a discharge of, the</w:t>
      </w:r>
    </w:p>
    <w:p>
      <w:pPr>
        <w:spacing w:after="0" w:line="46"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Issuer or a guarantor.</w:t>
      </w:r>
    </w:p>
    <w:p>
      <w:pPr>
        <w:spacing w:after="0" w:line="21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r>
        <w:rPr>
          <w:rFonts w:ascii="Arial" w:cs="Arial" w:eastAsia="Arial" w:hAnsi="Arial"/>
          <w:sz w:val="18"/>
          <w:szCs w:val="18"/>
          <w:color w:val="auto"/>
        </w:rPr>
        <w:t>.</w:t>
      </w:r>
    </w:p>
    <w:p>
      <w:pPr>
        <w:spacing w:after="0" w:line="225" w:lineRule="exact"/>
        <w:rPr>
          <w:sz w:val="20"/>
          <w:szCs w:val="20"/>
          <w:color w:val="auto"/>
        </w:rPr>
      </w:pPr>
    </w:p>
    <w:p>
      <w:pPr>
        <w:jc w:val="both"/>
        <w:ind w:firstLine="1289"/>
        <w:spacing w:after="0" w:line="259" w:lineRule="auto"/>
        <w:tabs>
          <w:tab w:leader="none" w:pos="1831"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6" w:lineRule="exact"/>
        <w:rPr>
          <w:rFonts w:ascii="Arial" w:cs="Arial" w:eastAsia="Arial" w:hAnsi="Arial"/>
          <w:sz w:val="18"/>
          <w:szCs w:val="18"/>
          <w:color w:val="auto"/>
        </w:rPr>
      </w:pPr>
    </w:p>
    <w:p>
      <w:pPr>
        <w:jc w:val="both"/>
        <w:ind w:firstLine="1289"/>
        <w:spacing w:after="0" w:line="279" w:lineRule="auto"/>
        <w:tabs>
          <w:tab w:leader="none" w:pos="1959"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7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No Waiver, Remedies</w:t>
      </w:r>
      <w:r>
        <w:rPr>
          <w:rFonts w:ascii="Arial" w:cs="Arial" w:eastAsia="Arial" w:hAnsi="Arial"/>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Fifth Amended and Restated Revolving Credit Agreement dated as of November 7, 2019 by and among the Issuer, Waste Management of Canada Corporation, WM Quebec Inc.,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6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Amendment</w:t>
      </w:r>
      <w:r>
        <w:rPr>
          <w:rFonts w:ascii="Arial" w:cs="Arial" w:eastAsia="Arial" w:hAnsi="Arial"/>
          <w:sz w:val="17"/>
          <w:szCs w:val="17"/>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1085850</wp:posOffset>
            </wp:positionV>
            <wp:extent cx="59575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81" w:name="page82"/>
    <w:bookmarkEnd w:id="81"/>
    <w:p>
      <w:pPr>
        <w:ind w:firstLine="648"/>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8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WASTE MANAGEMENT HOLDINGS,INC.</w:t>
      </w:r>
    </w:p>
    <w:p>
      <w:pPr>
        <w:spacing w:after="0" w:line="200" w:lineRule="exact"/>
        <w:rPr>
          <w:sz w:val="20"/>
          <w:szCs w:val="20"/>
          <w:color w:val="auto"/>
        </w:rPr>
      </w:pPr>
    </w:p>
    <w:p>
      <w:pPr>
        <w:spacing w:after="0" w:line="241" w:lineRule="exact"/>
        <w:rPr>
          <w:sz w:val="20"/>
          <w:szCs w:val="20"/>
          <w:color w:val="auto"/>
        </w:rPr>
      </w:pPr>
    </w:p>
    <w:p>
      <w:pPr>
        <w:ind w:left="470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14605</wp:posOffset>
            </wp:positionV>
            <wp:extent cx="27343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David L. Reed</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ind w:left="470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14605</wp:posOffset>
            </wp:positionV>
            <wp:extent cx="27343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Jeff Bennett</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Assistant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Guarantee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(2.00%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59575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60"/>
          </w:cols>
          <w:pgMar w:left="1260" w:top="125" w:right="127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Favor of The Bank of New York Mellon Trust Company, N.A., as Trustee for the 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$475,000,000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2.95% Senior Notes due 2041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12,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GUARANTEE, dated as of May 12, 2021 (as amended from time to time, this “Guarantee”), made by Waste Management Holdings, Inc. (formerly known as Waste Management, Inc.), a Delaware corporation (the “Guarantor”), in favor of The Bank of New York Mellon Trust Company, N.A., as trustee for the holders of the $475 million aggregate principal amount of 2.95% Senior Notes due 2041 (the “Debt Securities”) of Waste Management, Inc. (formerly known as USA Waste Services, Inc.), a Delaware corporation (the “Issuer”).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25" w:lineRule="exact"/>
        <w:rPr>
          <w:sz w:val="20"/>
          <w:szCs w:val="20"/>
          <w:color w:val="auto"/>
        </w:rPr>
      </w:pPr>
    </w:p>
    <w:p>
      <w:pPr>
        <w:jc w:val="both"/>
        <w:ind w:firstLine="1289"/>
        <w:spacing w:after="0" w:line="254" w:lineRule="auto"/>
        <w:tabs>
          <w:tab w:leader="none" w:pos="209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4" w:lineRule="exact"/>
        <w:rPr>
          <w:rFonts w:ascii="Arial" w:cs="Arial" w:eastAsia="Arial" w:hAnsi="Arial"/>
          <w:sz w:val="18"/>
          <w:szCs w:val="18"/>
          <w:color w:val="auto"/>
        </w:rPr>
      </w:pPr>
    </w:p>
    <w:p>
      <w:pPr>
        <w:jc w:val="both"/>
        <w:ind w:firstLine="1289"/>
        <w:spacing w:after="0" w:line="254" w:lineRule="auto"/>
        <w:tabs>
          <w:tab w:leader="none" w:pos="1888"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Guarantee Absolute</w:t>
      </w:r>
      <w:r>
        <w:rPr>
          <w:rFonts w:ascii="Arial" w:cs="Arial" w:eastAsia="Arial" w:hAnsi="Arial"/>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7" w:lineRule="exact"/>
        <w:rPr>
          <w:sz w:val="20"/>
          <w:szCs w:val="20"/>
          <w:color w:val="auto"/>
        </w:rPr>
      </w:pPr>
    </w:p>
    <w:p>
      <w:pPr>
        <w:ind w:left="320" w:right="20" w:firstLine="969"/>
        <w:spacing w:after="0" w:line="277" w:lineRule="auto"/>
        <w:tabs>
          <w:tab w:leader="none" w:pos="2156"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170" w:lineRule="exact"/>
        <w:rPr>
          <w:rFonts w:ascii="Arial" w:cs="Arial" w:eastAsia="Arial" w:hAnsi="Arial"/>
          <w:sz w:val="18"/>
          <w:szCs w:val="18"/>
          <w:color w:val="auto"/>
        </w:rPr>
      </w:pPr>
    </w:p>
    <w:p>
      <w:pPr>
        <w:ind w:left="320" w:right="20" w:firstLine="969"/>
        <w:spacing w:after="0" w:line="277" w:lineRule="auto"/>
        <w:tabs>
          <w:tab w:leader="none" w:pos="2316"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460375</wp:posOffset>
            </wp:positionV>
            <wp:extent cx="59575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83" w:name="page84"/>
    <w:bookmarkEnd w:id="83"/>
    <w:p>
      <w:pPr>
        <w:ind w:left="320" w:firstLine="969"/>
        <w:spacing w:after="0" w:line="277" w:lineRule="auto"/>
        <w:tabs>
          <w:tab w:leader="none" w:pos="2144"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170" w:lineRule="exact"/>
        <w:rPr>
          <w:rFonts w:ascii="Arial" w:cs="Arial" w:eastAsia="Arial" w:hAnsi="Arial"/>
          <w:sz w:val="18"/>
          <w:szCs w:val="18"/>
          <w:color w:val="auto"/>
        </w:rPr>
      </w:pPr>
    </w:p>
    <w:p>
      <w:pPr>
        <w:ind w:left="2200" w:hanging="911"/>
        <w:spacing w:after="0"/>
        <w:tabs>
          <w:tab w:leader="none" w:pos="22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other circumstance which might otherwise constitute a defense available to, or a discharge of,</w:t>
      </w:r>
    </w:p>
    <w:p>
      <w:pPr>
        <w:spacing w:after="0" w:line="46"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the Issuer or a guarantor.</w:t>
      </w:r>
    </w:p>
    <w:p>
      <w:pPr>
        <w:spacing w:after="0" w:line="21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89"/>
        <w:spacing w:after="0" w:line="259" w:lineRule="auto"/>
        <w:tabs>
          <w:tab w:leader="none" w:pos="20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6" w:lineRule="exact"/>
        <w:rPr>
          <w:rFonts w:ascii="Arial" w:cs="Arial" w:eastAsia="Arial" w:hAnsi="Arial"/>
          <w:sz w:val="18"/>
          <w:szCs w:val="18"/>
          <w:color w:val="auto"/>
        </w:rPr>
      </w:pPr>
    </w:p>
    <w:p>
      <w:pPr>
        <w:jc w:val="both"/>
        <w:ind w:firstLine="1289"/>
        <w:spacing w:after="0" w:line="279" w:lineRule="auto"/>
        <w:tabs>
          <w:tab w:leader="none" w:pos="2148"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7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No Waiver, Remedies</w:t>
      </w:r>
      <w:r>
        <w:rPr>
          <w:rFonts w:ascii="Arial" w:cs="Arial" w:eastAsia="Arial" w:hAnsi="Arial"/>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Fifth Amended and Restated Revolving Credit Agreement dated as of November 7, 2019 by and among the Issuer, Waste Management of Canada Corporation, WM Quebec Inc.,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6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Amendment</w:t>
      </w:r>
      <w:r>
        <w:rPr>
          <w:rFonts w:ascii="Arial" w:cs="Arial" w:eastAsia="Arial" w:hAnsi="Arial"/>
          <w:sz w:val="17"/>
          <w:szCs w:val="17"/>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605790</wp:posOffset>
            </wp:positionV>
            <wp:extent cx="595757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84" w:name="page85"/>
    <w:bookmarkEnd w:id="84"/>
    <w:p>
      <w:pPr>
        <w:ind w:firstLine="648"/>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WASTE MANAGEMENT HOLDINGS, INC.</w:t>
      </w:r>
    </w:p>
    <w:p>
      <w:pPr>
        <w:spacing w:after="0" w:line="239" w:lineRule="exact"/>
        <w:rPr>
          <w:sz w:val="20"/>
          <w:szCs w:val="20"/>
          <w:color w:val="auto"/>
        </w:rPr>
      </w:pPr>
    </w:p>
    <w:p>
      <w:pPr>
        <w:ind w:left="4680"/>
        <w:spacing w:after="0"/>
        <w:tabs>
          <w:tab w:leader="none" w:pos="5160" w:val="left"/>
        </w:tabs>
        <w:rPr>
          <w:sz w:val="20"/>
          <w:szCs w:val="20"/>
          <w:color w:val="auto"/>
        </w:rPr>
      </w:pPr>
      <w:r>
        <w:rPr>
          <w:rFonts w:ascii="Arial" w:cs="Arial" w:eastAsia="Arial" w:hAnsi="Arial"/>
          <w:sz w:val="18"/>
          <w:szCs w:val="18"/>
          <w:color w:val="auto"/>
        </w:rPr>
        <w:t>By:</w:t>
        <w:tab/>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14605</wp:posOffset>
            </wp:positionV>
            <wp:extent cx="26828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David L. Reed</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Vice President and Treasurer</w:t>
      </w:r>
    </w:p>
    <w:p>
      <w:pPr>
        <w:spacing w:after="0" w:line="238" w:lineRule="exact"/>
        <w:rPr>
          <w:sz w:val="20"/>
          <w:szCs w:val="20"/>
          <w:color w:val="auto"/>
        </w:rPr>
      </w:pPr>
    </w:p>
    <w:p>
      <w:pPr>
        <w:ind w:left="4680"/>
        <w:spacing w:after="0"/>
        <w:tabs>
          <w:tab w:leader="none" w:pos="5160" w:val="left"/>
        </w:tabs>
        <w:rPr>
          <w:sz w:val="20"/>
          <w:szCs w:val="20"/>
          <w:color w:val="auto"/>
        </w:rPr>
      </w:pPr>
      <w:r>
        <w:rPr>
          <w:rFonts w:ascii="Arial" w:cs="Arial" w:eastAsia="Arial" w:hAnsi="Arial"/>
          <w:sz w:val="18"/>
          <w:szCs w:val="18"/>
          <w:color w:val="auto"/>
        </w:rPr>
        <w:t>By:</w:t>
        <w:tab/>
        <w:t>/s/ 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14605</wp:posOffset>
            </wp:positionV>
            <wp:extent cx="26828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Jeff Bennett</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Assistant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Guarantee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(2.95% Senior Notes due 2041)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59575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60"/>
          </w:cols>
          <w:pgMar w:left="1260" w:top="125" w:right="127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GUARANTOR SUBSIDIARY</w:t>
      </w:r>
    </w:p>
    <w:p>
      <w:pPr>
        <w:spacing w:after="0" w:line="202"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As of June 30, 2021,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7"/>
              </w:rPr>
              <w:t>Principal</w:t>
            </w:r>
          </w:p>
        </w:tc>
        <w:tc>
          <w:tcPr>
            <w:tcW w:w="26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Interest Rate</w:t>
            </w: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4"/>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5"/>
              </w:rPr>
              <w:t>Issued</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(per annum)</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CCEEFF"/>
            </w:tcBorders>
            <w:vMerge w:val="continue"/>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million</w:t>
            </w:r>
          </w:p>
        </w:tc>
        <w:tc>
          <w:tcPr>
            <w:tcW w:w="8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250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7.375%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12/21/1999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7.75%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5/21/2002</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6.125%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11/12/2009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9/12/2012</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9/15/2022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350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3.50%</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5/8/2014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3.125%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450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3.90%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3/1/2035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3/1/2045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2.40%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5/16/2016</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11/8/2017</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4.15%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6/15/2049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1.15%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3/15/2031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2.50%</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11/15/2050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6/1/2029</w:t>
            </w:r>
          </w:p>
        </w:tc>
        <w:tc>
          <w:tcPr>
            <w:tcW w:w="0" w:type="dxa"/>
            <w:vAlign w:val="bottom"/>
          </w:tcPr>
          <w:p>
            <w:pPr>
              <w:spacing w:after="0"/>
              <w:rPr>
                <w:sz w:val="1"/>
                <w:szCs w:val="1"/>
                <w:color w:val="auto"/>
              </w:rPr>
            </w:pPr>
          </w:p>
        </w:tc>
      </w:tr>
      <w:tr>
        <w:trPr>
          <w:trHeight w:val="23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475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2.95%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5/12/2021</w:t>
            </w:r>
          </w:p>
        </w:tc>
        <w:tc>
          <w:tcPr>
            <w:tcW w:w="8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6/1/2041</w:t>
            </w:r>
          </w:p>
        </w:tc>
        <w:tc>
          <w:tcPr>
            <w:tcW w:w="0" w:type="dxa"/>
            <w:vAlign w:val="bottom"/>
          </w:tcPr>
          <w:p>
            <w:pPr>
              <w:spacing w:after="0"/>
              <w:rPr>
                <w:sz w:val="1"/>
                <w:szCs w:val="1"/>
                <w:color w:val="auto"/>
              </w:rPr>
            </w:pPr>
          </w:p>
        </w:tc>
      </w:tr>
      <w:tr>
        <w:trPr>
          <w:trHeight w:val="749"/>
        </w:trPr>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86" w:name="page87"/>
    <w:bookmarkEnd w:id="8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James C. Fish, Jr., certify that:</w:t>
      </w:r>
    </w:p>
    <w:p>
      <w:pPr>
        <w:spacing w:after="0" w:line="158" w:lineRule="exact"/>
        <w:rPr>
          <w:sz w:val="20"/>
          <w:szCs w:val="20"/>
          <w:color w:val="auto"/>
        </w:rPr>
      </w:pPr>
    </w:p>
    <w:p>
      <w:pPr>
        <w:ind w:left="600" w:hanging="226"/>
        <w:spacing w:after="0"/>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left="60" w:right="79" w:firstLine="314"/>
        <w:spacing w:after="0" w:line="263" w:lineRule="auto"/>
        <w:tabs>
          <w:tab w:leader="none" w:pos="619"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0" w:right="239" w:firstLine="314"/>
        <w:spacing w:after="0" w:line="263" w:lineRule="auto"/>
        <w:tabs>
          <w:tab w:leader="none" w:pos="624"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0" w:right="119" w:firstLine="314"/>
        <w:spacing w:after="0" w:line="286" w:lineRule="auto"/>
        <w:tabs>
          <w:tab w:leader="none" w:pos="599"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80" w:right="99" w:firstLine="318"/>
        <w:spacing w:after="0" w:line="259" w:lineRule="auto"/>
        <w:tabs>
          <w:tab w:leader="none" w:pos="969"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80" w:right="79" w:firstLine="318"/>
        <w:spacing w:after="0" w:line="259" w:lineRule="auto"/>
        <w:tabs>
          <w:tab w:leader="none" w:pos="959"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80" w:right="239" w:firstLine="318"/>
        <w:spacing w:after="0" w:line="263" w:lineRule="auto"/>
        <w:tabs>
          <w:tab w:leader="none" w:pos="959"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80" w:right="99" w:firstLine="318"/>
        <w:spacing w:after="0" w:line="259" w:lineRule="auto"/>
        <w:tabs>
          <w:tab w:leader="none" w:pos="969"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60" w:right="359" w:firstLine="314"/>
        <w:spacing w:after="0" w:line="263" w:lineRule="auto"/>
        <w:tabs>
          <w:tab w:leader="none" w:pos="59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380" w:right="99" w:firstLine="318"/>
        <w:spacing w:after="0" w:line="263" w:lineRule="auto"/>
        <w:tabs>
          <w:tab w:leader="none" w:pos="959"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80" w:right="179" w:firstLine="318"/>
        <w:spacing w:after="0" w:line="277" w:lineRule="auto"/>
        <w:tabs>
          <w:tab w:leader="none" w:pos="949"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26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26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7" w:name="page88"/>
    <w:bookmarkEnd w:id="8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Devina A. Rankin, certify that:</w:t>
      </w:r>
    </w:p>
    <w:p>
      <w:pPr>
        <w:spacing w:after="0" w:line="158" w:lineRule="exact"/>
        <w:rPr>
          <w:sz w:val="20"/>
          <w:szCs w:val="20"/>
          <w:color w:val="auto"/>
        </w:rPr>
      </w:pPr>
    </w:p>
    <w:p>
      <w:pPr>
        <w:ind w:left="600" w:hanging="226"/>
        <w:spacing w:after="0"/>
        <w:tabs>
          <w:tab w:leader="none" w:pos="6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left="60" w:right="79" w:firstLine="314"/>
        <w:spacing w:after="0" w:line="263" w:lineRule="auto"/>
        <w:tabs>
          <w:tab w:leader="none" w:pos="61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0" w:right="239" w:firstLine="314"/>
        <w:spacing w:after="0" w:line="263" w:lineRule="auto"/>
        <w:tabs>
          <w:tab w:leader="none" w:pos="62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0" w:right="119" w:firstLine="314"/>
        <w:spacing w:after="0" w:line="286" w:lineRule="auto"/>
        <w:tabs>
          <w:tab w:leader="none" w:pos="59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80" w:right="99" w:firstLine="318"/>
        <w:spacing w:after="0" w:line="259" w:lineRule="auto"/>
        <w:tabs>
          <w:tab w:leader="none" w:pos="96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80" w:right="79" w:firstLine="318"/>
        <w:spacing w:after="0" w:line="259" w:lineRule="auto"/>
        <w:tabs>
          <w:tab w:leader="none" w:pos="95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80" w:right="239" w:firstLine="318"/>
        <w:spacing w:after="0" w:line="263" w:lineRule="auto"/>
        <w:tabs>
          <w:tab w:leader="none" w:pos="95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80" w:right="99" w:firstLine="318"/>
        <w:spacing w:after="0" w:line="259" w:lineRule="auto"/>
        <w:tabs>
          <w:tab w:leader="none" w:pos="96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60" w:right="359" w:firstLine="314"/>
        <w:spacing w:after="0" w:line="263" w:lineRule="auto"/>
        <w:tabs>
          <w:tab w:leader="none" w:pos="59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380" w:right="99" w:firstLine="318"/>
        <w:spacing w:after="0" w:line="263" w:lineRule="auto"/>
        <w:tabs>
          <w:tab w:leader="none" w:pos="95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80" w:right="179" w:firstLine="318"/>
        <w:spacing w:after="0" w:line="277" w:lineRule="auto"/>
        <w:tabs>
          <w:tab w:leader="none" w:pos="94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28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2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8" w:name="page89"/>
    <w:bookmarkEnd w:id="88"/>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2021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380" w:right="239" w:firstLine="318"/>
        <w:spacing w:after="0" w:line="277" w:lineRule="auto"/>
        <w:tabs>
          <w:tab w:leader="none" w:pos="100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80" w:right="319" w:firstLine="318"/>
        <w:spacing w:after="0" w:line="277" w:lineRule="auto"/>
        <w:tabs>
          <w:tab w:leader="none" w:pos="100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32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July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9" w:name="page90"/>
    <w:bookmarkEnd w:id="89"/>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2021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380" w:right="239" w:firstLine="318"/>
        <w:spacing w:after="0" w:line="277" w:lineRule="auto"/>
        <w:tabs>
          <w:tab w:leader="none" w:pos="100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80" w:right="59" w:firstLine="318"/>
        <w:spacing w:after="0" w:line="277" w:lineRule="auto"/>
        <w:tabs>
          <w:tab w:leader="none" w:pos="103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20" w:type="dxa"/>
            <w:vAlign w:val="bottom"/>
          </w:tcPr>
          <w:p>
            <w:pPr>
              <w:spacing w:after="0"/>
              <w:rPr>
                <w:sz w:val="16"/>
                <w:szCs w:val="16"/>
                <w:color w:val="auto"/>
              </w:rPr>
            </w:pPr>
          </w:p>
        </w:tc>
        <w:tc>
          <w:tcPr>
            <w:tcW w:w="446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July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0" w:name="page91"/>
    <w:bookmarkEnd w:id="90"/>
    <w:p>
      <w:pPr>
        <w:jc w:val="right"/>
        <w:ind w:right="59"/>
        <w:spacing w:after="0"/>
        <w:rPr>
          <w:sz w:val="20"/>
          <w:szCs w:val="20"/>
          <w:color w:val="auto"/>
        </w:rPr>
      </w:pPr>
      <w:r>
        <w:rPr>
          <w:rFonts w:ascii="Arial" w:cs="Arial" w:eastAsia="Arial" w:hAnsi="Arial"/>
          <w:sz w:val="18"/>
          <w:szCs w:val="18"/>
          <w:b w:val="1"/>
          <w:bCs w:val="1"/>
          <w:color w:val="auto"/>
        </w:rPr>
        <w:t>Exhibit 95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0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50" w:lineRule="exact"/>
        <w:rPr>
          <w:sz w:val="20"/>
          <w:szCs w:val="20"/>
          <w:color w:val="auto"/>
        </w:rPr>
      </w:pPr>
    </w:p>
    <w:p>
      <w:pPr>
        <w:jc w:val="both"/>
        <w:ind w:left="60" w:right="59" w:firstLine="324"/>
        <w:spacing w:after="0" w:line="238" w:lineRule="auto"/>
        <w:rPr>
          <w:sz w:val="20"/>
          <w:szCs w:val="20"/>
          <w:color w:val="auto"/>
        </w:rPr>
      </w:pPr>
      <w:r>
        <w:rPr>
          <w:rFonts w:ascii="Arial" w:cs="Arial" w:eastAsia="Arial" w:hAnsi="Arial"/>
          <w:sz w:val="18"/>
          <w:szCs w:val="18"/>
          <w:color w:val="auto"/>
        </w:rPr>
        <w:t>During the quarter ended June 30, 2021,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8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7"/>
          <w:szCs w:val="17"/>
          <w:color w:val="auto"/>
        </w:rPr>
        <w:t>In addition, during the quarter ended June 30, 2021,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325120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decimal"/>
      <w:start w:val="2"/>
    </w:lvl>
  </w:abstractNum>
  <w:abstractNum w:abstractNumId="3">
    <w:nsid w:val="70C6A529"/>
    <w:multiLevelType w:val="hybridMultilevel"/>
    <w:lvl w:ilvl="0">
      <w:lvlJc w:val="left"/>
      <w:lvlText w:val="%1."/>
      <w:numFmt w:val="decimal"/>
      <w:start w:val="3"/>
    </w:lvl>
  </w:abstractNum>
  <w:abstractNum w:abstractNumId="4">
    <w:nsid w:val="520EEDD1"/>
    <w:multiLevelType w:val="hybridMultilevel"/>
    <w:lvl w:ilvl="0">
      <w:lvlJc w:val="left"/>
      <w:lvlText w:val="(%1)"/>
      <w:numFmt w:val="lowerLetter"/>
      <w:start w:val="1"/>
    </w:lvl>
  </w:abstractNum>
  <w:abstractNum w:abstractNumId="5">
    <w:nsid w:val="374A3FE6"/>
    <w:multiLevelType w:val="hybridMultilevel"/>
    <w:lvl w:ilvl="0">
      <w:lvlJc w:val="left"/>
      <w:lvlText w:val="(%1)"/>
      <w:numFmt w:val="lowerRoman"/>
      <w:start w:val="3"/>
    </w:lvl>
  </w:abstractNum>
  <w:abstractNum w:abstractNumId="6">
    <w:nsid w:val="4F4EF005"/>
    <w:multiLevelType w:val="hybridMultilevel"/>
    <w:lvl w:ilvl="0">
      <w:lvlJc w:val="left"/>
      <w:lvlText w:val="%1."/>
      <w:numFmt w:val="decimal"/>
      <w:start w:val="4"/>
    </w:lvl>
  </w:abstractNum>
  <w:abstractNum w:abstractNumId="7">
    <w:nsid w:val="23F9C13C"/>
    <w:multiLevelType w:val="hybridMultilevel"/>
    <w:lvl w:ilvl="0">
      <w:lvlJc w:val="left"/>
      <w:lvlText w:val="(%1)"/>
      <w:numFmt w:val="lowerRoman"/>
      <w:start w:val="1"/>
    </w:lvl>
  </w:abstractNum>
  <w:abstractNum w:abstractNumId="8">
    <w:nsid w:val="649BB77C"/>
    <w:multiLevelType w:val="hybridMultilevel"/>
    <w:lvl w:ilvl="0">
      <w:lvlJc w:val="left"/>
      <w:lvlText w:val="%1."/>
      <w:numFmt w:val="decimal"/>
      <w:start w:val="5"/>
    </w:lvl>
  </w:abstractNum>
  <w:abstractNum w:abstractNumId="9">
    <w:nsid w:val="275AC794"/>
    <w:multiLevelType w:val="hybridMultilevel"/>
    <w:lvl w:ilvl="0">
      <w:lvlJc w:val="left"/>
      <w:lvlText w:val="%1."/>
      <w:numFmt w:val="decimal"/>
      <w:start w:val="6"/>
    </w:lvl>
  </w:abstractNum>
  <w:abstractNum w:abstractNumId="10">
    <w:nsid w:val="39386575"/>
    <w:multiLevelType w:val="hybridMultilevel"/>
    <w:lvl w:ilvl="0">
      <w:lvlJc w:val="left"/>
      <w:lvlText w:val="%1."/>
      <w:numFmt w:val="decimal"/>
      <w:start w:val="7"/>
    </w:lvl>
  </w:abstractNum>
  <w:abstractNum w:abstractNumId="11">
    <w:nsid w:val="1CF10FD8"/>
    <w:multiLevelType w:val="hybridMultilevel"/>
    <w:lvl w:ilvl="0">
      <w:lvlJc w:val="left"/>
      <w:lvlText w:val="(%1)"/>
      <w:numFmt w:val="lowerLetter"/>
      <w:start w:val="1"/>
    </w:lvl>
    <w:lvl w:ilvl="1">
      <w:lvlJc w:val="left"/>
      <w:lvlText w:val="(%2)"/>
      <w:numFmt w:val="lowerLetter"/>
      <w:start w:val="35"/>
    </w:lvl>
  </w:abstractNum>
  <w:abstractNum w:abstractNumId="12">
    <w:nsid w:val="180115BE"/>
    <w:multiLevelType w:val="hybridMultilevel"/>
    <w:lvl w:ilvl="0">
      <w:lvlJc w:val="left"/>
      <w:lvlText w:val="(%1)"/>
      <w:numFmt w:val="lowerLetter"/>
      <w:start w:val="2"/>
    </w:lvl>
  </w:abstractNum>
  <w:abstractNum w:abstractNumId="13">
    <w:nsid w:val="235BA861"/>
    <w:multiLevelType w:val="hybridMultilevel"/>
    <w:lvl w:ilvl="0">
      <w:lvlJc w:val="left"/>
      <w:lvlText w:val="(%1)"/>
      <w:numFmt w:val="lowerLetter"/>
      <w:start w:val="3"/>
    </w:lvl>
  </w:abstractNum>
  <w:abstractNum w:abstractNumId="14">
    <w:nsid w:val="47398C89"/>
    <w:multiLevelType w:val="hybridMultilevel"/>
    <w:lvl w:ilvl="0">
      <w:lvlJc w:val="left"/>
      <w:lvlText w:val="(%1)"/>
      <w:numFmt w:val="lowerLetter"/>
      <w:start w:val="1"/>
    </w:lvl>
  </w:abstractNum>
  <w:abstractNum w:abstractNumId="15">
    <w:nsid w:val="354FE9F9"/>
    <w:multiLevelType w:val="hybridMultilevel"/>
    <w:lvl w:ilvl="0">
      <w:lvlJc w:val="left"/>
      <w:lvlText w:val="(%1)"/>
      <w:numFmt w:val="lowerLetter"/>
      <w:start w:val="2"/>
    </w:lvl>
  </w:abstractNum>
  <w:abstractNum w:abstractNumId="16">
    <w:nsid w:val="15B5AF5C"/>
    <w:multiLevelType w:val="hybridMultilevel"/>
    <w:lvl w:ilvl="0">
      <w:lvlJc w:val="left"/>
      <w:lvlText w:val="(%1)"/>
      <w:numFmt w:val="lowerLetter"/>
      <w:start w:val="1"/>
    </w:lvl>
  </w:abstractNum>
  <w:abstractNum w:abstractNumId="17">
    <w:nsid w:val="741226BB"/>
    <w:multiLevelType w:val="hybridMultilevel"/>
    <w:lvl w:ilvl="0">
      <w:lvlJc w:val="left"/>
      <w:lvlText w:val="%1."/>
      <w:numFmt w:val="decimal"/>
      <w:start w:val="9"/>
    </w:lvl>
  </w:abstractNum>
  <w:abstractNum w:abstractNumId="18">
    <w:nsid w:val="D34B6A8"/>
    <w:multiLevelType w:val="hybridMultilevel"/>
    <w:lvl w:ilvl="0">
      <w:lvlJc w:val="left"/>
      <w:lvlText w:val="(%1)"/>
      <w:numFmt w:val="lowerRoman"/>
      <w:start w:val="2"/>
    </w:lvl>
  </w:abstractNum>
  <w:abstractNum w:abstractNumId="19">
    <w:nsid w:val="10233C99"/>
    <w:multiLevelType w:val="hybridMultilevel"/>
    <w:lvl w:ilvl="0">
      <w:lvlJc w:val="left"/>
      <w:lvlText w:val="(%1)"/>
      <w:numFmt w:val="lowerLetter"/>
      <w:start w:val="2"/>
    </w:lvl>
  </w:abstractNum>
  <w:abstractNum w:abstractNumId="20">
    <w:nsid w:val="3F6AB60F"/>
    <w:multiLevelType w:val="hybridMultilevel"/>
    <w:lvl w:ilvl="0">
      <w:lvlJc w:val="left"/>
      <w:lvlText w:val="●"/>
      <w:numFmt w:val="bullet"/>
      <w:start w:val="1"/>
    </w:lvl>
    <w:lvl w:ilvl="1">
      <w:lvlJc w:val="left"/>
      <w:lvlText w:val="(%2)"/>
      <w:numFmt w:val="lowerRoman"/>
      <w:start w:val="2"/>
    </w:lvl>
  </w:abstractNum>
  <w:abstractNum w:abstractNumId="21">
    <w:nsid w:val="61574095"/>
    <w:multiLevelType w:val="hybridMultilevel"/>
    <w:lvl w:ilvl="0">
      <w:lvlJc w:val="left"/>
      <w:lvlText w:val="(%1)"/>
      <w:numFmt w:val="lowerLetter"/>
      <w:start w:val="1"/>
    </w:lvl>
  </w:abstractNum>
  <w:abstractNum w:abstractNumId="22">
    <w:nsid w:val="7E0C57B1"/>
    <w:multiLevelType w:val="hybridMultilevel"/>
    <w:lvl w:ilvl="0">
      <w:lvlJc w:val="left"/>
      <w:lvlText w:val="(%1)"/>
      <w:numFmt w:val="lowerLetter"/>
      <w:start w:val="1"/>
    </w:lvl>
  </w:abstractNum>
  <w:abstractNum w:abstractNumId="23">
    <w:nsid w:val="77AE35EB"/>
    <w:multiLevelType w:val="hybridMultilevel"/>
    <w:lvl w:ilvl="0">
      <w:lvlJc w:val="left"/>
      <w:lvlText w:val="(%1)"/>
      <w:numFmt w:val="lowerRoman"/>
      <w:start w:val="2"/>
    </w:lvl>
  </w:abstractNum>
  <w:abstractNum w:abstractNumId="24">
    <w:nsid w:val="579BE4F1"/>
    <w:multiLevelType w:val="hybridMultilevel"/>
    <w:lvl w:ilvl="0">
      <w:lvlJc w:val="left"/>
      <w:lvlText w:val="(%1)"/>
      <w:numFmt w:val="lowerRoman"/>
      <w:start w:val="2"/>
    </w:lvl>
  </w:abstractNum>
  <w:abstractNum w:abstractNumId="25">
    <w:nsid w:val="310C50B3"/>
    <w:multiLevelType w:val="hybridMultilevel"/>
    <w:lvl w:ilvl="0">
      <w:lvlJc w:val="left"/>
      <w:lvlText w:val="(%1)"/>
      <w:numFmt w:val="lowerRoman"/>
      <w:start w:val="3"/>
    </w:lvl>
  </w:abstractNum>
  <w:abstractNum w:abstractNumId="26">
    <w:nsid w:val="5FF87E05"/>
    <w:multiLevelType w:val="hybridMultilevel"/>
    <w:lvl w:ilvl="0">
      <w:lvlJc w:val="left"/>
      <w:lvlText w:val="(%1)"/>
      <w:numFmt w:val="lowerLetter"/>
      <w:start w:val="1"/>
    </w:lvl>
  </w:abstractNum>
  <w:abstractNum w:abstractNumId="27">
    <w:nsid w:val="2F305DEF"/>
    <w:multiLevelType w:val="hybridMultilevel"/>
    <w:lvl w:ilvl="0">
      <w:lvlJc w:val="left"/>
      <w:lvlText w:val="●"/>
      <w:numFmt w:val="bullet"/>
      <w:start w:val="1"/>
    </w:lvl>
    <w:lvl w:ilvl="1">
      <w:lvlJc w:val="left"/>
      <w:lvlText w:val="(%2)"/>
      <w:numFmt w:val="lowerRoman"/>
      <w:start w:val="1"/>
    </w:lvl>
  </w:abstractNum>
  <w:abstractNum w:abstractNumId="28">
    <w:nsid w:val="25A70BF7"/>
    <w:multiLevelType w:val="hybridMultilevel"/>
    <w:lvl w:ilvl="0">
      <w:lvlJc w:val="left"/>
      <w:lvlText w:val="●"/>
      <w:numFmt w:val="bullet"/>
      <w:start w:val="1"/>
    </w:lvl>
    <w:lvl w:ilvl="1">
      <w:lvlJc w:val="left"/>
      <w:lvlText w:val="(%2)"/>
      <w:numFmt w:val="lowerRoman"/>
      <w:start w:val="2"/>
    </w:lvl>
  </w:abstractNum>
  <w:abstractNum w:abstractNumId="29">
    <w:nsid w:val="1DBABF00"/>
    <w:multiLevelType w:val="hybridMultilevel"/>
    <w:lvl w:ilvl="0">
      <w:lvlJc w:val="left"/>
      <w:lvlText w:val="●"/>
      <w:numFmt w:val="bullet"/>
      <w:start w:val="1"/>
    </w:lvl>
    <w:lvl w:ilvl="1">
      <w:lvlJc w:val="left"/>
      <w:lvlText w:val="(%2)"/>
      <w:numFmt w:val="lowerRoman"/>
      <w:start w:val="4"/>
    </w:lvl>
  </w:abstractNum>
  <w:abstractNum w:abstractNumId="30">
    <w:nsid w:val="4AD084E9"/>
    <w:multiLevelType w:val="hybridMultilevel"/>
    <w:lvl w:ilvl="0">
      <w:lvlJc w:val="left"/>
      <w:lvlText w:val="(%1)"/>
      <w:numFmt w:val="lowerLetter"/>
      <w:start w:val="1"/>
    </w:lvl>
  </w:abstractNum>
  <w:abstractNum w:abstractNumId="31">
    <w:nsid w:val="1F48EAA1"/>
    <w:multiLevelType w:val="hybridMultilevel"/>
    <w:lvl w:ilvl="0">
      <w:lvlJc w:val="left"/>
      <w:lvlText w:val="(%1)"/>
      <w:numFmt w:val="lowerRoman"/>
      <w:start w:val="3"/>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1)"/>
      <w:numFmt w:val="lowerLetter"/>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1."/>
      <w:numFmt w:val="decimal"/>
      <w:start w:val="1"/>
    </w:lvl>
  </w:abstractNum>
  <w:abstractNum w:abstractNumId="39">
    <w:nsid w:val="799D0247"/>
    <w:multiLevelType w:val="hybridMultilevel"/>
    <w:lvl w:ilvl="0">
      <w:lvlJc w:val="left"/>
      <w:lvlText w:val="(%1)"/>
      <w:numFmt w:val="decimal"/>
      <w:start w:val="1"/>
    </w:lvl>
  </w:abstractNum>
  <w:abstractNum w:abstractNumId="40">
    <w:nsid w:val="6B94764"/>
    <w:multiLevelType w:val="hybridMultilevel"/>
    <w:lvl w:ilvl="0">
      <w:lvlJc w:val="left"/>
      <w:lvlText w:val="(%1)"/>
      <w:numFmt w:val="decimal"/>
      <w:start w:val="9"/>
    </w:lvl>
  </w:abstractNum>
  <w:abstractNum w:abstractNumId="41">
    <w:nsid w:val="42C296BD"/>
    <w:multiLevelType w:val="hybridMultilevel"/>
    <w:lvl w:ilvl="0">
      <w:lvlJc w:val="left"/>
      <w:lvlText w:val="%1."/>
      <w:numFmt w:val="decimal"/>
      <w:start w:val="1"/>
    </w:lvl>
  </w:abstractNum>
  <w:abstractNum w:abstractNumId="42">
    <w:nsid w:val="168E121F"/>
    <w:multiLevelType w:val="hybridMultilevel"/>
    <w:lvl w:ilvl="0">
      <w:lvlJc w:val="left"/>
      <w:lvlText w:val="%1."/>
      <w:numFmt w:val="decimal"/>
      <w:start w:val="2"/>
    </w:lvl>
  </w:abstractNum>
  <w:abstractNum w:abstractNumId="43">
    <w:nsid w:val="1EBA5D23"/>
    <w:multiLevelType w:val="hybridMultilevel"/>
    <w:lvl w:ilvl="0">
      <w:lvlJc w:val="left"/>
      <w:lvlText w:val="%1."/>
      <w:numFmt w:val="decimal"/>
      <w:start w:val="3"/>
    </w:lvl>
  </w:abstractNum>
  <w:abstractNum w:abstractNumId="44">
    <w:nsid w:val="661E3F1E"/>
    <w:multiLevelType w:val="hybridMultilevel"/>
    <w:lvl w:ilvl="0">
      <w:lvlJc w:val="left"/>
      <w:lvlText w:val="%1."/>
      <w:numFmt w:val="decimal"/>
      <w:start w:val="4"/>
    </w:lvl>
  </w:abstractNum>
  <w:abstractNum w:abstractNumId="45">
    <w:nsid w:val="5DC79EA8"/>
    <w:multiLevelType w:val="hybridMultilevel"/>
    <w:lvl w:ilvl="0">
      <w:lvlJc w:val="left"/>
      <w:lvlText w:val="%1."/>
      <w:numFmt w:val="decimal"/>
      <w:start w:val="5"/>
    </w:lvl>
  </w:abstractNum>
  <w:abstractNum w:abstractNumId="46">
    <w:nsid w:val="540A471C"/>
    <w:multiLevelType w:val="hybridMultilevel"/>
    <w:lvl w:ilvl="0">
      <w:lvlJc w:val="left"/>
      <w:lvlText w:val="%1."/>
      <w:numFmt w:val="decimal"/>
      <w:start w:val="6"/>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1)"/>
      <w:numFmt w:val="upperLetter"/>
      <w:start w:val="1"/>
    </w:lvl>
  </w:abstractNum>
  <w:abstractNum w:abstractNumId="50">
    <w:nsid w:val="BF72B14"/>
    <w:multiLevelType w:val="hybridMultilevel"/>
    <w:lvl w:ilvl="0">
      <w:lvlJc w:val="left"/>
      <w:lvlText w:val="%1."/>
      <w:numFmt w:val="decimal"/>
      <w:start w:val="7"/>
    </w:lvl>
  </w:abstractNum>
  <w:abstractNum w:abstractNumId="51">
    <w:nsid w:val="11447B73"/>
    <w:multiLevelType w:val="hybridMultilevel"/>
    <w:lvl w:ilvl="0">
      <w:lvlJc w:val="left"/>
      <w:lvlText w:val="%1."/>
      <w:numFmt w:val="decimal"/>
      <w:start w:val="8"/>
    </w:lvl>
  </w:abstractNum>
  <w:abstractNum w:abstractNumId="52">
    <w:nsid w:val="42963E5A"/>
    <w:multiLevelType w:val="hybridMultilevel"/>
    <w:lvl w:ilvl="0">
      <w:lvlJc w:val="left"/>
      <w:lvlText w:val="%1."/>
      <w:numFmt w:val="decimal"/>
      <w:start w:val="9"/>
    </w:lvl>
  </w:abstractNum>
  <w:abstractNum w:abstractNumId="53">
    <w:nsid w:val="A0382C5"/>
    <w:multiLevelType w:val="hybridMultilevel"/>
    <w:lvl w:ilvl="0">
      <w:lvlJc w:val="left"/>
      <w:lvlText w:val="%1."/>
      <w:numFmt w:val="decimal"/>
      <w:start w:val="10"/>
    </w:lvl>
  </w:abstractNum>
  <w:abstractNum w:abstractNumId="54">
    <w:nsid w:val="8F2B15E"/>
    <w:multiLevelType w:val="hybridMultilevel"/>
    <w:lvl w:ilvl="0">
      <w:lvlJc w:val="left"/>
      <w:lvlText w:val="(%1)"/>
      <w:numFmt w:val="upperLetter"/>
      <w:start w:val="2"/>
    </w:lvl>
  </w:abstractNum>
  <w:abstractNum w:abstractNumId="55">
    <w:nsid w:val="1A32234B"/>
    <w:multiLevelType w:val="hybridMultilevel"/>
    <w:lvl w:ilvl="0">
      <w:lvlJc w:val="left"/>
      <w:lvlText w:val="%1."/>
      <w:numFmt w:val="decimal"/>
      <w:start w:val="11"/>
    </w:lvl>
  </w:abstractNum>
  <w:abstractNum w:abstractNumId="56">
    <w:nsid w:val="3B0FD379"/>
    <w:multiLevelType w:val="hybridMultilevel"/>
    <w:lvl w:ilvl="0">
      <w:lvlJc w:val="left"/>
      <w:lvlText w:val="%1."/>
      <w:numFmt w:val="decimal"/>
      <w:start w:val="12"/>
    </w:lvl>
  </w:abstractNum>
  <w:abstractNum w:abstractNumId="57">
    <w:nsid w:val="68EB2F63"/>
    <w:multiLevelType w:val="hybridMultilevel"/>
    <w:lvl w:ilvl="0">
      <w:lvlJc w:val="left"/>
      <w:lvlText w:val="%1."/>
      <w:numFmt w:val="decimal"/>
      <w:start w:val="13"/>
    </w:lvl>
  </w:abstractNum>
  <w:abstractNum w:abstractNumId="58">
    <w:nsid w:val="4962813B"/>
    <w:multiLevelType w:val="hybridMultilevel"/>
    <w:lvl w:ilvl="0">
      <w:lvlJc w:val="left"/>
      <w:lvlText w:val="%1."/>
      <w:numFmt w:val="decimal"/>
      <w:start w:val="14"/>
    </w:lvl>
  </w:abstractNum>
  <w:abstractNum w:abstractNumId="59">
    <w:nsid w:val="60B6DF70"/>
    <w:multiLevelType w:val="hybridMultilevel"/>
    <w:lvl w:ilvl="0">
      <w:lvlJc w:val="left"/>
      <w:lvlText w:val="%1."/>
      <w:numFmt w:val="decimal"/>
      <w:start w:val="15"/>
    </w:lvl>
  </w:abstractNum>
  <w:abstractNum w:abstractNumId="60">
    <w:nsid w:val="6A5EE64"/>
    <w:multiLevelType w:val="hybridMultilevel"/>
    <w:lvl w:ilvl="0">
      <w:lvlJc w:val="left"/>
      <w:lvlText w:val="%1."/>
      <w:numFmt w:val="decimal"/>
      <w:start w:val="16"/>
    </w:lvl>
  </w:abstractNum>
  <w:abstractNum w:abstractNumId="61">
    <w:nsid w:val="14330624"/>
    <w:multiLevelType w:val="hybridMultilevel"/>
    <w:lvl w:ilvl="0">
      <w:lvlJc w:val="left"/>
      <w:lvlText w:val="%1."/>
      <w:numFmt w:val="decimal"/>
      <w:start w:val="17"/>
    </w:lvl>
  </w:abstractNum>
  <w:abstractNum w:abstractNumId="62">
    <w:nsid w:val="7FFFCA11"/>
    <w:multiLevelType w:val="hybridMultilevel"/>
    <w:lvl w:ilvl="0">
      <w:lvlJc w:val="left"/>
      <w:lvlText w:val="%1."/>
      <w:numFmt w:val="decimal"/>
      <w:start w:val="18"/>
    </w:lvl>
  </w:abstractNum>
  <w:abstractNum w:abstractNumId="63">
    <w:nsid w:val="1A27709E"/>
    <w:multiLevelType w:val="hybridMultilevel"/>
    <w:lvl w:ilvl="0">
      <w:lvlJc w:val="left"/>
      <w:lvlText w:val="%1."/>
      <w:numFmt w:val="decimal"/>
      <w:start w:val="19"/>
    </w:lvl>
  </w:abstractNum>
  <w:abstractNum w:abstractNumId="64">
    <w:nsid w:val="71EA1109"/>
    <w:multiLevelType w:val="hybridMultilevel"/>
    <w:lvl w:ilvl="0">
      <w:lvlJc w:val="left"/>
      <w:lvlText w:val="(%1)"/>
      <w:numFmt w:val="lowerLetter"/>
      <w:start w:val="25"/>
    </w:lvl>
  </w:abstractNum>
  <w:abstractNum w:abstractNumId="65">
    <w:nsid w:val="100F59DC"/>
    <w:multiLevelType w:val="hybridMultilevel"/>
    <w:lvl w:ilvl="0">
      <w:lvlJc w:val="left"/>
      <w:lvlText w:val="%1."/>
      <w:numFmt w:val="decimal"/>
      <w:start w:val="1"/>
    </w:lvl>
  </w:abstractNum>
  <w:abstractNum w:abstractNumId="66">
    <w:nsid w:val="7FB7E0AA"/>
    <w:multiLevelType w:val="hybridMultilevel"/>
    <w:lvl w:ilvl="0">
      <w:lvlJc w:val="left"/>
      <w:lvlText w:val="(%1)"/>
      <w:numFmt w:val="decimal"/>
      <w:start w:val="1"/>
    </w:lvl>
  </w:abstractNum>
  <w:abstractNum w:abstractNumId="67">
    <w:nsid w:val="6EB5BD4"/>
    <w:multiLevelType w:val="hybridMultilevel"/>
    <w:lvl w:ilvl="0">
      <w:lvlJc w:val="left"/>
      <w:lvlText w:val="(%1)"/>
      <w:numFmt w:val="decimal"/>
      <w:start w:val="8"/>
    </w:lvl>
  </w:abstractNum>
  <w:abstractNum w:abstractNumId="68">
    <w:nsid w:val="6F6DD9AC"/>
    <w:multiLevelType w:val="hybridMultilevel"/>
    <w:lvl w:ilvl="0">
      <w:lvlJc w:val="left"/>
      <w:lvlText w:val="%1."/>
      <w:numFmt w:val="decimal"/>
      <w:start w:val="1"/>
    </w:lvl>
  </w:abstractNum>
  <w:abstractNum w:abstractNumId="69">
    <w:nsid w:val="94211F2"/>
    <w:multiLevelType w:val="hybridMultilevel"/>
    <w:lvl w:ilvl="0">
      <w:lvlJc w:val="left"/>
      <w:lvlText w:val="%1."/>
      <w:numFmt w:val="decimal"/>
      <w:start w:val="2"/>
    </w:lvl>
  </w:abstractNum>
  <w:abstractNum w:abstractNumId="70">
    <w:nsid w:val="885E1B"/>
    <w:multiLevelType w:val="hybridMultilevel"/>
    <w:lvl w:ilvl="0">
      <w:lvlJc w:val="left"/>
      <w:lvlText w:val="%1."/>
      <w:numFmt w:val="decimal"/>
      <w:start w:val="3"/>
    </w:lvl>
  </w:abstractNum>
  <w:abstractNum w:abstractNumId="71">
    <w:nsid w:val="76272110"/>
    <w:multiLevelType w:val="hybridMultilevel"/>
    <w:lvl w:ilvl="0">
      <w:lvlJc w:val="left"/>
      <w:lvlText w:val="%1."/>
      <w:numFmt w:val="decimal"/>
      <w:start w:val="4"/>
    </w:lvl>
  </w:abstractNum>
  <w:abstractNum w:abstractNumId="72">
    <w:nsid w:val="4C04A8AF"/>
    <w:multiLevelType w:val="hybridMultilevel"/>
    <w:lvl w:ilvl="0">
      <w:lvlJc w:val="left"/>
      <w:lvlText w:val="%1."/>
      <w:numFmt w:val="decimal"/>
      <w:start w:val="5"/>
    </w:lvl>
  </w:abstractNum>
  <w:abstractNum w:abstractNumId="73">
    <w:nsid w:val="1716703B"/>
    <w:multiLevelType w:val="hybridMultilevel"/>
    <w:lvl w:ilvl="0">
      <w:lvlJc w:val="left"/>
      <w:lvlText w:val="%1."/>
      <w:numFmt w:val="decimal"/>
      <w:start w:val="6"/>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1)"/>
      <w:numFmt w:val="decimal"/>
      <w:start w:val="2"/>
    </w:lvl>
  </w:abstractNum>
  <w:abstractNum w:abstractNumId="77">
    <w:nsid w:val="68EBC550"/>
    <w:multiLevelType w:val="hybridMultilevel"/>
    <w:lvl w:ilvl="0">
      <w:lvlJc w:val="left"/>
      <w:lvlText w:val="%1."/>
      <w:numFmt w:val="decimal"/>
      <w:start w:val="7"/>
    </w:lvl>
  </w:abstractNum>
  <w:abstractNum w:abstractNumId="78">
    <w:nsid w:val="2DF6D648"/>
    <w:multiLevelType w:val="hybridMultilevel"/>
    <w:lvl w:ilvl="0">
      <w:lvlJc w:val="left"/>
      <w:lvlText w:val="%1."/>
      <w:numFmt w:val="decimal"/>
      <w:start w:val="8"/>
    </w:lvl>
  </w:abstractNum>
  <w:abstractNum w:abstractNumId="79">
    <w:nsid w:val="46B7D447"/>
    <w:multiLevelType w:val="hybridMultilevel"/>
    <w:lvl w:ilvl="0">
      <w:lvlJc w:val="left"/>
      <w:lvlText w:val="%1."/>
      <w:numFmt w:val="decimal"/>
      <w:start w:val="9"/>
    </w:lvl>
  </w:abstractNum>
  <w:abstractNum w:abstractNumId="80">
    <w:nsid w:val="4A2AC315"/>
    <w:multiLevelType w:val="hybridMultilevel"/>
    <w:lvl w:ilvl="0">
      <w:lvlJc w:val="left"/>
      <w:lvlText w:val="%1."/>
      <w:numFmt w:val="decimal"/>
      <w:start w:val="10"/>
    </w:lvl>
  </w:abstractNum>
  <w:abstractNum w:abstractNumId="81">
    <w:nsid w:val="39EE015C"/>
    <w:multiLevelType w:val="hybridMultilevel"/>
    <w:lvl w:ilvl="0">
      <w:lvlJc w:val="left"/>
      <w:lvlText w:val="%1."/>
      <w:numFmt w:val="decimal"/>
      <w:start w:val="11"/>
    </w:lvl>
  </w:abstractNum>
  <w:abstractNum w:abstractNumId="82">
    <w:nsid w:val="57FC4FBB"/>
    <w:multiLevelType w:val="hybridMultilevel"/>
    <w:lvl w:ilvl="0">
      <w:lvlJc w:val="left"/>
      <w:lvlText w:val="%1."/>
      <w:numFmt w:val="decimal"/>
      <w:start w:val="12"/>
    </w:lvl>
  </w:abstractNum>
  <w:abstractNum w:abstractNumId="83">
    <w:nsid w:val="CC1016F"/>
    <w:multiLevelType w:val="hybridMultilevel"/>
    <w:lvl w:ilvl="0">
      <w:lvlJc w:val="left"/>
      <w:lvlText w:val="%1."/>
      <w:numFmt w:val="decimal"/>
      <w:start w:val="13"/>
    </w:lvl>
  </w:abstractNum>
  <w:abstractNum w:abstractNumId="84">
    <w:nsid w:val="43F18422"/>
    <w:multiLevelType w:val="hybridMultilevel"/>
    <w:lvl w:ilvl="0">
      <w:lvlJc w:val="left"/>
      <w:lvlText w:val="%1."/>
      <w:numFmt w:val="decimal"/>
      <w:start w:val="14"/>
    </w:lvl>
  </w:abstractNum>
  <w:abstractNum w:abstractNumId="85">
    <w:nsid w:val="60EF0119"/>
    <w:multiLevelType w:val="hybridMultilevel"/>
    <w:lvl w:ilvl="0">
      <w:lvlJc w:val="left"/>
      <w:lvlText w:val="%1."/>
      <w:numFmt w:val="decimal"/>
      <w:start w:val="15"/>
    </w:lvl>
  </w:abstractNum>
  <w:abstractNum w:abstractNumId="86">
    <w:nsid w:val="26F324BA"/>
    <w:multiLevelType w:val="hybridMultilevel"/>
    <w:lvl w:ilvl="0">
      <w:lvlJc w:val="left"/>
      <w:lvlText w:val="%1."/>
      <w:numFmt w:val="decimal"/>
      <w:start w:val="16"/>
    </w:lvl>
  </w:abstractNum>
  <w:abstractNum w:abstractNumId="87">
    <w:nsid w:val="7F01579B"/>
    <w:multiLevelType w:val="hybridMultilevel"/>
    <w:lvl w:ilvl="0">
      <w:lvlJc w:val="left"/>
      <w:lvlText w:val="%1."/>
      <w:numFmt w:val="decimal"/>
      <w:start w:val="17"/>
    </w:lvl>
  </w:abstractNum>
  <w:abstractNum w:abstractNumId="88">
    <w:nsid w:val="49DA307D"/>
    <w:multiLevelType w:val="hybridMultilevel"/>
    <w:lvl w:ilvl="0">
      <w:lvlJc w:val="left"/>
      <w:lvlText w:val="%1."/>
      <w:numFmt w:val="decimal"/>
      <w:start w:val="18"/>
    </w:lvl>
  </w:abstractNum>
  <w:abstractNum w:abstractNumId="89">
    <w:nsid w:val="7055A5F5"/>
    <w:multiLevelType w:val="hybridMultilevel"/>
    <w:lvl w:ilvl="0">
      <w:lvlJc w:val="left"/>
      <w:lvlText w:val="%1."/>
      <w:numFmt w:val="decimal"/>
      <w:start w:val="19"/>
    </w:lvl>
  </w:abstractNum>
  <w:abstractNum w:abstractNumId="90">
    <w:nsid w:val="5FB8370B"/>
    <w:multiLevelType w:val="hybridMultilevel"/>
    <w:lvl w:ilvl="0">
      <w:lvlJc w:val="left"/>
      <w:lvlText w:val="(%1)"/>
      <w:numFmt w:val="lowerLetter"/>
      <w:start w:val="1"/>
    </w:lvl>
  </w:abstractNum>
  <w:abstractNum w:abstractNumId="91">
    <w:nsid w:val="50801EE1"/>
    <w:multiLevelType w:val="hybridMultilevel"/>
    <w:lvl w:ilvl="0">
      <w:lvlJc w:val="left"/>
      <w:lvlText w:val="(%1)"/>
      <w:numFmt w:val="lowerRoman"/>
      <w:start w:val="1"/>
    </w:lvl>
  </w:abstractNum>
  <w:abstractNum w:abstractNumId="92">
    <w:nsid w:val="488AC1A"/>
    <w:multiLevelType w:val="hybridMultilevel"/>
    <w:lvl w:ilvl="0">
      <w:lvlJc w:val="left"/>
      <w:lvlText w:val="(%1)"/>
      <w:numFmt w:val="lowerRoman"/>
      <w:start w:val="3"/>
    </w:lvl>
  </w:abstractNum>
  <w:abstractNum w:abstractNumId="93">
    <w:nsid w:val="5FB8011C"/>
    <w:multiLevelType w:val="hybridMultilevel"/>
    <w:lvl w:ilvl="0">
      <w:lvlJc w:val="left"/>
      <w:lvlText w:val="(%1)"/>
      <w:numFmt w:val="lowerLetter"/>
      <w:start w:val="1"/>
    </w:lvl>
  </w:abstractNum>
  <w:abstractNum w:abstractNumId="94">
    <w:nsid w:val="6AA78F7F"/>
    <w:multiLevelType w:val="hybridMultilevel"/>
    <w:lvl w:ilvl="0">
      <w:lvlJc w:val="left"/>
      <w:lvlText w:val="(%1)"/>
      <w:numFmt w:val="lowerLetter"/>
      <w:start w:val="1"/>
    </w:lvl>
  </w:abstractNum>
  <w:abstractNum w:abstractNumId="95">
    <w:nsid w:val="7672BD23"/>
    <w:multiLevelType w:val="hybridMultilevel"/>
    <w:lvl w:ilvl="0">
      <w:lvlJc w:val="left"/>
      <w:lvlText w:val="(%1)"/>
      <w:numFmt w:val="lowerRoman"/>
      <w:start w:val="1"/>
    </w:lvl>
  </w:abstractNum>
  <w:abstractNum w:abstractNumId="96">
    <w:nsid w:val="6FC75AF8"/>
    <w:multiLevelType w:val="hybridMultilevel"/>
    <w:lvl w:ilvl="0">
      <w:lvlJc w:val="left"/>
      <w:lvlText w:val="(%1)"/>
      <w:numFmt w:val="lowerRoman"/>
      <w:start w:val="3"/>
    </w:lvl>
  </w:abstractNum>
  <w:abstractNum w:abstractNumId="97">
    <w:nsid w:val="6A5F7029"/>
    <w:multiLevelType w:val="hybridMultilevel"/>
    <w:lvl w:ilvl="0">
      <w:lvlJc w:val="left"/>
      <w:lvlText w:val="(%1)"/>
      <w:numFmt w:val="lowerLetter"/>
      <w:start w:val="1"/>
    </w:lvl>
  </w:abstractNum>
  <w:abstractNum w:abstractNumId="98">
    <w:nsid w:val="7D5E18F8"/>
    <w:multiLevelType w:val="hybridMultilevel"/>
    <w:lvl w:ilvl="0">
      <w:lvlJc w:val="left"/>
      <w:lvlText w:val="%1."/>
      <w:numFmt w:val="lowerRoman"/>
      <w:start w:val="1"/>
    </w:lvl>
    <w:lvl w:ilvl="1">
      <w:lvlJc w:val="left"/>
      <w:lvlText w:val="%2."/>
      <w:numFmt w:val="upperLetter"/>
      <w:start w:val="1"/>
    </w:lvl>
  </w:abstractNum>
  <w:abstractNum w:abstractNumId="99">
    <w:nsid w:val="5F3534A4"/>
    <w:multiLevelType w:val="hybridMultilevel"/>
    <w:lvl w:ilvl="0">
      <w:lvlJc w:val="left"/>
      <w:lvlText w:val="%1."/>
      <w:numFmt w:val="lowerRoman"/>
      <w:start w:val="1"/>
    </w:lvl>
    <w:lvl w:ilvl="1">
      <w:lvlJc w:val="left"/>
      <w:lvlText w:val="%2."/>
      <w:numFmt w:val="upp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2021-07-27T11:16:00Z</dcterms:created>
  <dcterms:modified xsi:type="dcterms:W3CDTF">2021-07-27T11:16:00Z</dcterms:modified>
</cp:coreProperties>
</file>