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1)</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Waste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94106L109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24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60" w:type="dxa"/>
            <w:vAlign w:val="bottom"/>
          </w:tcPr>
          <w:p>
            <w:pPr>
              <w:ind w:left="17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2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24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60" w:type="dxa"/>
            <w:vAlign w:val="bottom"/>
            <w:vMerge w:val="restart"/>
          </w:tcPr>
          <w:p>
            <w:pPr>
              <w:ind w:left="1780"/>
              <w:spacing w:after="0"/>
              <w:rPr>
                <w:sz w:val="20"/>
                <w:szCs w:val="20"/>
                <w:color w:val="auto"/>
              </w:rPr>
            </w:pPr>
            <w:r>
              <w:rPr>
                <w:rFonts w:ascii="Arial" w:cs="Arial" w:eastAsia="Arial" w:hAnsi="Arial"/>
                <w:sz w:val="22"/>
                <w:szCs w:val="22"/>
                <w:color w:val="auto"/>
                <w:w w:val="98"/>
              </w:rPr>
              <w:t>6,059,745</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240" w:type="dxa"/>
            <w:vAlign w:val="bottom"/>
            <w:vMerge w:val="continue"/>
          </w:tcPr>
          <w:p>
            <w:pPr>
              <w:spacing w:after="0"/>
              <w:rPr>
                <w:sz w:val="14"/>
                <w:szCs w:val="14"/>
                <w:color w:val="auto"/>
              </w:rPr>
            </w:pPr>
          </w:p>
        </w:tc>
        <w:tc>
          <w:tcPr>
            <w:tcW w:w="2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2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24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60" w:type="dxa"/>
            <w:vAlign w:val="bottom"/>
            <w:vMerge w:val="restart"/>
          </w:tcPr>
          <w:p>
            <w:pPr>
              <w:ind w:left="17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240" w:type="dxa"/>
            <w:vAlign w:val="bottom"/>
            <w:vMerge w:val="continue"/>
          </w:tcPr>
          <w:p>
            <w:pPr>
              <w:spacing w:after="0"/>
              <w:rPr>
                <w:sz w:val="12"/>
                <w:szCs w:val="12"/>
                <w:color w:val="auto"/>
              </w:rPr>
            </w:pPr>
          </w:p>
        </w:tc>
        <w:tc>
          <w:tcPr>
            <w:tcW w:w="2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24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60" w:type="dxa"/>
            <w:vAlign w:val="bottom"/>
            <w:vMerge w:val="restart"/>
          </w:tcPr>
          <w:p>
            <w:pPr>
              <w:ind w:left="1780"/>
              <w:spacing w:after="0"/>
              <w:rPr>
                <w:sz w:val="20"/>
                <w:szCs w:val="20"/>
                <w:color w:val="auto"/>
              </w:rPr>
            </w:pPr>
            <w:r>
              <w:rPr>
                <w:rFonts w:ascii="Arial" w:cs="Arial" w:eastAsia="Arial" w:hAnsi="Arial"/>
                <w:sz w:val="22"/>
                <w:szCs w:val="22"/>
                <w:color w:val="auto"/>
                <w:w w:val="87"/>
              </w:rPr>
              <w:t>27,225,692</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40" w:type="dxa"/>
            <w:vAlign w:val="bottom"/>
            <w:vMerge w:val="continue"/>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2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27,225,692</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5.91%</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Waste Management, Inc.</w:t>
      </w:r>
    </w:p>
    <w:p>
      <w:pPr>
        <w:spacing w:after="0" w:line="101" w:lineRule="exact"/>
        <w:rPr>
          <w:rFonts w:ascii="Arial" w:cs="Arial" w:eastAsia="Arial" w:hAnsi="Arial"/>
          <w:sz w:val="22"/>
          <w:szCs w:val="22"/>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1001 Fannin Street</w:t>
      </w:r>
    </w:p>
    <w:p>
      <w:pPr>
        <w:ind w:left="1780" w:right="7760"/>
        <w:spacing w:after="0" w:line="308" w:lineRule="auto"/>
        <w:rPr>
          <w:rFonts w:ascii="Arial" w:cs="Arial" w:eastAsia="Arial" w:hAnsi="Arial"/>
          <w:sz w:val="22"/>
          <w:szCs w:val="22"/>
          <w:b w:val="1"/>
          <w:bCs w:val="1"/>
          <w:color w:val="auto"/>
        </w:rPr>
      </w:pPr>
      <w:r>
        <w:rPr>
          <w:rFonts w:ascii="Arial" w:cs="Arial" w:eastAsia="Arial" w:hAnsi="Arial"/>
          <w:sz w:val="19"/>
          <w:szCs w:val="19"/>
          <w:color w:val="auto"/>
        </w:rPr>
        <w:t>Suite 4000 Houston, TX 77002</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Company, LLP (''Wellington Management'')</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280 Congress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Boston, MA 02210</w:t>
      </w:r>
    </w:p>
    <w:p>
      <w:pPr>
        <w:spacing w:after="0" w:line="101"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94106L109</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940"/>
        <w:spacing w:after="0" w:line="328" w:lineRule="auto"/>
        <w:rPr>
          <w:rFonts w:ascii="Arial" w:cs="Arial" w:eastAsia="Arial" w:hAnsi="Arial"/>
          <w:sz w:val="22"/>
          <w:szCs w:val="22"/>
          <w:color w:val="auto"/>
        </w:rPr>
      </w:pPr>
      <w:r>
        <w:rPr>
          <w:rFonts w:ascii="Arial" w:cs="Arial" w:eastAsia="Arial" w:hAnsi="Arial"/>
          <w:sz w:val="19"/>
          <w:szCs w:val="19"/>
          <w:color w:val="auto"/>
        </w:rPr>
        <w:t>Wellington Management, in its capacity as investment adviser, may be deemed to beneficially own 27,225,692 shares of the Issuer which are held of record by clients of Wellington Management.</w:t>
      </w:r>
    </w:p>
    <w:p>
      <w:pPr>
        <w:spacing w:after="0" w:line="24"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5.91%</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2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60" w:type="dxa"/>
            <w:vAlign w:val="bottom"/>
          </w:tcPr>
          <w:p>
            <w:pPr>
              <w:ind w:left="13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2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60" w:type="dxa"/>
            <w:vAlign w:val="bottom"/>
          </w:tcPr>
          <w:p>
            <w:pPr>
              <w:ind w:left="1380"/>
              <w:spacing w:after="0"/>
              <w:rPr>
                <w:sz w:val="20"/>
                <w:szCs w:val="20"/>
                <w:color w:val="auto"/>
              </w:rPr>
            </w:pPr>
            <w:r>
              <w:rPr>
                <w:rFonts w:ascii="Arial" w:cs="Arial" w:eastAsia="Arial" w:hAnsi="Arial"/>
                <w:sz w:val="22"/>
                <w:szCs w:val="22"/>
                <w:color w:val="auto"/>
                <w:w w:val="98"/>
              </w:rPr>
              <w:t>6,059,745</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2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60" w:type="dxa"/>
            <w:vAlign w:val="bottom"/>
          </w:tcPr>
          <w:p>
            <w:pPr>
              <w:ind w:left="13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2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60" w:type="dxa"/>
            <w:vAlign w:val="bottom"/>
          </w:tcPr>
          <w:p>
            <w:pPr>
              <w:ind w:left="1380"/>
              <w:spacing w:after="0"/>
              <w:rPr>
                <w:sz w:val="20"/>
                <w:szCs w:val="20"/>
                <w:color w:val="auto"/>
              </w:rPr>
            </w:pPr>
            <w:r>
              <w:rPr>
                <w:rFonts w:ascii="Arial" w:cs="Arial" w:eastAsia="Arial" w:hAnsi="Arial"/>
                <w:sz w:val="22"/>
                <w:szCs w:val="22"/>
                <w:color w:val="auto"/>
                <w:w w:val="87"/>
              </w:rPr>
              <w:t>27,225,692</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ectPr>
          <w:pgSz w:w="11900" w:h="16838" w:orient="portrait"/>
          <w:cols w:equalWidth="0" w:num="1">
            <w:col w:w="11260"/>
          </w:cols>
          <w:pgMar w:left="320" w:top="409" w:right="319" w:bottom="0" w:gutter="0" w:footer="0" w:header="0"/>
        </w:sectPr>
      </w:pPr>
    </w:p>
    <w:bookmarkStart w:id="3" w:name="page4"/>
    <w:bookmarkEnd w:id="3"/>
    <w:p>
      <w:pPr>
        <w:ind w:left="1380" w:right="6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240"/>
          </w:cols>
          <w:pgMar w:left="320" w:top="118" w:right="339" w:bottom="1440" w:gutter="0" w:footer="0" w:header="0"/>
        </w:sectPr>
      </w:pP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ind w:left="1380"/>
        <w:spacing w:after="0" w:line="287" w:lineRule="auto"/>
        <w:rPr>
          <w:sz w:val="20"/>
          <w:szCs w:val="20"/>
          <w:color w:val="auto"/>
        </w:rPr>
      </w:pPr>
      <w:r>
        <w:rPr>
          <w:rFonts w:ascii="Arial" w:cs="Arial" w:eastAsia="Arial" w:hAnsi="Arial"/>
          <w:sz w:val="19"/>
          <w:szCs w:val="19"/>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8" w:right="339" w:bottom="1440" w:gutter="0" w:footer="0" w:header="0"/>
          <w:type w:val="continuous"/>
        </w:sectPr>
      </w:pPr>
    </w:p>
    <w:p>
      <w:pPr>
        <w:spacing w:after="0" w:line="74" w:lineRule="exact"/>
        <w:rPr>
          <w:sz w:val="20"/>
          <w:szCs w:val="20"/>
          <w:color w:val="auto"/>
        </w:rPr>
      </w:pPr>
    </w:p>
    <w:p>
      <w:pPr>
        <w:ind w:left="138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3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John D. Norberg</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John D. Norberg</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Date: February 14, 2012</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2019-12-09T09:54:38Z</dcterms:created>
  <dcterms:modified xsi:type="dcterms:W3CDTF">2019-12-09T09:54:38Z</dcterms:modified>
</cp:coreProperties>
</file>