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1</w:t>
      </w:r>
    </w:p>
    <w:p>
      <w:pPr>
        <w:ind w:left="384"/>
        <w:spacing w:after="0"/>
        <w:rPr>
          <w:sz w:val="20"/>
          <w:szCs w:val="20"/>
          <w:color w:val="auto"/>
        </w:rPr>
      </w:pPr>
      <w:r>
        <w:rPr>
          <w:rFonts w:ascii="Courier New" w:cs="Courier New" w:eastAsia="Courier New" w:hAnsi="Courier New"/>
          <w:sz w:val="16"/>
          <w:szCs w:val="16"/>
          <w:color w:val="auto"/>
        </w:rPr>
        <w:t>AS FILED WITH THE SECURITIES AND EXCHANGE COMMISSION ON DECEMBER 6, 1996</w:t>
      </w:r>
    </w:p>
    <w:p>
      <w:pPr>
        <w:spacing w:after="0" w:line="184" w:lineRule="exact"/>
        <w:rPr>
          <w:sz w:val="24"/>
          <w:szCs w:val="24"/>
          <w:color w:val="auto"/>
        </w:rPr>
      </w:pPr>
    </w:p>
    <w:p>
      <w:pPr>
        <w:ind w:left="4964"/>
        <w:spacing w:after="0"/>
        <w:rPr>
          <w:sz w:val="20"/>
          <w:szCs w:val="20"/>
          <w:color w:val="auto"/>
        </w:rPr>
      </w:pPr>
      <w:r>
        <w:rPr>
          <w:rFonts w:ascii="Courier New" w:cs="Courier New" w:eastAsia="Courier New" w:hAnsi="Courier New"/>
          <w:sz w:val="15"/>
          <w:szCs w:val="15"/>
          <w:color w:val="auto"/>
        </w:rPr>
        <w:t>REGISTRATION NO. 333-______</w:t>
      </w:r>
    </w:p>
    <w:p>
      <w:pPr>
        <w:spacing w:after="0" w:line="10"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4016"/>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FORM S-3</w:t>
      </w:r>
    </w:p>
    <w:p>
      <w:pPr>
        <w:jc w:val="center"/>
        <w:ind w:right="4016"/>
        <w:spacing w:after="0"/>
        <w:rPr>
          <w:sz w:val="20"/>
          <w:szCs w:val="20"/>
          <w:color w:val="auto"/>
        </w:rPr>
      </w:pPr>
      <w:r>
        <w:rPr>
          <w:rFonts w:ascii="Courier New" w:cs="Courier New" w:eastAsia="Courier New" w:hAnsi="Courier New"/>
          <w:sz w:val="16"/>
          <w:szCs w:val="16"/>
          <w:color w:val="auto"/>
        </w:rPr>
        <w:t>REGISTRATION STATEMENT UNDER</w:t>
      </w:r>
    </w:p>
    <w:p>
      <w:pPr>
        <w:jc w:val="center"/>
        <w:ind w:right="4016"/>
        <w:spacing w:after="0" w:line="237" w:lineRule="auto"/>
        <w:rPr>
          <w:sz w:val="20"/>
          <w:szCs w:val="20"/>
          <w:color w:val="auto"/>
        </w:rPr>
      </w:pPr>
      <w:r>
        <w:rPr>
          <w:rFonts w:ascii="Courier New" w:cs="Courier New" w:eastAsia="Courier New" w:hAnsi="Courier New"/>
          <w:sz w:val="16"/>
          <w:szCs w:val="16"/>
          <w:color w:val="auto"/>
        </w:rPr>
        <w:t>THE SECURITIES ACT OF 1933</w:t>
      </w:r>
    </w:p>
    <w:p>
      <w:pPr>
        <w:spacing w:after="0" w:line="180"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USA WASTE SERVICES, INC.</w:t>
      </w:r>
    </w:p>
    <w:p>
      <w:pPr>
        <w:jc w:val="center"/>
        <w:ind w:right="401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64" w:orient="portrait"/>
          <w:cols w:equalWidth="0" w:num="1">
            <w:col w:w="11524"/>
          </w:cols>
          <w:pgMar w:left="236" w:top="233" w:right="139" w:bottom="0" w:gutter="0" w:footer="0" w:header="0"/>
        </w:sectPr>
      </w:pPr>
    </w:p>
    <w:p>
      <w:pPr>
        <w:spacing w:after="0" w:line="179" w:lineRule="exact"/>
        <w:rPr>
          <w:sz w:val="24"/>
          <w:szCs w:val="24"/>
          <w:color w:val="auto"/>
        </w:rPr>
      </w:pPr>
    </w:p>
    <w:p>
      <w:pPr>
        <w:ind w:left="1304"/>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184"/>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104"/>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73-1309529</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64" w:orient="portrait"/>
          <w:cols w:equalWidth="0" w:num="2">
            <w:col w:w="5004" w:space="720"/>
            <w:col w:w="5800"/>
          </w:cols>
          <w:pgMar w:left="236" w:top="233" w:right="139" w:bottom="0" w:gutter="0" w:footer="0" w:header="0"/>
          <w:type w:val="continuous"/>
        </w:sectPr>
      </w:pPr>
    </w:p>
    <w:p>
      <w:pPr>
        <w:jc w:val="center"/>
        <w:ind w:right="4116"/>
        <w:spacing w:after="0"/>
        <w:rPr>
          <w:sz w:val="20"/>
          <w:szCs w:val="20"/>
          <w:color w:val="auto"/>
        </w:rPr>
      </w:pPr>
      <w:r>
        <w:rPr>
          <w:rFonts w:ascii="Courier New" w:cs="Courier New" w:eastAsia="Courier New" w:hAnsi="Courier New"/>
          <w:sz w:val="16"/>
          <w:szCs w:val="16"/>
          <w:color w:val="auto"/>
        </w:rPr>
        <w:t>1001 FANNIN, SUITE 4000</w:t>
      </w:r>
    </w:p>
    <w:p>
      <w:pPr>
        <w:jc w:val="center"/>
        <w:ind w:right="4016"/>
        <w:spacing w:after="0"/>
        <w:rPr>
          <w:sz w:val="20"/>
          <w:szCs w:val="20"/>
          <w:color w:val="auto"/>
        </w:rPr>
      </w:pPr>
      <w:r>
        <w:rPr>
          <w:rFonts w:ascii="Courier New" w:cs="Courier New" w:eastAsia="Courier New" w:hAnsi="Courier New"/>
          <w:sz w:val="16"/>
          <w:szCs w:val="16"/>
          <w:color w:val="auto"/>
        </w:rPr>
        <w:t>HOUSTON, TEXAS 77002</w:t>
      </w:r>
    </w:p>
    <w:p>
      <w:pPr>
        <w:jc w:val="center"/>
        <w:ind w:right="4016"/>
        <w:spacing w:after="0" w:line="237" w:lineRule="auto"/>
        <w:rPr>
          <w:sz w:val="20"/>
          <w:szCs w:val="20"/>
          <w:color w:val="auto"/>
        </w:rPr>
      </w:pPr>
      <w:r>
        <w:rPr>
          <w:rFonts w:ascii="Courier New" w:cs="Courier New" w:eastAsia="Courier New" w:hAnsi="Courier New"/>
          <w:sz w:val="16"/>
          <w:szCs w:val="16"/>
          <w:color w:val="auto"/>
        </w:rPr>
        <w:t>(713) 512-6200</w:t>
      </w:r>
    </w:p>
    <w:p>
      <w:pPr>
        <w:jc w:val="center"/>
        <w:ind w:right="4116"/>
        <w:spacing w:after="0"/>
        <w:rPr>
          <w:sz w:val="20"/>
          <w:szCs w:val="20"/>
          <w:color w:val="auto"/>
        </w:rPr>
      </w:pPr>
      <w:r>
        <w:rPr>
          <w:rFonts w:ascii="Courier New" w:cs="Courier New" w:eastAsia="Courier New" w:hAnsi="Courier New"/>
          <w:sz w:val="16"/>
          <w:szCs w:val="16"/>
          <w:color w:val="auto"/>
        </w:rPr>
        <w:t>(ADDRESS, INCLUDING ZIP CODE, AND TELEPHONE NUMBER,</w:t>
      </w:r>
    </w:p>
    <w:p>
      <w:pPr>
        <w:jc w:val="center"/>
        <w:ind w:right="4116"/>
        <w:spacing w:after="0" w:line="238" w:lineRule="auto"/>
        <w:rPr>
          <w:sz w:val="20"/>
          <w:szCs w:val="20"/>
          <w:color w:val="auto"/>
        </w:rPr>
      </w:pPr>
      <w:r>
        <w:rPr>
          <w:rFonts w:ascii="Courier New" w:cs="Courier New" w:eastAsia="Courier New" w:hAnsi="Courier New"/>
          <w:sz w:val="16"/>
          <w:szCs w:val="16"/>
          <w:color w:val="auto"/>
        </w:rPr>
        <w:t>INCLUDING AREA CODE, OF REGISTRANT'S PRINCIPAL EXECUTIVE OFFICES)</w:t>
      </w:r>
    </w:p>
    <w:p>
      <w:pPr>
        <w:spacing w:after="0" w:line="180" w:lineRule="exact"/>
        <w:rPr>
          <w:sz w:val="24"/>
          <w:szCs w:val="24"/>
          <w:color w:val="auto"/>
        </w:rPr>
      </w:pPr>
    </w:p>
    <w:p>
      <w:pPr>
        <w:ind w:left="2824"/>
        <w:spacing w:after="0"/>
        <w:rPr>
          <w:sz w:val="20"/>
          <w:szCs w:val="20"/>
          <w:color w:val="auto"/>
        </w:rPr>
      </w:pPr>
      <w:r>
        <w:rPr>
          <w:rFonts w:ascii="Courier New" w:cs="Courier New" w:eastAsia="Courier New" w:hAnsi="Courier New"/>
          <w:sz w:val="16"/>
          <w:szCs w:val="16"/>
          <w:color w:val="auto"/>
        </w:rPr>
        <w:t>GREGORY T. SANGALIS</w:t>
      </w:r>
    </w:p>
    <w:p>
      <w:pPr>
        <w:ind w:left="2624"/>
        <w:spacing w:after="0"/>
        <w:rPr>
          <w:sz w:val="20"/>
          <w:szCs w:val="20"/>
          <w:color w:val="auto"/>
        </w:rPr>
      </w:pPr>
      <w:r>
        <w:rPr>
          <w:rFonts w:ascii="Courier New" w:cs="Courier New" w:eastAsia="Courier New" w:hAnsi="Courier New"/>
          <w:sz w:val="16"/>
          <w:szCs w:val="16"/>
          <w:color w:val="auto"/>
        </w:rPr>
        <w:t>USA WASTE SERVICES, INC.</w:t>
      </w:r>
    </w:p>
    <w:p>
      <w:pPr>
        <w:ind w:left="2624"/>
        <w:spacing w:after="0" w:line="237" w:lineRule="auto"/>
        <w:rPr>
          <w:sz w:val="20"/>
          <w:szCs w:val="20"/>
          <w:color w:val="auto"/>
        </w:rPr>
      </w:pPr>
      <w:r>
        <w:rPr>
          <w:rFonts w:ascii="Courier New" w:cs="Courier New" w:eastAsia="Courier New" w:hAnsi="Courier New"/>
          <w:sz w:val="16"/>
          <w:szCs w:val="16"/>
          <w:color w:val="auto"/>
        </w:rPr>
        <w:t>1001 FANNIN, SUITE 4000</w:t>
      </w:r>
    </w:p>
    <w:p>
      <w:pPr>
        <w:ind w:left="2824"/>
        <w:spacing w:after="0"/>
        <w:rPr>
          <w:sz w:val="20"/>
          <w:szCs w:val="20"/>
          <w:color w:val="auto"/>
        </w:rPr>
      </w:pPr>
      <w:r>
        <w:rPr>
          <w:rFonts w:ascii="Courier New" w:cs="Courier New" w:eastAsia="Courier New" w:hAnsi="Courier New"/>
          <w:sz w:val="16"/>
          <w:szCs w:val="16"/>
          <w:color w:val="auto"/>
        </w:rPr>
        <w:t>HOUSTON, TEXAS 77002</w:t>
      </w:r>
    </w:p>
    <w:p>
      <w:pPr>
        <w:ind w:left="3104"/>
        <w:spacing w:after="0" w:line="238" w:lineRule="auto"/>
        <w:rPr>
          <w:sz w:val="20"/>
          <w:szCs w:val="20"/>
          <w:color w:val="auto"/>
        </w:rPr>
      </w:pPr>
      <w:r>
        <w:rPr>
          <w:rFonts w:ascii="Courier New" w:cs="Courier New" w:eastAsia="Courier New" w:hAnsi="Courier New"/>
          <w:sz w:val="16"/>
          <w:szCs w:val="16"/>
          <w:color w:val="auto"/>
        </w:rPr>
        <w:t>(713) 512-6200</w:t>
      </w:r>
    </w:p>
    <w:p>
      <w:pPr>
        <w:ind w:left="1404"/>
        <w:spacing w:after="0"/>
        <w:rPr>
          <w:sz w:val="20"/>
          <w:szCs w:val="20"/>
          <w:color w:val="auto"/>
        </w:rPr>
      </w:pPr>
      <w:r>
        <w:rPr>
          <w:rFonts w:ascii="Courier New" w:cs="Courier New" w:eastAsia="Courier New" w:hAnsi="Courier New"/>
          <w:sz w:val="16"/>
          <w:szCs w:val="16"/>
          <w:color w:val="auto"/>
        </w:rPr>
        <w:t>(NAME, ADDRESS, INCLUDING ZIP CODE, AND TELEPHONE</w:t>
      </w:r>
    </w:p>
    <w:p>
      <w:pPr>
        <w:ind w:left="1404"/>
        <w:spacing w:after="0" w:line="238" w:lineRule="auto"/>
        <w:rPr>
          <w:sz w:val="20"/>
          <w:szCs w:val="20"/>
          <w:color w:val="auto"/>
        </w:rPr>
      </w:pPr>
      <w:r>
        <w:rPr>
          <w:rFonts w:ascii="Courier New" w:cs="Courier New" w:eastAsia="Courier New" w:hAnsi="Courier New"/>
          <w:sz w:val="16"/>
          <w:szCs w:val="16"/>
          <w:color w:val="auto"/>
        </w:rPr>
        <w:t>NUMBER, INCLUDING AREA CODE, OF AGENT FOR SERVICE)</w:t>
      </w:r>
    </w:p>
    <w:p>
      <w:pPr>
        <w:spacing w:after="0" w:line="180"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COPIES TO:</w:t>
      </w:r>
    </w:p>
    <w:p>
      <w:pPr>
        <w:spacing w:after="0" w:line="179" w:lineRule="exact"/>
        <w:rPr>
          <w:sz w:val="24"/>
          <w:szCs w:val="24"/>
          <w:color w:val="auto"/>
        </w:rPr>
      </w:pPr>
    </w:p>
    <w:p>
      <w:pPr>
        <w:ind w:left="3104"/>
        <w:spacing w:after="0"/>
        <w:rPr>
          <w:sz w:val="20"/>
          <w:szCs w:val="20"/>
          <w:color w:val="auto"/>
        </w:rPr>
      </w:pPr>
      <w:r>
        <w:rPr>
          <w:rFonts w:ascii="Courier New" w:cs="Courier New" w:eastAsia="Courier New" w:hAnsi="Courier New"/>
          <w:sz w:val="16"/>
          <w:szCs w:val="16"/>
          <w:color w:val="auto"/>
        </w:rPr>
        <w:t>JOHN T. UNGER</w:t>
      </w:r>
    </w:p>
    <w:p>
      <w:pPr>
        <w:ind w:left="2824"/>
        <w:spacing w:after="0"/>
        <w:rPr>
          <w:sz w:val="20"/>
          <w:szCs w:val="20"/>
          <w:color w:val="auto"/>
        </w:rPr>
      </w:pPr>
      <w:r>
        <w:rPr>
          <w:rFonts w:ascii="Courier New" w:cs="Courier New" w:eastAsia="Courier New" w:hAnsi="Courier New"/>
          <w:sz w:val="16"/>
          <w:szCs w:val="16"/>
          <w:color w:val="auto"/>
        </w:rPr>
        <w:t>SNELL &amp; SMITH, P.C.</w:t>
      </w:r>
    </w:p>
    <w:p>
      <w:pPr>
        <w:ind w:left="2524"/>
        <w:spacing w:after="0" w:line="237" w:lineRule="auto"/>
        <w:rPr>
          <w:sz w:val="20"/>
          <w:szCs w:val="20"/>
          <w:color w:val="auto"/>
        </w:rPr>
      </w:pPr>
      <w:r>
        <w:rPr>
          <w:rFonts w:ascii="Courier New" w:cs="Courier New" w:eastAsia="Courier New" w:hAnsi="Courier New"/>
          <w:sz w:val="16"/>
          <w:szCs w:val="16"/>
          <w:color w:val="auto"/>
        </w:rPr>
        <w:t>1000 LOUISIANA, SUITE 3650</w:t>
      </w:r>
    </w:p>
    <w:p>
      <w:pPr>
        <w:ind w:left="2824"/>
        <w:spacing w:after="0"/>
        <w:rPr>
          <w:sz w:val="20"/>
          <w:szCs w:val="20"/>
          <w:color w:val="auto"/>
        </w:rPr>
      </w:pPr>
      <w:r>
        <w:rPr>
          <w:rFonts w:ascii="Courier New" w:cs="Courier New" w:eastAsia="Courier New" w:hAnsi="Courier New"/>
          <w:sz w:val="16"/>
          <w:szCs w:val="16"/>
          <w:color w:val="auto"/>
        </w:rPr>
        <w:t>HOUSTON, TEXAS 77002</w:t>
      </w:r>
    </w:p>
    <w:p>
      <w:pPr>
        <w:spacing w:after="0" w:line="184" w:lineRule="exact"/>
        <w:rPr>
          <w:sz w:val="24"/>
          <w:szCs w:val="24"/>
          <w:color w:val="auto"/>
        </w:rPr>
      </w:pPr>
    </w:p>
    <w:p>
      <w:pPr>
        <w:ind w:left="4" w:right="4120" w:firstLine="375"/>
        <w:spacing w:after="0" w:line="236"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Registration Statement becomes effective.</w:t>
      </w:r>
    </w:p>
    <w:p>
      <w:pPr>
        <w:spacing w:after="0" w:line="185" w:lineRule="exact"/>
        <w:rPr>
          <w:sz w:val="24"/>
          <w:szCs w:val="24"/>
          <w:color w:val="auto"/>
        </w:rPr>
      </w:pPr>
    </w:p>
    <w:p>
      <w:pPr>
        <w:ind w:left="4" w:right="4120" w:firstLine="375"/>
        <w:spacing w:after="0" w:line="23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5" w:lineRule="exact"/>
        <w:rPr>
          <w:sz w:val="24"/>
          <w:szCs w:val="24"/>
          <w:color w:val="auto"/>
        </w:rPr>
      </w:pPr>
    </w:p>
    <w:p>
      <w:pPr>
        <w:ind w:left="4" w:right="4120" w:firstLine="375"/>
        <w:spacing w:after="0" w:line="23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X /</w:t>
      </w:r>
    </w:p>
    <w:p>
      <w:pPr>
        <w:spacing w:after="0" w:line="186" w:lineRule="exact"/>
        <w:rPr>
          <w:sz w:val="24"/>
          <w:szCs w:val="24"/>
          <w:color w:val="auto"/>
        </w:rPr>
      </w:pPr>
    </w:p>
    <w:p>
      <w:pPr>
        <w:ind w:left="4" w:right="4120" w:firstLine="375"/>
        <w:spacing w:after="0" w:line="25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_____________________________</w:t>
      </w:r>
    </w:p>
    <w:p>
      <w:pPr>
        <w:spacing w:after="0" w:line="174" w:lineRule="exact"/>
        <w:rPr>
          <w:sz w:val="24"/>
          <w:szCs w:val="24"/>
          <w:color w:val="auto"/>
        </w:rPr>
      </w:pPr>
    </w:p>
    <w:p>
      <w:pPr>
        <w:ind w:left="4" w:right="4300" w:firstLine="375"/>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________________________</w:t>
      </w:r>
    </w:p>
    <w:p>
      <w:pPr>
        <w:spacing w:after="0" w:line="186" w:lineRule="exact"/>
        <w:rPr>
          <w:sz w:val="24"/>
          <w:szCs w:val="24"/>
          <w:color w:val="auto"/>
        </w:rPr>
      </w:pPr>
    </w:p>
    <w:p>
      <w:pPr>
        <w:ind w:left="4" w:right="4120" w:firstLine="375"/>
        <w:spacing w:after="0" w:line="236" w:lineRule="auto"/>
        <w:rPr>
          <w:sz w:val="20"/>
          <w:szCs w:val="20"/>
          <w:color w:val="auto"/>
        </w:rPr>
      </w:pPr>
      <w:r>
        <w:rPr>
          <w:rFonts w:ascii="Courier New" w:cs="Courier New" w:eastAsia="Courier New" w:hAnsi="Courier New"/>
          <w:sz w:val="16"/>
          <w:szCs w:val="16"/>
          <w:color w:val="auto"/>
        </w:rPr>
        <w:t>If delivery of this prospectus is expected to be made pursuant to Rule 434, please check the following box. [ ]</w:t>
      </w:r>
    </w:p>
    <w:p>
      <w:pPr>
        <w:spacing w:after="0" w:line="185"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4116"/>
        <w:spacing w:after="0"/>
        <w:rPr>
          <w:sz w:val="20"/>
          <w:szCs w:val="20"/>
          <w:color w:val="auto"/>
        </w:rPr>
      </w:pPr>
      <w:r>
        <w:rPr>
          <w:rFonts w:ascii="Courier New" w:cs="Courier New" w:eastAsia="Courier New" w:hAnsi="Courier New"/>
          <w:sz w:val="16"/>
          <w:szCs w:val="16"/>
          <w:color w:val="auto"/>
        </w:rPr>
        <w:t>CALCULATION OF REGISTRATION FEE</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w:t>
      </w:r>
    </w:p>
    <w:p>
      <w:pPr>
        <w:spacing w:after="0" w:line="36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tbl>
      <w:tblPr>
        <w:tblLayout w:type="fixed"/>
        <w:tblInd w:w="104" w:type="dxa"/>
        <w:tblCellMar>
          <w:top w:w="0" w:type="dxa"/>
          <w:left w:w="0" w:type="dxa"/>
          <w:bottom w:w="0" w:type="dxa"/>
          <w:right w:w="0" w:type="dxa"/>
        </w:tblCellMar>
      </w:tblPr>
      <w:tr>
        <w:trPr>
          <w:trHeight w:val="181"/>
        </w:trPr>
        <w:tc>
          <w:tcPr>
            <w:tcW w:w="192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Title of</w:t>
            </w:r>
          </w:p>
        </w:tc>
        <w:tc>
          <w:tcPr>
            <w:tcW w:w="2480" w:type="dxa"/>
            <w:vAlign w:val="bottom"/>
          </w:tcPr>
          <w:p>
            <w:pPr>
              <w:spacing w:after="0"/>
              <w:rPr>
                <w:sz w:val="15"/>
                <w:szCs w:val="15"/>
                <w:color w:val="auto"/>
              </w:rPr>
            </w:pPr>
          </w:p>
        </w:tc>
        <w:tc>
          <w:tcPr>
            <w:tcW w:w="2020" w:type="dxa"/>
            <w:vAlign w:val="bottom"/>
          </w:tcPr>
          <w:p>
            <w:pPr>
              <w:ind w:left="560"/>
              <w:spacing w:after="0"/>
              <w:rPr>
                <w:sz w:val="20"/>
                <w:szCs w:val="20"/>
                <w:color w:val="auto"/>
              </w:rPr>
            </w:pPr>
            <w:r>
              <w:rPr>
                <w:rFonts w:ascii="Courier New" w:cs="Courier New" w:eastAsia="Courier New" w:hAnsi="Courier New"/>
                <w:sz w:val="16"/>
                <w:szCs w:val="16"/>
                <w:color w:val="auto"/>
              </w:rPr>
              <w:t>Proposed</w:t>
            </w:r>
          </w:p>
        </w:tc>
        <w:tc>
          <w:tcPr>
            <w:tcW w:w="1960" w:type="dxa"/>
            <w:vAlign w:val="bottom"/>
          </w:tcPr>
          <w:p>
            <w:pPr>
              <w:ind w:left="700"/>
              <w:spacing w:after="0"/>
              <w:rPr>
                <w:sz w:val="20"/>
                <w:szCs w:val="20"/>
                <w:color w:val="auto"/>
              </w:rPr>
            </w:pPr>
            <w:r>
              <w:rPr>
                <w:rFonts w:ascii="Courier New" w:cs="Courier New" w:eastAsia="Courier New" w:hAnsi="Courier New"/>
                <w:sz w:val="16"/>
                <w:szCs w:val="16"/>
                <w:color w:val="auto"/>
              </w:rPr>
              <w:t>Proposed</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92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securities</w:t>
            </w:r>
          </w:p>
        </w:tc>
        <w:tc>
          <w:tcPr>
            <w:tcW w:w="248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8"/>
              </w:rPr>
              <w:t>maximum</w:t>
            </w:r>
          </w:p>
        </w:tc>
        <w:tc>
          <w:tcPr>
            <w:tcW w:w="1960" w:type="dxa"/>
            <w:vAlign w:val="bottom"/>
          </w:tcPr>
          <w:p>
            <w:pPr>
              <w:ind w:left="700"/>
              <w:spacing w:after="0"/>
              <w:rPr>
                <w:sz w:val="20"/>
                <w:szCs w:val="20"/>
                <w:color w:val="auto"/>
              </w:rPr>
            </w:pPr>
            <w:r>
              <w:rPr>
                <w:rFonts w:ascii="Courier New" w:cs="Courier New" w:eastAsia="Courier New" w:hAnsi="Courier New"/>
                <w:sz w:val="16"/>
                <w:szCs w:val="16"/>
                <w:color w:val="auto"/>
              </w:rPr>
              <w:t>maximum</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920" w:type="dxa"/>
            <w:vAlign w:val="bottom"/>
          </w:tcPr>
          <w:p>
            <w:pPr>
              <w:jc w:val="right"/>
              <w:ind w:right="922"/>
              <w:spacing w:after="0"/>
              <w:rPr>
                <w:sz w:val="20"/>
                <w:szCs w:val="20"/>
                <w:color w:val="auto"/>
              </w:rPr>
            </w:pPr>
            <w:r>
              <w:rPr>
                <w:rFonts w:ascii="Courier New" w:cs="Courier New" w:eastAsia="Courier New" w:hAnsi="Courier New"/>
                <w:sz w:val="16"/>
                <w:szCs w:val="16"/>
                <w:color w:val="auto"/>
              </w:rPr>
              <w:t>to be</w:t>
            </w:r>
          </w:p>
        </w:tc>
        <w:tc>
          <w:tcPr>
            <w:tcW w:w="24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Amount</w:t>
            </w:r>
          </w:p>
        </w:tc>
        <w:tc>
          <w:tcPr>
            <w:tcW w:w="2020" w:type="dxa"/>
            <w:vAlign w:val="bottom"/>
          </w:tcPr>
          <w:p>
            <w:pPr>
              <w:ind w:left="560"/>
              <w:spacing w:after="0"/>
              <w:rPr>
                <w:sz w:val="20"/>
                <w:szCs w:val="20"/>
                <w:color w:val="auto"/>
              </w:rPr>
            </w:pPr>
            <w:r>
              <w:rPr>
                <w:rFonts w:ascii="Courier New" w:cs="Courier New" w:eastAsia="Courier New" w:hAnsi="Courier New"/>
                <w:sz w:val="16"/>
                <w:szCs w:val="16"/>
                <w:color w:val="auto"/>
              </w:rPr>
              <w:t>offering</w:t>
            </w:r>
          </w:p>
        </w:tc>
        <w:tc>
          <w:tcPr>
            <w:tcW w:w="196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aggregate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42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0"/>
        </w:trPr>
        <w:tc>
          <w:tcPr>
            <w:tcW w:w="192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registered</w:t>
            </w:r>
          </w:p>
        </w:tc>
        <w:tc>
          <w:tcPr>
            <w:tcW w:w="24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to be</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1960" w:type="dxa"/>
            <w:vAlign w:val="bottom"/>
          </w:tcPr>
          <w:p>
            <w:pPr>
              <w:ind w:left="700"/>
              <w:spacing w:after="0"/>
              <w:rPr>
                <w:sz w:val="20"/>
                <w:szCs w:val="20"/>
                <w:color w:val="auto"/>
              </w:rPr>
            </w:pPr>
            <w:r>
              <w:rPr>
                <w:rFonts w:ascii="Courier New" w:cs="Courier New" w:eastAsia="Courier New" w:hAnsi="Courier New"/>
                <w:sz w:val="16"/>
                <w:szCs w:val="16"/>
                <w:color w:val="auto"/>
              </w:rPr>
              <w:t>offering</w:t>
            </w:r>
          </w:p>
        </w:tc>
        <w:tc>
          <w:tcPr>
            <w:tcW w:w="1640" w:type="dxa"/>
            <w:vAlign w:val="bottom"/>
            <w:gridSpan w:val="2"/>
          </w:tcPr>
          <w:p>
            <w:pPr>
              <w:ind w:left="520"/>
              <w:spacing w:after="0"/>
              <w:rPr>
                <w:sz w:val="20"/>
                <w:szCs w:val="20"/>
                <w:color w:val="auto"/>
              </w:rPr>
            </w:pPr>
            <w:r>
              <w:rPr>
                <w:rFonts w:ascii="Courier New" w:cs="Courier New" w:eastAsia="Courier New" w:hAnsi="Courier New"/>
                <w:sz w:val="16"/>
                <w:szCs w:val="16"/>
                <w:color w:val="auto"/>
                <w:w w:val="95"/>
              </w:rPr>
              <w:t>registration</w:t>
            </w:r>
          </w:p>
        </w:tc>
      </w:tr>
      <w:tr>
        <w:trPr>
          <w:trHeight w:val="180"/>
        </w:trPr>
        <w:tc>
          <w:tcPr>
            <w:tcW w:w="1920" w:type="dxa"/>
            <w:vAlign w:val="bottom"/>
          </w:tcPr>
          <w:p>
            <w:pPr>
              <w:jc w:val="right"/>
              <w:ind w:right="642"/>
              <w:spacing w:after="0"/>
              <w:rPr>
                <w:sz w:val="20"/>
                <w:szCs w:val="20"/>
                <w:color w:val="auto"/>
              </w:rPr>
            </w:pPr>
            <w:r>
              <w:rPr>
                <w:rFonts w:ascii="Courier New" w:cs="Courier New" w:eastAsia="Courier New" w:hAnsi="Courier New"/>
                <w:sz w:val="16"/>
                <w:szCs w:val="16"/>
                <w:color w:val="auto"/>
                <w:w w:val="94"/>
              </w:rPr>
              <w:t>Common Stock,</w:t>
            </w:r>
          </w:p>
        </w:tc>
        <w:tc>
          <w:tcPr>
            <w:tcW w:w="24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registered(1)</w:t>
            </w:r>
          </w:p>
        </w:tc>
        <w:tc>
          <w:tcPr>
            <w:tcW w:w="2020" w:type="dxa"/>
            <w:vAlign w:val="bottom"/>
          </w:tcPr>
          <w:p>
            <w:pPr>
              <w:ind w:left="560"/>
              <w:spacing w:after="0"/>
              <w:rPr>
                <w:sz w:val="20"/>
                <w:szCs w:val="20"/>
                <w:color w:val="auto"/>
              </w:rPr>
            </w:pPr>
            <w:r>
              <w:rPr>
                <w:rFonts w:ascii="Courier New" w:cs="Courier New" w:eastAsia="Courier New" w:hAnsi="Courier New"/>
                <w:sz w:val="16"/>
                <w:szCs w:val="16"/>
                <w:color w:val="auto"/>
              </w:rPr>
              <w:t>per share</w:t>
            </w:r>
          </w:p>
        </w:tc>
        <w:tc>
          <w:tcPr>
            <w:tcW w:w="19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5"/>
              </w:rPr>
              <w:t>price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fee</w:t>
            </w:r>
          </w:p>
        </w:tc>
        <w:tc>
          <w:tcPr>
            <w:tcW w:w="420" w:type="dxa"/>
            <w:vAlign w:val="bottom"/>
          </w:tcPr>
          <w:p>
            <w:pPr>
              <w:spacing w:after="0"/>
              <w:rPr>
                <w:sz w:val="15"/>
                <w:szCs w:val="15"/>
                <w:color w:val="auto"/>
              </w:rPr>
            </w:pPr>
          </w:p>
        </w:tc>
      </w:tr>
    </w:tbl>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ind w:left="4"/>
        <w:spacing w:after="0"/>
        <w:tabs>
          <w:tab w:leader="none" w:pos="2603" w:val="left"/>
          <w:tab w:leader="none" w:pos="4863" w:val="left"/>
          <w:tab w:leader="none" w:pos="6923" w:val="left"/>
          <w:tab w:leader="none" w:pos="9163" w:val="left"/>
        </w:tabs>
        <w:rPr>
          <w:sz w:val="20"/>
          <w:szCs w:val="20"/>
          <w:color w:val="auto"/>
        </w:rPr>
      </w:pPr>
      <w:r>
        <w:rPr>
          <w:rFonts w:ascii="Courier New" w:cs="Courier New" w:eastAsia="Courier New" w:hAnsi="Courier New"/>
          <w:sz w:val="16"/>
          <w:szCs w:val="16"/>
          <w:color w:val="auto"/>
        </w:rPr>
        <w:t>$.01 par value</w:t>
      </w:r>
      <w:r>
        <w:rPr>
          <w:sz w:val="20"/>
          <w:szCs w:val="20"/>
          <w:color w:val="auto"/>
        </w:rPr>
        <w:tab/>
      </w:r>
      <w:r>
        <w:rPr>
          <w:rFonts w:ascii="Courier New" w:cs="Courier New" w:eastAsia="Courier New" w:hAnsi="Courier New"/>
          <w:sz w:val="16"/>
          <w:szCs w:val="16"/>
          <w:color w:val="auto"/>
        </w:rPr>
        <w:t>108,375 shares</w:t>
      </w:r>
      <w:r>
        <w:rPr>
          <w:sz w:val="20"/>
          <w:szCs w:val="20"/>
          <w:color w:val="auto"/>
        </w:rPr>
        <w:tab/>
      </w:r>
      <w:r>
        <w:rPr>
          <w:rFonts w:ascii="Courier New" w:cs="Courier New" w:eastAsia="Courier New" w:hAnsi="Courier New"/>
          <w:sz w:val="16"/>
          <w:szCs w:val="16"/>
          <w:color w:val="auto"/>
        </w:rPr>
        <w:t>$ 31.9375(1)</w:t>
      </w:r>
      <w:r>
        <w:rPr>
          <w:sz w:val="20"/>
          <w:szCs w:val="20"/>
          <w:color w:val="auto"/>
        </w:rPr>
        <w:tab/>
      </w:r>
      <w:r>
        <w:rPr>
          <w:rFonts w:ascii="Courier New" w:cs="Courier New" w:eastAsia="Courier New" w:hAnsi="Courier New"/>
          <w:sz w:val="16"/>
          <w:szCs w:val="16"/>
          <w:color w:val="auto"/>
        </w:rPr>
        <w:t>$ 3,461,226.50</w:t>
      </w:r>
      <w:r>
        <w:rPr>
          <w:sz w:val="20"/>
          <w:szCs w:val="20"/>
          <w:color w:val="auto"/>
        </w:rPr>
        <w:tab/>
      </w:r>
      <w:r>
        <w:rPr>
          <w:rFonts w:ascii="Courier New" w:cs="Courier New" w:eastAsia="Courier New" w:hAnsi="Courier New"/>
          <w:sz w:val="15"/>
          <w:szCs w:val="15"/>
          <w:color w:val="auto"/>
        </w:rPr>
        <w:t>$1,048.86</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371" w:lineRule="exact"/>
        <w:rPr>
          <w:sz w:val="24"/>
          <w:szCs w:val="24"/>
          <w:color w:val="auto"/>
        </w:rPr>
      </w:pPr>
    </w:p>
    <w:p>
      <w:pPr>
        <w:ind w:left="844" w:right="4200" w:hanging="844"/>
        <w:spacing w:after="0" w:line="263" w:lineRule="auto"/>
        <w:tabs>
          <w:tab w:leader="none" w:pos="84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in accordance with Rule 457(c) on the basis of the average high and low closing prices for Common Stock on the New York Stock</w:t>
      </w:r>
    </w:p>
    <w:p>
      <w:pPr>
        <w:sectPr>
          <w:pgSz w:w="11900" w:h="16864" w:orient="portrait"/>
          <w:cols w:equalWidth="0" w:num="1">
            <w:col w:w="11524"/>
          </w:cols>
          <w:pgMar w:left="236" w:top="233" w:right="139" w:bottom="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6"/>
          <w:szCs w:val="16"/>
          <w:color w:val="auto"/>
        </w:rPr>
        <w:t>Exchange on December 4, 1996.</w:t>
      </w:r>
    </w:p>
    <w:p>
      <w:pPr>
        <w:spacing w:after="0" w:line="36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SUCH SECTION 8(A), MAY DETERMINE.</w:t>
      </w:r>
    </w:p>
    <w:p>
      <w:pPr>
        <w:sectPr>
          <w:pgSz w:w="11900" w:h="16838" w:orient="portrait"/>
          <w:cols w:equalWidth="0" w:num="1">
            <w:col w:w="10219"/>
          </w:cols>
          <w:pgMar w:left="240" w:top="137"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ind w:left="1600"/>
        <w:spacing w:after="0"/>
        <w:rPr>
          <w:sz w:val="20"/>
          <w:szCs w:val="20"/>
          <w:color w:val="auto"/>
        </w:rPr>
      </w:pPr>
      <w:r>
        <w:rPr>
          <w:rFonts w:ascii="Courier New" w:cs="Courier New" w:eastAsia="Courier New" w:hAnsi="Courier New"/>
          <w:sz w:val="16"/>
          <w:szCs w:val="16"/>
          <w:color w:val="auto"/>
        </w:rPr>
        <w:t>SUBJECT TO COMPLETION, DATED DECEMBER 6, 1996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108,375 Shares</w:t>
      </w:r>
    </w:p>
    <w:p>
      <w:pPr>
        <w:spacing w:after="0" w:line="17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USA WASTE SERVICES, INC.</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pacing w:after="0" w:line="34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This Prospectus relates to 108,375 shares (the "Shares") of the Common Stock, $.01 par value ("Common Stock"), of USA Waste Services, Inc., a Delaware corporation ("USA Waste" or the "Company") offered for the account of the selling shareholders (the "Selling Shareholders") and their transferees if they wish to sell any of the Shares in transactions in which they and any broker-dealer through whom the Shares are sold may be deemed underwriters within the meaning of the Securities Act of 1933, as amended (the "Securities Act"). See "Selling Shareholders." The Company will not receive any proceeds from the sale of the Shares sold by the Selling Shareholders.</w:t>
      </w:r>
    </w:p>
    <w:p>
      <w:pPr>
        <w:spacing w:after="0" w:line="17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Company anticipates that any sales by the Selling Shareholders and their transferees will be effected from time to time on the open market in ordinary brokerage transactions on the New York Stock Exchange (the "NYSE"), on which the Common Stock is listed, in the over-the-counter market, or in private transactions, at market prices prevailing at the time of sale or at negotiated prices. The Shares will be offered for sale on terms to be determined when the agreement to sell is made or at the time of sale, as the case may be. The Shares may be offered directly, through agents designated from time to time, or through brokers or dealers. A member firm of the NYSE may be engaged to act as a Selling Shareholder's agent in the sale of the Shares by such Selling Shareholders. The commission paid to the member firm will be the normal stock exchange commission (including negotiated commissions to the extent permissible). Sales of Shares by the member firm may be made on the NYSE from time to time at prices related to prices then prevailing. Any such sales may be block trades. Any commissions allowed to any broker-dealer, and if any broker-dealer purchases any of the Shares as principal, any profits received on the resale of such Shares may be deemed underwriting discounts and commissions under the Securities Act. See "Manner of Offering."</w:t>
      </w:r>
    </w:p>
    <w:p>
      <w:pPr>
        <w:spacing w:after="0" w:line="17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Shares of Common Stock offered hereby have been listed on the NYSE. On December __, 1996, the last sale price of the Common Stock on the NYSE was $__.___ per share.</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w:t>
      </w:r>
    </w:p>
    <w:p>
      <w:pPr>
        <w:spacing w:after="0" w:line="4" w:lineRule="exact"/>
        <w:rPr>
          <w:sz w:val="20"/>
          <w:szCs w:val="20"/>
          <w:color w:val="auto"/>
        </w:rPr>
      </w:pPr>
    </w:p>
    <w:p>
      <w:pPr>
        <w:jc w:val="center"/>
        <w:ind w:left="340" w:right="560"/>
        <w:spacing w:after="0" w:line="254" w:lineRule="auto"/>
        <w:rPr>
          <w:sz w:val="20"/>
          <w:szCs w:val="20"/>
          <w:color w:val="auto"/>
        </w:rPr>
      </w:pPr>
      <w:r>
        <w:rPr>
          <w:rFonts w:ascii="Courier New" w:cs="Courier New" w:eastAsia="Courier New" w:hAnsi="Courier New"/>
          <w:sz w:val="15"/>
          <w:szCs w:val="15"/>
          <w:color w:val="auto"/>
        </w:rPr>
        <w:t>AND EXCHANGE COMMISSION OR ANY STATE SECURITIES COMMISSION NOR HAS THE COMMISSION OR ANY STATE SECURITIES COMMISSION PASSED UPON THE ACCURACY OR ADEQUACY OF THIS PROSPECTUS.  ANY REPRESENTATION</w:t>
      </w:r>
    </w:p>
    <w:p>
      <w:pPr>
        <w:ind w:left="1960"/>
        <w:spacing w:after="0" w:line="235" w:lineRule="auto"/>
        <w:rPr>
          <w:sz w:val="20"/>
          <w:szCs w:val="20"/>
          <w:color w:val="auto"/>
        </w:rPr>
      </w:pPr>
      <w:r>
        <w:rPr>
          <w:rFonts w:ascii="Courier New" w:cs="Courier New" w:eastAsia="Courier New" w:hAnsi="Courier New"/>
          <w:sz w:val="16"/>
          <w:szCs w:val="16"/>
          <w:color w:val="auto"/>
        </w:rPr>
        <w:t>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The date of this Prospectus is December __, 1996</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tbl>
      <w:tblPr>
        <w:tblLayout w:type="fixed"/>
        <w:tblInd w:w="0" w:type="dxa"/>
        <w:tblCellMar>
          <w:top w:w="0" w:type="dxa"/>
          <w:left w:w="0" w:type="dxa"/>
          <w:bottom w:w="0" w:type="dxa"/>
          <w:right w:w="0" w:type="dxa"/>
        </w:tblCellMar>
      </w:tblPr>
      <w:tr>
        <w:trPr>
          <w:trHeight w:val="180"/>
        </w:trPr>
        <w:tc>
          <w:tcPr>
            <w:tcW w:w="7880" w:type="dxa"/>
            <w:vAlign w:val="bottom"/>
          </w:tcPr>
          <w:p>
            <w:pPr>
              <w:ind w:left="2900"/>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15"/>
                <w:szCs w:val="15"/>
                <w:color w:val="auto"/>
              </w:rPr>
            </w:pPr>
          </w:p>
        </w:tc>
      </w:tr>
      <w:tr>
        <w:trPr>
          <w:trHeight w:val="721"/>
        </w:trPr>
        <w:tc>
          <w:tcPr>
            <w:tcW w:w="7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7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Available Information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Incorporation of Certain Information by Reference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The Company . . . . .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Recent Developments .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Risk Factors  . . . .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Use of Proceeds   . .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Description of Capital Stock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Selling Shareholders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Manner of Offering  .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Legal Matters   . . .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w:t>
            </w:r>
          </w:p>
        </w:tc>
      </w:tr>
      <w:tr>
        <w:trPr>
          <w:trHeight w:val="180"/>
        </w:trPr>
        <w:tc>
          <w:tcPr>
            <w:tcW w:w="7880" w:type="dxa"/>
            <w:vAlign w:val="bottom"/>
          </w:tcPr>
          <w:p>
            <w:pPr>
              <w:spacing w:after="0"/>
              <w:rPr>
                <w:sz w:val="20"/>
                <w:szCs w:val="20"/>
                <w:color w:val="auto"/>
              </w:rPr>
            </w:pPr>
            <w:r>
              <w:rPr>
                <w:rFonts w:ascii="Courier New" w:cs="Courier New" w:eastAsia="Courier New" w:hAnsi="Courier New"/>
                <w:sz w:val="16"/>
                <w:szCs w:val="16"/>
                <w:color w:val="auto"/>
                <w:w w:val="98"/>
              </w:rPr>
              <w:t>Experts   . . . . . . . . . . . . . . . . . . . . . . . . . . . . . . . . . . . . .</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w:t>
            </w:r>
          </w:p>
        </w:tc>
      </w:tr>
    </w:tbl>
    <w:p>
      <w:pPr>
        <w:spacing w:after="0" w:line="200" w:lineRule="exact"/>
        <w:rPr>
          <w:sz w:val="20"/>
          <w:szCs w:val="20"/>
          <w:color w:val="auto"/>
        </w:rPr>
      </w:pPr>
    </w:p>
    <w:p>
      <w:pPr>
        <w:spacing w:after="0" w:line="34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AVAILABLE INFORMATION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and information statements, and other information filed by the Company can be inspected and copied at the public reference facilities maintained by the Commission at Room 1024, Judiciary Plaza Building, 450 Fifth Street, N.W., Washington, D.C. 20549 and at the following Regional Offices of the Commission: Chicago Regional Office, Citicorp Center, 500 West Madison, Suite 1400, Chicago, Illinois 60661-2511; and New York Regional Office, Seven World Trade Center, Suite 1300, New York, New York 10048. Copies of such material can be obtained from the Public Reference Section of the Commission at 450 Fifth Street, N.W., Room 1024, Washington, D.C. 20549, at prescribed rates. The Commission maintains a World Wide Web site on the Internet at http:/www.sec.gov that contains reports, proxy and information statements, and other information regarding registrants that file electronically with the Commission. In addition, the Company's securities are listed on the New York Stock Exchange (the "NYSE") and reports, proxy and information statements, and other information concerning the Company can be inspected at the offices of the NYSE at 20 Broad Street, New York, New York 10005.</w:t>
      </w:r>
    </w:p>
    <w:p>
      <w:pPr>
        <w:spacing w:after="0" w:line="193"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This Prospectus constitutes part of a Registration Statement on Form S-3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ind w:left="130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documents filed by the Company with the Commission under the Exchange Act (File No. 1-12154) are incorporated by reference in this Prospectus and made a part hereof:</w:t>
      </w:r>
    </w:p>
    <w:p>
      <w:pPr>
        <w:spacing w:after="0" w:line="185" w:lineRule="exact"/>
        <w:rPr>
          <w:sz w:val="20"/>
          <w:szCs w:val="20"/>
          <w:color w:val="auto"/>
        </w:rPr>
      </w:pPr>
    </w:p>
    <w:p>
      <w:pPr>
        <w:ind w:left="660" w:right="3379" w:hanging="382"/>
        <w:spacing w:after="0" w:line="236" w:lineRule="auto"/>
        <w:tabs>
          <w:tab w:leader="none" w:pos="6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fiscal year ended December 31, 1995;</w:t>
      </w:r>
    </w:p>
    <w:p>
      <w:pPr>
        <w:spacing w:after="0" w:line="184" w:lineRule="exact"/>
        <w:rPr>
          <w:rFonts w:ascii="Courier New" w:cs="Courier New" w:eastAsia="Courier New" w:hAnsi="Courier New"/>
          <w:sz w:val="16"/>
          <w:szCs w:val="16"/>
          <w:color w:val="auto"/>
        </w:rPr>
      </w:pPr>
    </w:p>
    <w:p>
      <w:pPr>
        <w:ind w:left="660" w:right="3279" w:hanging="382"/>
        <w:spacing w:after="0" w:line="236" w:lineRule="auto"/>
        <w:tabs>
          <w:tab w:leader="none" w:pos="6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the quarters ended March 31, 1996, June 30, 1996, and September 30, 1996;</w:t>
      </w:r>
    </w:p>
    <w:p>
      <w:pPr>
        <w:spacing w:after="0" w:line="184" w:lineRule="exact"/>
        <w:rPr>
          <w:rFonts w:ascii="Courier New" w:cs="Courier New" w:eastAsia="Courier New" w:hAnsi="Courier New"/>
          <w:sz w:val="16"/>
          <w:szCs w:val="16"/>
          <w:color w:val="auto"/>
        </w:rPr>
      </w:pPr>
    </w:p>
    <w:p>
      <w:pPr>
        <w:ind w:left="660" w:right="3179" w:hanging="382"/>
        <w:spacing w:after="0" w:line="238" w:lineRule="auto"/>
        <w:tabs>
          <w:tab w:leader="none" w:pos="6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 on Form 8-K dated December 18, 1995, Current Report on Form 8-K dated May 7, 1996, as amended by its Form 8-K/A (Amendment No. 1) filed May 29, 1996, Form 8-K/A (Amendment No. 2) filed June 28, 1996, and Form 8-K/A (Amendment No. 3) filed July 1, 1996, Current Report on Form 8-K dated June 22, 1996, Current Report on Form 8-K dated September 3, 1996, Current Report on Form 8-K dated September 12, 1996, as amended by Form 8-K/A (Amendment No. 1) filed November 14, 1996 and Form 8-K/A (Amendment No. 2) filed November 15, 1996, and Current Report on Form 8-K dated November 12, 1996;</w:t>
      </w:r>
    </w:p>
    <w:p>
      <w:pPr>
        <w:spacing w:after="0" w:line="186" w:lineRule="exact"/>
        <w:rPr>
          <w:rFonts w:ascii="Courier New" w:cs="Courier New" w:eastAsia="Courier New" w:hAnsi="Courier New"/>
          <w:sz w:val="16"/>
          <w:szCs w:val="16"/>
          <w:color w:val="auto"/>
        </w:rPr>
      </w:pPr>
    </w:p>
    <w:p>
      <w:pPr>
        <w:ind w:left="660" w:right="2999" w:hanging="382"/>
        <w:spacing w:after="0" w:line="237" w:lineRule="auto"/>
        <w:tabs>
          <w:tab w:leader="none" w:pos="6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Joint Proxy Statement and Prospectus for the Annual Meeting of Shareholders dated April 2, 1996, and Joint Proxy Statement and Prospectus for the Special Meeting of Shareholders dated July 19, 1996; and</w:t>
      </w:r>
    </w:p>
    <w:p>
      <w:pPr>
        <w:spacing w:after="0" w:line="185" w:lineRule="exact"/>
        <w:rPr>
          <w:rFonts w:ascii="Courier New" w:cs="Courier New" w:eastAsia="Courier New" w:hAnsi="Courier New"/>
          <w:sz w:val="16"/>
          <w:szCs w:val="16"/>
          <w:color w:val="auto"/>
        </w:rPr>
      </w:pPr>
    </w:p>
    <w:p>
      <w:pPr>
        <w:ind w:left="660" w:right="3179" w:hanging="382"/>
        <w:spacing w:after="0" w:line="237" w:lineRule="auto"/>
        <w:tabs>
          <w:tab w:leader="none" w:pos="6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Common Stock contained in the Company's Registration Statement on Form 8-A dated July 1, 1993, as amended by Form 8-B dated July 13, 1995.</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documents filed by the Company pursuant to Sections 13(a), 13(c), 14, or 15(d) of the Exchange Act subsequent to the date of this Prospectus and prior to the termination of the offering described herein shall be deemed to be incorporated by reference and to be a part of this Prospectus from the date of filing of such documents. All information appearing in this Prospectus is qualified in its entirety by the information and financial statements (including the notes thereto) appearing in the documents incorporated by reference. Any statement contained in a document incorporated by reference herein shall be deemed to be modified or superseded for all purposes to the extent that a statement contained herein or in any other subsequently filed document which also is or is deemed to be incorporated by reference herein modifies or replaces such statement. Any such statement so modified or superseded shall not be deemed, except as so modified or superseded, to constitute a part of this Prospectus.</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upon written or oral request of such person, a copy of any and all documents referred to above which have been incorporated by reference in this Prospectus (other than exhibits to such documents, unless such exhibits are specifically incorporated by reference into such documents). Such requests should be directed to the Corporate Secretary, USA Waste Services, Inc. (i) if by telephone to (713) 512-6200 and (ii) if by mail to 1001 Fannin, Suite 4000, Houston, Texas 77002.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ind w:left="3180"/>
        <w:spacing w:after="0"/>
        <w:rPr>
          <w:sz w:val="20"/>
          <w:szCs w:val="20"/>
          <w:color w:val="auto"/>
        </w:rPr>
      </w:pPr>
      <w:r>
        <w:rPr>
          <w:rFonts w:ascii="Courier New" w:cs="Courier New" w:eastAsia="Courier New" w:hAnsi="Courier New"/>
          <w:sz w:val="16"/>
          <w:szCs w:val="16"/>
          <w:color w:val="auto"/>
        </w:rPr>
        <w:t>THE COMPANY</w:t>
      </w:r>
    </w:p>
    <w:p>
      <w:pPr>
        <w:spacing w:after="0" w:line="184" w:lineRule="exact"/>
        <w:rPr>
          <w:sz w:val="20"/>
          <w:szCs w:val="20"/>
          <w:color w:val="auto"/>
        </w:rPr>
      </w:pPr>
    </w:p>
    <w:p>
      <w:pPr>
        <w:ind w:right="2899" w:firstLine="938"/>
        <w:spacing w:after="0" w:line="238" w:lineRule="auto"/>
        <w:rPr>
          <w:sz w:val="20"/>
          <w:szCs w:val="20"/>
          <w:color w:val="auto"/>
        </w:rPr>
      </w:pPr>
      <w:r>
        <w:rPr>
          <w:rFonts w:ascii="Courier New" w:cs="Courier New" w:eastAsia="Courier New" w:hAnsi="Courier New"/>
          <w:sz w:val="16"/>
          <w:szCs w:val="16"/>
          <w:color w:val="auto"/>
        </w:rPr>
        <w:t>USA Waste is the third largest integrated solid waste management company in North America and serves municipal, commercial, industrial and residential customers in 36 states, Canada, Mexico, and Puerto Rico. USA Waste's solid waste management services include collection, transfer and disposal operations and, to a lesser extent, recycling and certain other waste management services. USA Waste owns or operates 104 landfills, 60 transfer stations and 122 collection operations and serves more than 1.7 million customers.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 intends to continue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90"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Additional information concerning the Company's business, assets, management, results of operations, and other matters is included in the Company's reports filed under the Exchange Act that are incorporated by reference in this Prospectus, including the Company's Annual Report on Form 10-K for the year ended December 31, 1995, and the Joint Proxy Statement and Prospectus dated July 19, 1996. See "Incorporation of Certain Information by Reference."</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term "Company" and "USA Waste" refer to USA Waste Services, Inc., a Delaware corporation, and its subsidiaries and predecessors unless the context requires otherwise. USA Waste was incorporated under the laws of the State of Delaware in April 1995 to become the successor to USA Waste Services, Inc., an Oklahoma corporation organized in 1987. The Company's executive offices are located at 1001 Fannin, Suite 4000, Houston, Texas 77002, and its telephone number is (713) 512-6200.</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On June 22, 1996, the Company entered into an Agreement and Plan of Merger with Sanifill, Inc., a Delaware corporation ("Sanifill"), providing for, among other things, the merger (the "Sanifill Merger") of Quatro Acquisition Corp., a Delaware corporation and wholly-owned subsidiary of the Company with and into Sanifill and the conversion of each outstanding share of Sanifill common stock into 1.7 shares of the Company's Common Stock. The Sanifill Merger was approved by the Company's stockholders on August 27, 1996, and was completed on September 3, 1996. Upon consummation of the Sanifill Merger, the Company issued approximately 54.66 million shares of Common Stock. Sanifill owns and operates nonhazardous waste disposal, treatment, collection, transfer and recycling businesses and complementary operations. Since it was founded in 1989, Sanifill acquired 142 disposal, collection and related businesses. As of June 30, 1996, Sanifill operated 50 disposal and treatment facilities, 26 transfer stations, and 36 collection operations. In addition, Sanifill provides sludge treatment and organic recycling services. Additional information concerning Sanifill is included in Sanifill's reports filed under the Exchange Act that are incorporated by reference in the Joint Proxy Statement and Prospectus dated July 19, 1996. See "Available Information" and "Incorporation of Certain Information by Reference."</w:t>
      </w:r>
    </w:p>
    <w:p>
      <w:pPr>
        <w:spacing w:after="0" w:line="358"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 expanded its operations and markets with its acquisition of Western Waste Industries ("Western") on May 7, 1996 (the "Western Merger"). With the addition of the Western operations, which include significant collection operations, the Company significantly increased its presence in California and added additional operations in Texas, Louisiana, Florida, Colorado, and Arkansas. Western had 91 municipal and regional authority contracts and served over 785,000 customers. As part of its business, Western operated six landfills, three transfer stations, and five recycling facilities.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jc w:val="center"/>
        <w:ind w:right="2719"/>
        <w:spacing w:after="0"/>
        <w:rPr>
          <w:sz w:val="20"/>
          <w:szCs w:val="20"/>
          <w:color w:val="auto"/>
        </w:rPr>
      </w:pPr>
      <w:r>
        <w:rPr>
          <w:rFonts w:ascii="Courier New" w:cs="Courier New" w:eastAsia="Courier New" w:hAnsi="Courier New"/>
          <w:sz w:val="16"/>
          <w:szCs w:val="16"/>
          <w:color w:val="auto"/>
        </w:rPr>
        <w:t>RISK FACTORS</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addition to the other information set forth in this Prospectus, the following factors should be considered by prospective investors when evaluating an investment in the Common Stock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 MAY NOT PROVE ACCURATE</w:t>
      </w:r>
    </w:p>
    <w:p>
      <w:pPr>
        <w:spacing w:after="0" w:line="185" w:lineRule="exact"/>
        <w:rPr>
          <w:sz w:val="20"/>
          <w:szCs w:val="20"/>
          <w:color w:val="auto"/>
        </w:rPr>
      </w:pPr>
    </w:p>
    <w:p>
      <w:pPr>
        <w:ind w:right="3099" w:firstLine="469"/>
        <w:spacing w:after="0" w:line="238" w:lineRule="auto"/>
        <w:rPr>
          <w:sz w:val="20"/>
          <w:szCs w:val="20"/>
          <w:color w:val="auto"/>
        </w:rPr>
      </w:pPr>
      <w:r>
        <w:rPr>
          <w:rFonts w:ascii="Courier New" w:cs="Courier New" w:eastAsia="Courier New" w:hAnsi="Courier New"/>
          <w:sz w:val="16"/>
          <w:szCs w:val="16"/>
          <w:color w:val="auto"/>
        </w:rPr>
        <w:t>When used or incorporated by reference in this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Among the key factors that have a direct bearing on the Company's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The Company has also made certain assumptions relating to the outcome of various commercial, legal and regulatory proceedings relating to the Company's operations and the industry generally. These and other risk factors are discussed below.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BENEFITS OF SANIFILL MERGER MAY NOT BE ACHIEVED</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There can be no assurance that the expected benefits of the Sanifill Merger relative to the combined business as described in the Joint Proxy Statement and Prospectus dated July 19, 1996 under "The Merger and Related Transactions -- USA Waste's Reasons for the Merger" and "The Merger and Related Transactions -- Sanifill's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general economies of scale and, generally, to capitalize on the combined asset base and strategic position of the combined entity.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ASSURANCE OF SUCCESSFUL MANAGEMENT AND MAINTENANCE OF GROWTH</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Sanifill and Western, the Company's most recent large acquisitions.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NEED FOR CAPITAL; DEBT FINANCING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long-term debt of the Company (including Western and Sanifill),</w:t>
      </w:r>
    </w:p>
    <w:p>
      <w:pPr>
        <w:spacing w:after="0"/>
        <w:rPr>
          <w:sz w:val="20"/>
          <w:szCs w:val="20"/>
          <w:color w:val="auto"/>
        </w:rPr>
      </w:pPr>
      <w:r>
        <w:rPr>
          <w:rFonts w:ascii="Courier New" w:cs="Courier New" w:eastAsia="Courier New" w:hAnsi="Courier New"/>
          <w:sz w:val="16"/>
          <w:szCs w:val="16"/>
          <w:color w:val="auto"/>
        </w:rPr>
        <w:t>including current maturities, as of September 30, 1996, was approximately</w:t>
      </w:r>
    </w:p>
    <w:p>
      <w:pPr>
        <w:spacing w:after="0"/>
        <w:tabs>
          <w:tab w:leader="none" w:pos="1580" w:val="left"/>
        </w:tabs>
        <w:rPr>
          <w:sz w:val="20"/>
          <w:szCs w:val="20"/>
          <w:color w:val="auto"/>
        </w:rPr>
      </w:pPr>
      <w:r>
        <w:rPr>
          <w:rFonts w:ascii="Courier New" w:cs="Courier New" w:eastAsia="Courier New" w:hAnsi="Courier New"/>
          <w:sz w:val="16"/>
          <w:szCs w:val="16"/>
          <w:color w:val="auto"/>
        </w:rPr>
        <w:t>$1,026 million.</w:t>
      </w:r>
      <w:r>
        <w:rPr>
          <w:sz w:val="20"/>
          <w:szCs w:val="20"/>
          <w:color w:val="auto"/>
        </w:rPr>
        <w:tab/>
      </w:r>
      <w:r>
        <w:rPr>
          <w:rFonts w:ascii="Courier New" w:cs="Courier New" w:eastAsia="Courier New" w:hAnsi="Courier New"/>
          <w:sz w:val="15"/>
          <w:szCs w:val="15"/>
          <w:color w:val="auto"/>
        </w:rPr>
        <w:t>The Company expects to require additional capital from time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to pursue its acquisition strategy and to fund internal growth. A portion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Company's future capital requirements may be provided through future</w:t>
      </w:r>
    </w:p>
    <w:p>
      <w:pPr>
        <w:spacing w:after="0"/>
        <w:tabs>
          <w:tab w:leader="none" w:pos="4940" w:val="left"/>
        </w:tabs>
        <w:rPr>
          <w:sz w:val="20"/>
          <w:szCs w:val="20"/>
          <w:color w:val="auto"/>
        </w:rPr>
      </w:pPr>
      <w:r>
        <w:rPr>
          <w:rFonts w:ascii="Courier New" w:cs="Courier New" w:eastAsia="Courier New" w:hAnsi="Courier New"/>
          <w:sz w:val="16"/>
          <w:szCs w:val="16"/>
          <w:color w:val="auto"/>
        </w:rPr>
        <w:t>debt incurrences or issuances of equity securities.</w:t>
      </w:r>
      <w:r>
        <w:rPr>
          <w:sz w:val="20"/>
          <w:szCs w:val="20"/>
          <w:color w:val="auto"/>
        </w:rPr>
        <w:tab/>
      </w:r>
      <w:r>
        <w:rPr>
          <w:rFonts w:ascii="Courier New" w:cs="Courier New" w:eastAsia="Courier New" w:hAnsi="Courier New"/>
          <w:sz w:val="15"/>
          <w:szCs w:val="15"/>
          <w:color w:val="auto"/>
        </w:rPr>
        <w:t>Future events or</w:t>
      </w:r>
    </w:p>
    <w:p>
      <w:pPr>
        <w:spacing w:after="0" w:line="237" w:lineRule="auto"/>
        <w:rPr>
          <w:sz w:val="20"/>
          <w:szCs w:val="20"/>
          <w:color w:val="auto"/>
        </w:rPr>
      </w:pPr>
      <w:r>
        <w:rPr>
          <w:rFonts w:ascii="Courier New" w:cs="Courier New" w:eastAsia="Courier New" w:hAnsi="Courier New"/>
          <w:sz w:val="16"/>
          <w:szCs w:val="16"/>
          <w:color w:val="auto"/>
        </w:rPr>
        <w:t>conditions that could adversely affect the Company's operations or financial</w:t>
      </w:r>
    </w:p>
    <w:p>
      <w:pPr>
        <w:spacing w:after="0"/>
        <w:rPr>
          <w:sz w:val="20"/>
          <w:szCs w:val="20"/>
          <w:color w:val="auto"/>
        </w:rPr>
      </w:pPr>
      <w:r>
        <w:rPr>
          <w:rFonts w:ascii="Courier New" w:cs="Courier New" w:eastAsia="Courier New" w:hAnsi="Courier New"/>
          <w:sz w:val="16"/>
          <w:szCs w:val="16"/>
          <w:color w:val="auto"/>
        </w:rPr>
        <w:t>condition may prevent the Company from fulfilling its obligations under its</w:t>
      </w:r>
    </w:p>
    <w:p>
      <w:pPr>
        <w:spacing w:after="0" w:line="238" w:lineRule="auto"/>
        <w:rPr>
          <w:sz w:val="20"/>
          <w:szCs w:val="20"/>
          <w:color w:val="auto"/>
        </w:rPr>
      </w:pPr>
      <w:r>
        <w:rPr>
          <w:rFonts w:ascii="Courier New" w:cs="Courier New" w:eastAsia="Courier New" w:hAnsi="Courier New"/>
          <w:sz w:val="16"/>
          <w:szCs w:val="16"/>
          <w:color w:val="auto"/>
        </w:rPr>
        <w:t>debt agreements or may limit the Company's ability to incur additional</w:t>
      </w:r>
    </w:p>
    <w:p>
      <w:pPr>
        <w:spacing w:after="0"/>
        <w:rPr>
          <w:sz w:val="20"/>
          <w:szCs w:val="20"/>
          <w:color w:val="auto"/>
        </w:rPr>
      </w:pPr>
      <w:r>
        <w:rPr>
          <w:rFonts w:ascii="Courier New" w:cs="Courier New" w:eastAsia="Courier New" w:hAnsi="Courier New"/>
          <w:sz w:val="16"/>
          <w:szCs w:val="16"/>
          <w:color w:val="auto"/>
        </w:rPr>
        <w:t>indebtedness or issue equity securities.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addition, approximately $506 million of the Company's existing indebtedness at September 30, 1996, is priced at variable interest rates that fluctuate as general interest rates change. As a result, an increase in interest rates could adversely impact the Company's future earnings.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ADVERSE EFFECT OF GOVERNMENT REGULATIONS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 impose fines on the Company, (ii) revoke or deny renewal of the Company's operating permits or licenses for violations of environmental laws or regulations, or (iii) require remediation of environmental problems at its sites or nearby properties, or resulting from transportation or predecessors' transportation and collection operations, all of which could have a material adverse effect on the Company. Liability may also arise from actions brought by individuals or community groups in connection with the permitting or licensing of its operations, any alleged violations of such permits and licenses, or other matters.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ENVIRONMENTAL LIABILITY</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 is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 Liability may also arise from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ELIGIBLE FOR FUTURE SALE MAY ADVERSELY AFFECT MARKET PRICE STOCK</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Sales of substantial amounts of Common Stock in the public market could adversely affect the market price of such stock. The Company previously has filed a shelf registration statement for the benefit of certain stockholders relating to 4 million shares of the Company's Common Stock. In connection with the Sanifill Merger, the Company entered into an agreement with these stockholders that provides that if the number of shares of Common Stock so registered falls below 2 million shares, such stockholders shall be entitled at their request to have the Company register additional shares of Common Stock; provided that at no time shall more than 4 million shares of Common Stock be registered. All of the initial 4 million shares of Common Stock remain available to be sold pursuant to such registration statement. Such shares are immediately saleable in the open market. In addition, the Company has filed a shelf registration statement covering approximately 12 million shares of Common Stock that may be used for acquisitions and a shelf registration statement pursuant to which it may offer and sell from time to time up to $850,000,000 of its unsecured debt securities consisting of notes, debentures, or other evidences of indebtedness or</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3"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shares of its Common Stock. In the event that the market price of Common Stock were adversely affected by such sales, the Company's access to equity capital markets could be adversely affected, and issuances of stock by the Company in connection with acquisitions, or otherwise, could dilute earnings per share.</w:t>
      </w:r>
    </w:p>
    <w:p>
      <w:pPr>
        <w:spacing w:after="0" w:line="34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This Prospectus relates to an aggregate of 108,375 shares of Common Stock that are being offered for the account of the Selling Shareholders. All proceeds from the sale of such shares will go to the Selling Shareholders.</w:t>
      </w:r>
    </w:p>
    <w:p>
      <w:pPr>
        <w:spacing w:after="0" w:line="34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DESCRIPTION OF CAPITAL STOCK</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Company is authorized to issue 300,000,000 shares of Common Stock, par value $0.01 per share, of which 138,343,184 shares were outstanding at September 30, 1996. The Company is also authorized to issue 10,000,000 shares of Preferred Stock, $.01 par value (the "Preferred Stock"), none of which are outstanding.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85" w:lineRule="exact"/>
        <w:rPr>
          <w:sz w:val="20"/>
          <w:szCs w:val="20"/>
          <w:color w:val="auto"/>
        </w:rPr>
      </w:pPr>
    </w:p>
    <w:p>
      <w:pPr>
        <w:jc w:val="both"/>
        <w:ind w:right="3279" w:firstLine="469"/>
        <w:spacing w:after="0" w:line="237" w:lineRule="auto"/>
        <w:rPr>
          <w:sz w:val="20"/>
          <w:szCs w:val="20"/>
          <w:color w:val="auto"/>
        </w:rPr>
      </w:pPr>
      <w:r>
        <w:rPr>
          <w:rFonts w:ascii="Courier New" w:cs="Courier New" w:eastAsia="Courier New" w:hAnsi="Courier New"/>
          <w:sz w:val="16"/>
          <w:szCs w:val="16"/>
          <w:color w:val="auto"/>
        </w:rPr>
        <w:t>Holders of Common Stock have no conversion, redemption, or preemptive rights. All outstanding shares of Common Stock are, and the Shares offered hereby are validly issued, fully paid, and nonassessable.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shareholder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further shareholder action for proper corporate purposes, including stock dividends or stock splits, raising equity capital, and structuring future corporate transactions, including acquisitions.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transfer agent and registrar for the Common Stock is Boston Equiserv, Boston, Massachusetts.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3"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rPr>
          <w:sz w:val="20"/>
          <w:szCs w:val="20"/>
          <w:color w:val="auto"/>
        </w:rPr>
      </w:pPr>
      <w:r>
        <w:rPr>
          <w:rFonts w:ascii="Courier New" w:cs="Courier New" w:eastAsia="Courier New" w:hAnsi="Courier New"/>
          <w:sz w:val="16"/>
          <w:szCs w:val="16"/>
          <w:color w:val="auto"/>
        </w:rPr>
        <w:t>LIMITATION OF LIABILITY AND INDEMNIFICATION OF OFFICERS AND DIRECTORS</w:t>
      </w:r>
    </w:p>
    <w:p>
      <w:pPr>
        <w:spacing w:after="0" w:line="184"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Restated Certificate of Incorporation of the Company provides that the directors of the Company shall not be liable to the Company or its stockholders for monetary damages for breach of fiduciary duty as a director to the fullest extent permitted by the Delaware General Corporation Law (the "DGCL"). The foregoing limitation does not eliminate or limit the liability of a director for any breach of a director's duty of loyalty to the Company or its stockholders,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Restated Certificate of Incorporation of the Company also provides that the Company shall indemnify, and advance litigation expenses to, its officers, directors, employees, and agents to the fullest extent permitted by the DGCL and all other laws of the State of Delaware.</w:t>
      </w:r>
    </w:p>
    <w:p>
      <w:pPr>
        <w:spacing w:after="0" w:line="178"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DGCL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18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DGCL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78"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Indemnification by the Company is subject to a determination that the director, officer, employee, or agent has met the applicable standard of conduct. The determination must be made (1) by 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the Company.</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Company has entered into an Indemnification Agreement with each of its directors and executive officers (the "Indemnitees") pursuant to which the Company has agreed to indemnify and hold each of the Indemnitees harmless from and against all expenses, including reasonable fees and expenses of counsel, and all liabilities, including the amounts of any judgments, fines, penalties, excise taxes, and amounts paid in settlement actually incurred by an Indemnitee in connection with any threatened, pending or completed claim, action (including any action by or in the right of the Company), suit, or proceeding (whether formal or informal, or civil, criminal, administrative, legislative, arbitrative, or investigative) in respect of which the Indemnitee is, was, or at any time becomes, or is threatened to be made, a party, witness, subject, or target, by reason of the fact that the Indemnitee is or was an authorized representative of the Company; provided, however, no indemnity shall be paid on account of the Indemnitee's conduct that is finally adjudged to constitute willful misconduct or to have been knowingly fraudulent, deliberately dishonest, or from which the Indemnitee derives an improper personal benefit.</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93"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 maintains an officers and directors liability insurance policy insuring officers and directors of the Company and its subsidiaries against certain liabilities, including liabilities under the Securities Act. The effect of such policy is to indemnify the officers and directors of the Company against losses incurred by them while acting in such capacities.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ANTI-TAKEOVER LAW</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of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91"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provisions of Section 203, combined with the Board's authority to issue Preferred Stock without further stockholder action, could delay or frustrate a change in control of the Company. The provisions also could discourage, impede or prevent a merger, tender offer or proxy content,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Restated Certificate of Incorporation nor the Bylaws exclude the Company from the restrictions imposed by Section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1440" w:gutter="0" w:footer="0" w:header="0"/>
        </w:sectPr>
      </w:pPr>
    </w:p>
    <w:bookmarkStart w:id="11" w:name="page12"/>
    <w:bookmarkEnd w:id="11"/>
    <w:p>
      <w:pPr>
        <w:ind w:left="284"/>
        <w:spacing w:after="0"/>
        <w:rPr>
          <w:sz w:val="20"/>
          <w:szCs w:val="20"/>
          <w:color w:val="auto"/>
        </w:rPr>
      </w:pPr>
      <w:r>
        <w:rPr>
          <w:rFonts w:ascii="Courier New" w:cs="Courier New" w:eastAsia="Courier New" w:hAnsi="Courier New"/>
          <w:sz w:val="16"/>
          <w:szCs w:val="16"/>
          <w:color w:val="auto"/>
        </w:rPr>
        <w:t>11</w:t>
      </w:r>
    </w:p>
    <w:p>
      <w:pPr>
        <w:ind w:left="2824"/>
        <w:spacing w:after="0"/>
        <w:rPr>
          <w:sz w:val="20"/>
          <w:szCs w:val="20"/>
          <w:color w:val="auto"/>
        </w:rPr>
      </w:pPr>
      <w:r>
        <w:rPr>
          <w:rFonts w:ascii="Courier New" w:cs="Courier New" w:eastAsia="Courier New" w:hAnsi="Courier New"/>
          <w:sz w:val="16"/>
          <w:szCs w:val="16"/>
          <w:color w:val="auto"/>
        </w:rPr>
        <w:t>SELLING SHAREHOLDERS</w:t>
      </w:r>
    </w:p>
    <w:p>
      <w:pPr>
        <w:spacing w:after="0" w:line="184"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This Prospectus covers offers from time to time by the Selling Shareholders of the Shares owned by them. The following table sets forth the names of the Selling Shareholders and the number of shares of Common Stock held by each as of the date of this Prospectus that are registered hereunder and the number of shares of Common Stock beneficially owned by each Selling Shareholder:</w:t>
      </w:r>
    </w:p>
    <w:p>
      <w:pPr>
        <w:spacing w:after="0" w:line="200" w:lineRule="exact"/>
        <w:rPr>
          <w:sz w:val="20"/>
          <w:szCs w:val="20"/>
          <w:color w:val="auto"/>
        </w:rPr>
      </w:pPr>
    </w:p>
    <w:p>
      <w:pPr>
        <w:spacing w:after="0" w:line="34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4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Beneficially</w:t>
            </w:r>
          </w:p>
        </w:tc>
      </w:tr>
      <w:tr>
        <w:trPr>
          <w:trHeight w:val="180"/>
        </w:trPr>
        <w:tc>
          <w:tcPr>
            <w:tcW w:w="4260" w:type="dxa"/>
            <w:vAlign w:val="bottom"/>
          </w:tcPr>
          <w:p>
            <w:pPr>
              <w:jc w:val="right"/>
              <w:ind w:right="2962"/>
              <w:spacing w:after="0"/>
              <w:rPr>
                <w:sz w:val="20"/>
                <w:szCs w:val="20"/>
                <w:color w:val="auto"/>
              </w:rPr>
            </w:pPr>
            <w:r>
              <w:rPr>
                <w:rFonts w:ascii="Courier New" w:cs="Courier New" w:eastAsia="Courier New" w:hAnsi="Courier New"/>
                <w:sz w:val="16"/>
                <w:szCs w:val="16"/>
                <w:color w:val="auto"/>
              </w:rPr>
              <w:t>Name</w:t>
            </w:r>
          </w:p>
        </w:tc>
        <w:tc>
          <w:tcPr>
            <w:tcW w:w="2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Shares Registered</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Owned</w:t>
            </w:r>
          </w:p>
        </w:tc>
      </w:tr>
      <w:tr>
        <w:trPr>
          <w:trHeight w:val="180"/>
        </w:trPr>
        <w:tc>
          <w:tcPr>
            <w:tcW w:w="4260" w:type="dxa"/>
            <w:vAlign w:val="bottom"/>
          </w:tcPr>
          <w:p>
            <w:pPr>
              <w:spacing w:after="0"/>
              <w:rPr>
                <w:sz w:val="15"/>
                <w:szCs w:val="15"/>
                <w:color w:val="auto"/>
              </w:rPr>
            </w:pPr>
          </w:p>
        </w:tc>
        <w:tc>
          <w:tcPr>
            <w:tcW w:w="2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Don A. Sanders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14,778</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50,058</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Morton A. Cohn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9,852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25,000</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Stephen D. Scott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9.852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9,852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J-All Partnership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9,852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12,852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Roy T. Rimmer, Jr.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9,852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9,852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Norman E. Shepard(1)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9,852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9,852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John M. O'Quinn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8,621</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8,621</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Katherine U. Sanders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7,389</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7,389</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Aurum Group Partnership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4,926</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4,926</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John W. Christmas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2,463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3,213</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Edward McAninch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2,463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2,463</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Donald F. Moorehead, Jr.(2)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2,463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2,247,953</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George O. Moorehead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2,463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10,415</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Shelley B. Moorehead (3)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2,463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228,832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Ben T. Morris .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2,463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18,223</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John I. Mundy .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2,463</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24,306</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Brad D. Sanders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1,232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Bret Sanders  .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1,232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Laura K. Sanders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1,232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Susan K. Sanders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1,232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1,232</w:t>
            </w: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David Towery  .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1,232</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1,232</w:t>
            </w:r>
          </w:p>
        </w:tc>
      </w:tr>
      <w:tr>
        <w:trPr>
          <w:trHeight w:val="180"/>
        </w:trPr>
        <w:tc>
          <w:tcPr>
            <w:tcW w:w="4260" w:type="dxa"/>
            <w:vAlign w:val="bottom"/>
          </w:tcPr>
          <w:p>
            <w:pPr>
              <w:spacing w:after="0"/>
              <w:rPr>
                <w:sz w:val="15"/>
                <w:szCs w:val="15"/>
                <w:color w:val="auto"/>
              </w:rPr>
            </w:pP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spacing w:after="0"/>
              <w:rPr>
                <w:sz w:val="15"/>
                <w:szCs w:val="15"/>
                <w:color w:val="auto"/>
              </w:rPr>
            </w:pPr>
          </w:p>
        </w:tc>
      </w:tr>
      <w:tr>
        <w:trPr>
          <w:trHeight w:val="180"/>
        </w:trPr>
        <w:tc>
          <w:tcPr>
            <w:tcW w:w="4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Total  . . . . . . . . . . . . . .</w:t>
            </w:r>
          </w:p>
        </w:tc>
        <w:tc>
          <w:tcPr>
            <w:tcW w:w="21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108,375</w:t>
            </w:r>
          </w:p>
        </w:tc>
        <w:tc>
          <w:tcPr>
            <w:tcW w:w="1500" w:type="dxa"/>
            <w:vAlign w:val="bottom"/>
          </w:tcPr>
          <w:p>
            <w:pPr>
              <w:spacing w:after="0"/>
              <w:rPr>
                <w:sz w:val="15"/>
                <w:szCs w:val="15"/>
                <w:color w:val="auto"/>
              </w:rPr>
            </w:pPr>
          </w:p>
        </w:tc>
      </w:tr>
    </w:tbl>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rFonts w:ascii="Courier New" w:cs="Courier New" w:eastAsia="Courier New" w:hAnsi="Courier New"/>
          <w:sz w:val="16"/>
          <w:szCs w:val="16"/>
          <w:color w:val="auto"/>
        </w:rPr>
      </w:pPr>
    </w:p>
    <w:p>
      <w:pPr>
        <w:jc w:val="both"/>
        <w:ind w:left="464" w:right="2819" w:firstLine="5"/>
        <w:spacing w:after="0" w:line="237" w:lineRule="auto"/>
        <w:tabs>
          <w:tab w:leader="none" w:pos="83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Shepard was President, Chief Operating Officer, and a director of the Company from August 24, 1993, until May 26, 1994. From February 1, to August 24, 1993, Mr. Shepard was Senior Vice President - Operations of the Company.</w:t>
      </w:r>
    </w:p>
    <w:p>
      <w:pPr>
        <w:spacing w:after="0" w:line="185" w:lineRule="exact"/>
        <w:rPr>
          <w:rFonts w:ascii="Courier New" w:cs="Courier New" w:eastAsia="Courier New" w:hAnsi="Courier New"/>
          <w:sz w:val="16"/>
          <w:szCs w:val="16"/>
          <w:color w:val="auto"/>
        </w:rPr>
      </w:pPr>
    </w:p>
    <w:p>
      <w:pPr>
        <w:ind w:left="464" w:right="2819" w:firstLine="5"/>
        <w:spacing w:after="0" w:line="256" w:lineRule="auto"/>
        <w:tabs>
          <w:tab w:leader="none" w:pos="83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Moorehead is the Vice Chairman and Chief Development Officer of the Company. The shares beneficially owned by Mr. Moorehead shares include 369,000 shares issuable pursuant to warrants and options currently exercisable or exercisable within 60 days and 228,832 shares owned by Mr. Moorehead's spouse and children and represent approximately 1.6% of the issued and outstanding shares of Common Stock of the Company.</w:t>
      </w:r>
    </w:p>
    <w:p>
      <w:pPr>
        <w:spacing w:after="0" w:line="175" w:lineRule="exact"/>
        <w:rPr>
          <w:rFonts w:ascii="Courier New" w:cs="Courier New" w:eastAsia="Courier New" w:hAnsi="Courier New"/>
          <w:sz w:val="15"/>
          <w:szCs w:val="15"/>
          <w:color w:val="auto"/>
        </w:rPr>
      </w:pPr>
    </w:p>
    <w:p>
      <w:pPr>
        <w:ind w:left="464" w:right="2899" w:firstLine="5"/>
        <w:spacing w:after="0" w:line="236" w:lineRule="auto"/>
        <w:tabs>
          <w:tab w:leader="none" w:pos="83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Moorehead is the wife of Donald F. Moorehead, Jr. Includes 18,000 shares owned by Ms. Moorehead's children.</w:t>
      </w:r>
    </w:p>
    <w:p>
      <w:pPr>
        <w:spacing w:after="0" w:line="18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MANNER OF OFFERING</w:t>
      </w:r>
    </w:p>
    <w:p>
      <w:pPr>
        <w:spacing w:after="0" w:line="185" w:lineRule="exact"/>
        <w:rPr>
          <w:sz w:val="20"/>
          <w:szCs w:val="20"/>
          <w:color w:val="auto"/>
        </w:rPr>
      </w:pPr>
    </w:p>
    <w:p>
      <w:pPr>
        <w:ind w:left="4" w:right="3099" w:firstLine="469"/>
        <w:spacing w:after="0" w:line="259" w:lineRule="auto"/>
        <w:rPr>
          <w:sz w:val="20"/>
          <w:szCs w:val="20"/>
          <w:color w:val="auto"/>
        </w:rPr>
      </w:pPr>
      <w:r>
        <w:rPr>
          <w:rFonts w:ascii="Courier New" w:cs="Courier New" w:eastAsia="Courier New" w:hAnsi="Courier New"/>
          <w:sz w:val="15"/>
          <w:szCs w:val="15"/>
          <w:color w:val="auto"/>
        </w:rPr>
        <w:t>This Prospectus, as appropriately amended or supplemented, may be used from time to time by a Selling Shareholder, or his transferees, to offer and sell the Shares in transactions in which he and any broker-dealer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3"/>
          </w:cols>
          <w:pgMar w:left="236" w:top="293"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5"/>
          <w:szCs w:val="15"/>
          <w:color w:val="auto"/>
        </w:rPr>
        <w:t>whom any of the Shares are sold may be deemed to be underwriters within the meaning of the Securities Act. The Company will receive none of the proceeds from any such sales. There presently are no arrangements or understandings, formal or informal, pertaining to the distribution of the Shares.</w:t>
      </w:r>
    </w:p>
    <w:p>
      <w:pPr>
        <w:spacing w:after="0" w:line="174"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Company anticipates that resales of the Shares by the Selling Shareholders will be effected from time to time on the open market in ordinary brokerage transactions on the NYSE, on which the Common Stock is listed, in the over-the-counter market, or in private transactions (which may involve crosses and block transactions). The Shares will be offered for sale at market prices prevailing at the time of sale or at negotiated prices and on terms to be determined when the agreement to sell is made or at the time of sale, as the case may be. The Shares may be offered directly, through agents designated from time to time, or through brokers or dealers. A member firm of the NYSE may be engaged to act as a Selling Shareholder's agent in the sale of the Shares by a Selling Shareholder and/or may acquire Shares as principal. Member firms participating in such transactions as agent may receive commissions from the Selling Shareholder (and, if they act as agent for the purchaser of such Shares, from such purchaser), such commissions computed in appropriate cases in accordance with the applicable rules of the NYSE, which commissions may be at negotiated rates where permissible. Sales of Shares by the member firm may be made on the NYSE from time to time at prices related to prices then prevailing. Any such sales may be by block trade.</w:t>
      </w:r>
    </w:p>
    <w:p>
      <w:pPr>
        <w:spacing w:after="0" w:line="35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Participating broker-dealers may agree with a Selling Shareholder to sell a specified number of shares at a stipulated price per share and, to the extent such broker-dealer is unable to do so acting as agent for the Selling Shareholder to purchase as principal any unsold shares at the price required to fulfill the broker-dealer's commitment to the Selling Shareholder. In addition or alternatively, shares may be sold by a Selling Shareholder,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such securities exchange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 and block transactions and which may involve sales to and through other broker-dealers, including transactions of the nature described in the preceding two sentences) on the NYSE, in negotiated transactions, or otherwise, at market prices prevailing at the time of sale or at negotiated prices, and in connection with such resales may pay to or receive commissions from the purchasers of such shares.</w:t>
      </w:r>
    </w:p>
    <w:p>
      <w:pPr>
        <w:spacing w:after="0" w:line="19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Upon the Company's being notified by a Selling Shareholder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number of Shares involved, (ii) the price at which the Shares were sold, (iii) any participating brokers, dealers, agents or member firm involved, (iv) any discounts, commissions and other items paid as compensation from, and the resulting net proceeds to, the Selling Shareholder, (v) that such broker-dealers did not conduct any investigation to verify the information set out in this Prospectus, and (vi) other facts material to the transaction.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Shares may be sold directly by a Selling Shareholder or through agents designated by a Selling Shareholder from time to time. Unless otherwise indicated in the a supplement to this Prospectus, any such agent will be acting on a best efforts basis for the period of its appointment.</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Selling Shareholders and any brokers, dealers, agents, member firm or others that participate with the Selling Shareholders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89"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Company may agree to indemnify the Selling Shareholders as underwriters under the Securities Act against certain liabilities, including liabilities arising under the Securities Act. Agents may be entitled under agreements</w:t>
      </w:r>
    </w:p>
    <w:p>
      <w:pPr>
        <w:sectPr>
          <w:pgSz w:w="11900" w:h="16838" w:orient="portrait"/>
          <w:cols w:equalWidth="0" w:num="1">
            <w:col w:w="10219"/>
          </w:cols>
          <w:pgMar w:left="240" w:top="293" w:right="1440"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835" w:gutter="0" w:footer="0" w:header="0"/>
          <w:type w:val="continuous"/>
        </w:sectPr>
      </w:pPr>
    </w:p>
    <w:bookmarkStart w:id="13" w:name="page14"/>
    <w:bookmarkEnd w:id="13"/>
    <w:p>
      <w:pPr>
        <w:ind w:left="284"/>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left="4" w:right="2999"/>
        <w:spacing w:after="0" w:line="236" w:lineRule="auto"/>
        <w:rPr>
          <w:sz w:val="20"/>
          <w:szCs w:val="20"/>
          <w:color w:val="auto"/>
        </w:rPr>
      </w:pPr>
      <w:r>
        <w:rPr>
          <w:rFonts w:ascii="Courier New" w:cs="Courier New" w:eastAsia="Courier New" w:hAnsi="Courier New"/>
          <w:sz w:val="16"/>
          <w:szCs w:val="16"/>
          <w:color w:val="auto"/>
        </w:rPr>
        <w:t>entered into with the Selling Shareholders to indemnification against certain civil liabilities, including liabilities under the Securities Act.</w:t>
      </w:r>
    </w:p>
    <w:p>
      <w:pPr>
        <w:spacing w:after="0" w:line="185"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The Selling Shareholders will be subject to the applicable provisions of the Exchange Act and the rules and regulations thereunder, including without limitation Rules 10b-2, 10b-6, and 10b-7, which provisions may limit the timing of purchases and sales of any of the Common Stock by the Selling Shareholders. All of the foregoing may affect the marketability of the Common Stock.</w:t>
      </w:r>
    </w:p>
    <w:p>
      <w:pPr>
        <w:spacing w:after="0" w:line="176"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The Company will pay substantially all the expenses incident to this offering of the Common Stock by the Selling Shareholders to the public other than brokerage fees, commissions and discounts of underwriters, dealers or agents.</w:t>
      </w:r>
    </w:p>
    <w:p>
      <w:pPr>
        <w:spacing w:after="0" w:line="18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In order to comply with certain states' securities laws, if applicable, the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complied with.</w:t>
      </w:r>
    </w:p>
    <w:p>
      <w:pPr>
        <w:spacing w:after="0" w:line="364"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left="4" w:right="2899" w:firstLine="469"/>
        <w:spacing w:after="0" w:line="263" w:lineRule="auto"/>
        <w:rPr>
          <w:sz w:val="20"/>
          <w:szCs w:val="20"/>
          <w:color w:val="auto"/>
        </w:rPr>
      </w:pPr>
      <w:r>
        <w:rPr>
          <w:rFonts w:ascii="Courier New" w:cs="Courier New" w:eastAsia="Courier New" w:hAnsi="Courier New"/>
          <w:sz w:val="15"/>
          <w:szCs w:val="15"/>
          <w:color w:val="auto"/>
        </w:rPr>
        <w:t>Certain legal matters in connection with the Shares have been passed upon for the Company by Snell &amp; Smith, A Professional Corporation, Houston, Texas.</w:t>
      </w:r>
    </w:p>
    <w:p>
      <w:pPr>
        <w:spacing w:after="0" w:line="344"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EXPERTS</w:t>
      </w:r>
    </w:p>
    <w:p>
      <w:pPr>
        <w:spacing w:after="0" w:line="185" w:lineRule="exact"/>
        <w:rPr>
          <w:sz w:val="20"/>
          <w:szCs w:val="20"/>
          <w:color w:val="auto"/>
        </w:rPr>
      </w:pPr>
    </w:p>
    <w:p>
      <w:pPr>
        <w:ind w:left="4" w:right="2899" w:firstLine="469"/>
        <w:spacing w:after="0" w:line="255" w:lineRule="auto"/>
        <w:rPr>
          <w:sz w:val="20"/>
          <w:szCs w:val="20"/>
          <w:color w:val="auto"/>
        </w:rPr>
      </w:pPr>
      <w:r>
        <w:rPr>
          <w:rFonts w:ascii="Courier New" w:cs="Courier New" w:eastAsia="Courier New" w:hAnsi="Courier New"/>
          <w:sz w:val="15"/>
          <w:szCs w:val="15"/>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 of Coopers &amp; Lybrand L.L.P., independent accountants, given on the authority of that firm as experts in accounting and auditing.</w:t>
      </w:r>
    </w:p>
    <w:p>
      <w:pPr>
        <w:spacing w:after="0" w:line="178"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The consolidated financial statements of Sanifill appearing in USA Waste's Current Reports on Form 8-K dated September 3, 1996, and the financial statements of various companies acquired by Sanifill appearing in USA Waste's Current Report on Form 8-K dated September 12, 1996, as amended by its Form 8-K/A (Amendment No. 1) filed November 14, 1996 and its Form 8-K/A (Amendment No.</w:t>
      </w:r>
    </w:p>
    <w:p>
      <w:pPr>
        <w:spacing w:after="0" w:line="3" w:lineRule="exact"/>
        <w:rPr>
          <w:sz w:val="20"/>
          <w:szCs w:val="20"/>
          <w:color w:val="auto"/>
        </w:rPr>
      </w:pPr>
    </w:p>
    <w:p>
      <w:pPr>
        <w:ind w:left="4" w:right="2819" w:hanging="4"/>
        <w:spacing w:after="0" w:line="237" w:lineRule="auto"/>
        <w:tabs>
          <w:tab w:leader="none" w:pos="2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November 15, 1996, incorporated by reference in this Prospectus have been audited by Arthur Andersen LLP, independent public accountants, as indicated in their reports with respect thereto, and are incorporated herein by reference in reliance upon the authority of said firm as experts in accounting and auditing in giving said reports.</w:t>
      </w:r>
    </w:p>
    <w:p>
      <w:pPr>
        <w:spacing w:after="0" w:line="187"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consolidated financial statements of Western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293" w:right="1440" w:bottom="1440" w:gutter="0" w:footer="0" w:header="0"/>
        </w:sectPr>
      </w:pPr>
    </w:p>
    <w:bookmarkStart w:id="14" w:name="page15"/>
    <w:bookmarkEnd w:id="14"/>
    <w:p>
      <w:pPr>
        <w:ind w:left="284"/>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ind w:left="4" w:right="2999"/>
        <w:spacing w:after="0" w:line="255" w:lineRule="auto"/>
        <w:rPr>
          <w:sz w:val="20"/>
          <w:szCs w:val="20"/>
          <w:color w:val="auto"/>
        </w:rPr>
      </w:pPr>
      <w:r>
        <w:rPr>
          <w:rFonts w:ascii="Courier New" w:cs="Courier New" w:eastAsia="Courier New" w:hAnsi="Courier New"/>
          <w:sz w:val="15"/>
          <w:szCs w:val="15"/>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Shareholders.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179" w:lineRule="exact"/>
        <w:rPr>
          <w:sz w:val="20"/>
          <w:szCs w:val="20"/>
          <w:color w:val="auto"/>
        </w:rPr>
      </w:pPr>
    </w:p>
    <w:p>
      <w:pPr>
        <w:ind w:left="184" w:hanging="184"/>
        <w:spacing w:after="0"/>
        <w:tabs>
          <w:tab w:leader="none" w:pos="18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108,375 Shares</w:t>
      </w:r>
    </w:p>
    <w:p>
      <w:pPr>
        <w:spacing w:after="0" w:line="200" w:lineRule="exact"/>
        <w:rPr>
          <w:sz w:val="20"/>
          <w:szCs w:val="20"/>
          <w:color w:val="auto"/>
        </w:rPr>
      </w:pPr>
    </w:p>
    <w:p>
      <w:pPr>
        <w:spacing w:after="0" w:line="339"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USA WASTE SERVICES, INC.</w:t>
      </w:r>
    </w:p>
    <w:p>
      <w:pPr>
        <w:spacing w:after="0" w:line="200" w:lineRule="exact"/>
        <w:rPr>
          <w:sz w:val="20"/>
          <w:szCs w:val="20"/>
          <w:color w:val="auto"/>
        </w:rPr>
      </w:pPr>
    </w:p>
    <w:p>
      <w:pPr>
        <w:spacing w:after="0" w:line="34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PROSPECTUS</w:t>
      </w:r>
    </w:p>
    <w:p>
      <w:pPr>
        <w:ind w:left="2904"/>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December __, 1996</w:t>
      </w:r>
    </w:p>
    <w:p>
      <w:pPr>
        <w:spacing w:after="0" w:line="3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3"/>
          </w:cols>
          <w:pgMar w:left="236" w:top="293" w:right="1440" w:bottom="1440" w:gutter="0" w:footer="0" w:header="0"/>
        </w:sectPr>
      </w:pPr>
    </w:p>
    <w:bookmarkStart w:id="15" w:name="page16"/>
    <w:bookmarkEnd w:id="15"/>
    <w:p>
      <w:pPr>
        <w:ind w:left="284"/>
        <w:spacing w:after="0"/>
        <w:rPr>
          <w:sz w:val="20"/>
          <w:szCs w:val="20"/>
          <w:color w:val="auto"/>
        </w:rPr>
      </w:pPr>
      <w:r>
        <w:rPr>
          <w:rFonts w:ascii="Courier New" w:cs="Courier New" w:eastAsia="Courier New" w:hAnsi="Courier New"/>
          <w:sz w:val="16"/>
          <w:szCs w:val="16"/>
          <w:color w:val="auto"/>
        </w:rPr>
        <w:t>15</w:t>
      </w:r>
    </w:p>
    <w:p>
      <w:pPr>
        <w:jc w:val="center"/>
        <w:ind w:right="2815"/>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85" w:lineRule="exact"/>
        <w:rPr>
          <w:sz w:val="20"/>
          <w:szCs w:val="20"/>
          <w:color w:val="auto"/>
        </w:rPr>
      </w:pPr>
    </w:p>
    <w:p>
      <w:pPr>
        <w:ind w:left="4" w:right="3099" w:firstLine="375"/>
        <w:spacing w:after="0" w:line="263" w:lineRule="auto"/>
        <w:rPr>
          <w:sz w:val="20"/>
          <w:szCs w:val="20"/>
          <w:color w:val="auto"/>
        </w:rPr>
      </w:pPr>
      <w:r>
        <w:rPr>
          <w:rFonts w:ascii="Courier New" w:cs="Courier New" w:eastAsia="Courier New" w:hAnsi="Courier New"/>
          <w:sz w:val="15"/>
          <w:szCs w:val="15"/>
          <w:color w:val="auto"/>
        </w:rPr>
        <w:t>The following table sets forth the estimated expenses in connection with the distribution of the securities covered by this Registration Statement.</w:t>
      </w:r>
    </w:p>
    <w:p>
      <w:pPr>
        <w:spacing w:after="0" w:line="200" w:lineRule="exact"/>
        <w:rPr>
          <w:sz w:val="20"/>
          <w:szCs w:val="20"/>
          <w:color w:val="auto"/>
        </w:rPr>
      </w:pPr>
    </w:p>
    <w:p>
      <w:pPr>
        <w:spacing w:after="0" w:line="324"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59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Securities and Exchange Commission fee  . . . . . . . . . . .</w:t>
            </w:r>
          </w:p>
        </w:tc>
        <w:tc>
          <w:tcPr>
            <w:tcW w:w="420" w:type="dxa"/>
            <w:vAlign w:val="bottom"/>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$ 1,048.50</w:t>
            </w:r>
          </w:p>
        </w:tc>
      </w:tr>
      <w:tr>
        <w:trPr>
          <w:trHeight w:val="180"/>
        </w:trPr>
        <w:tc>
          <w:tcPr>
            <w:tcW w:w="59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Printing expenses   . . . . . . . . . . . . . . . . . . . . .</w:t>
            </w: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0"/>
        </w:trPr>
        <w:tc>
          <w:tcPr>
            <w:tcW w:w="59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Accountants' fees and expenses  . . . . . . . . . . . . . . .</w:t>
            </w: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0"/>
        </w:trPr>
        <w:tc>
          <w:tcPr>
            <w:tcW w:w="59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Blue sky fees and expenses  . . . . . . . . . . . . . . . . .</w:t>
            </w:r>
          </w:p>
        </w:tc>
        <w:tc>
          <w:tcPr>
            <w:tcW w:w="420" w:type="dxa"/>
            <w:vAlign w:val="bottom"/>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0.00</w:t>
            </w:r>
          </w:p>
        </w:tc>
      </w:tr>
      <w:tr>
        <w:trPr>
          <w:trHeight w:val="180"/>
        </w:trPr>
        <w:tc>
          <w:tcPr>
            <w:tcW w:w="59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Legal fees and expenses   . . . . . . . . . . . . . . . . . .</w:t>
            </w: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0"/>
        </w:trPr>
        <w:tc>
          <w:tcPr>
            <w:tcW w:w="594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7"/>
              </w:rPr>
              <w:t>Miscellaneous   . . . . . . . . . . . . . . . . . . . . . . .</w:t>
            </w: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0"/>
        </w:trPr>
        <w:tc>
          <w:tcPr>
            <w:tcW w:w="5940" w:type="dxa"/>
            <w:vAlign w:val="bottom"/>
          </w:tcPr>
          <w:p>
            <w:pPr>
              <w:spacing w:after="0"/>
              <w:rPr>
                <w:sz w:val="15"/>
                <w:szCs w:val="15"/>
                <w:color w:val="auto"/>
              </w:rPr>
            </w:pPr>
          </w:p>
        </w:tc>
        <w:tc>
          <w:tcPr>
            <w:tcW w:w="15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9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Total  . . . . . . . . . . . . . . . . . . . . . . . . .</w:t>
            </w:r>
          </w:p>
        </w:tc>
        <w:tc>
          <w:tcPr>
            <w:tcW w:w="4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13,048.50*</w:t>
            </w:r>
          </w:p>
        </w:tc>
      </w:tr>
      <w:tr>
        <w:trPr>
          <w:trHeight w:val="180"/>
        </w:trPr>
        <w:tc>
          <w:tcPr>
            <w:tcW w:w="5940" w:type="dxa"/>
            <w:vAlign w:val="bottom"/>
          </w:tcPr>
          <w:p>
            <w:pPr>
              <w:spacing w:after="0"/>
              <w:rPr>
                <w:sz w:val="15"/>
                <w:szCs w:val="15"/>
                <w:color w:val="auto"/>
              </w:rPr>
            </w:pPr>
          </w:p>
        </w:tc>
        <w:tc>
          <w:tcPr>
            <w:tcW w:w="15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Estimated.</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85" w:lineRule="exact"/>
        <w:rPr>
          <w:sz w:val="20"/>
          <w:szCs w:val="20"/>
          <w:color w:val="auto"/>
        </w:rPr>
      </w:pPr>
    </w:p>
    <w:p>
      <w:pPr>
        <w:ind w:left="4" w:right="2819" w:firstLine="375"/>
        <w:spacing w:after="0" w:line="254" w:lineRule="auto"/>
        <w:rPr>
          <w:sz w:val="20"/>
          <w:szCs w:val="20"/>
          <w:color w:val="auto"/>
        </w:rPr>
      </w:pPr>
      <w:r>
        <w:rPr>
          <w:rFonts w:ascii="Courier New" w:cs="Courier New" w:eastAsia="Courier New" w:hAnsi="Courier New"/>
          <w:sz w:val="15"/>
          <w:szCs w:val="15"/>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w:t>
      </w:r>
    </w:p>
    <w:p>
      <w:pPr>
        <w:spacing w:after="0" w:line="4" w:lineRule="exact"/>
        <w:rPr>
          <w:sz w:val="20"/>
          <w:szCs w:val="20"/>
          <w:color w:val="auto"/>
        </w:rPr>
      </w:pPr>
    </w:p>
    <w:p>
      <w:pPr>
        <w:ind w:left="4" w:right="2999" w:hanging="4"/>
        <w:spacing w:after="0" w:line="237" w:lineRule="auto"/>
        <w:tabs>
          <w:tab w:leader="none" w:pos="56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6" w:lineRule="exact"/>
        <w:rPr>
          <w:sz w:val="20"/>
          <w:szCs w:val="20"/>
          <w:color w:val="auto"/>
        </w:rPr>
      </w:pPr>
    </w:p>
    <w:p>
      <w:pPr>
        <w:ind w:left="4" w:right="3099" w:firstLine="375"/>
        <w:spacing w:after="0" w:line="236" w:lineRule="auto"/>
        <w:rPr>
          <w:sz w:val="20"/>
          <w:szCs w:val="20"/>
          <w:color w:val="auto"/>
        </w:rPr>
      </w:pPr>
      <w:r>
        <w:rPr>
          <w:rFonts w:ascii="Courier New" w:cs="Courier New" w:eastAsia="Courier New" w:hAnsi="Courier New"/>
          <w:sz w:val="16"/>
          <w:szCs w:val="16"/>
          <w:color w:val="auto"/>
        </w:rPr>
        <w:t>The Restated Certificate of Incorporation of the registrant includes the following provisions:</w:t>
      </w:r>
    </w:p>
    <w:p>
      <w:pPr>
        <w:spacing w:after="0" w:line="185" w:lineRule="exact"/>
        <w:rPr>
          <w:sz w:val="20"/>
          <w:szCs w:val="20"/>
          <w:color w:val="auto"/>
        </w:rPr>
      </w:pPr>
    </w:p>
    <w:p>
      <w:pPr>
        <w:ind w:left="384" w:right="2819" w:firstLine="469"/>
        <w:spacing w:after="0" w:line="255" w:lineRule="auto"/>
        <w:rPr>
          <w:sz w:val="20"/>
          <w:szCs w:val="20"/>
          <w:color w:val="auto"/>
        </w:rPr>
      </w:pPr>
      <w:r>
        <w:rPr>
          <w:rFonts w:ascii="Courier New" w:cs="Courier New" w:eastAsia="Courier New" w:hAnsi="Courier New"/>
          <w:sz w:val="15"/>
          <w:szCs w:val="15"/>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3"/>
          </w:cols>
          <w:pgMar w:left="236" w:top="293" w:right="1440" w:bottom="1440" w:gutter="0" w:footer="0" w:header="0"/>
          <w:type w:val="continuous"/>
        </w:sectPr>
      </w:pPr>
    </w:p>
    <w:bookmarkStart w:id="16" w:name="page17"/>
    <w:bookmarkEnd w:id="16"/>
    <w:p>
      <w:pPr>
        <w:ind w:left="284"/>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jc w:val="both"/>
        <w:ind w:left="384" w:right="2819"/>
        <w:spacing w:after="0" w:line="237" w:lineRule="auto"/>
        <w:rPr>
          <w:sz w:val="20"/>
          <w:szCs w:val="20"/>
          <w:color w:val="auto"/>
        </w:rPr>
      </w:pPr>
      <w:r>
        <w:rPr>
          <w:rFonts w:ascii="Courier New" w:cs="Courier New" w:eastAsia="Courier New" w:hAnsi="Courier New"/>
          <w:sz w:val="16"/>
          <w:szCs w:val="16"/>
          <w:color w:val="auto"/>
        </w:rPr>
        <w:t>141 of the Delaware General Corporation Law, exercise or perform any of the powers or duties otherwise conferred or imposed upon the board of directors by the Delaware General Corporation Law.</w:t>
      </w:r>
    </w:p>
    <w:p>
      <w:pPr>
        <w:spacing w:after="0" w:line="180"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Section 145 of the Delaware General Corporation Law provides as follows:</w:t>
      </w:r>
    </w:p>
    <w:p>
      <w:pPr>
        <w:spacing w:after="0" w:line="185" w:lineRule="exact"/>
        <w:rPr>
          <w:sz w:val="20"/>
          <w:szCs w:val="20"/>
          <w:color w:val="auto"/>
        </w:rPr>
      </w:pPr>
    </w:p>
    <w:p>
      <w:pPr>
        <w:ind w:left="4" w:right="2819" w:firstLine="371"/>
        <w:spacing w:after="0" w:line="255" w:lineRule="auto"/>
        <w:tabs>
          <w:tab w:leader="none" w:pos="9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77" w:lineRule="exact"/>
        <w:rPr>
          <w:sz w:val="20"/>
          <w:szCs w:val="20"/>
          <w:color w:val="auto"/>
        </w:rPr>
      </w:pPr>
    </w:p>
    <w:p>
      <w:pPr>
        <w:ind w:left="4" w:right="2819" w:firstLine="371"/>
        <w:spacing w:after="0" w:line="238" w:lineRule="auto"/>
        <w:tabs>
          <w:tab w:leader="none" w:pos="84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1" w:lineRule="exact"/>
        <w:rPr>
          <w:rFonts w:ascii="Courier New" w:cs="Courier New" w:eastAsia="Courier New" w:hAnsi="Courier New"/>
          <w:sz w:val="16"/>
          <w:szCs w:val="16"/>
          <w:color w:val="auto"/>
        </w:rPr>
      </w:pPr>
    </w:p>
    <w:p>
      <w:pPr>
        <w:ind w:left="4" w:right="3099" w:firstLine="371"/>
        <w:spacing w:after="0" w:line="237" w:lineRule="auto"/>
        <w:tabs>
          <w:tab w:leader="none" w:pos="84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88" w:lineRule="exact"/>
        <w:rPr>
          <w:rFonts w:ascii="Courier New" w:cs="Courier New" w:eastAsia="Courier New" w:hAnsi="Courier New"/>
          <w:sz w:val="16"/>
          <w:szCs w:val="16"/>
          <w:color w:val="auto"/>
        </w:rPr>
      </w:pPr>
    </w:p>
    <w:p>
      <w:pPr>
        <w:ind w:left="4" w:right="2819" w:firstLine="371"/>
        <w:spacing w:after="0" w:line="254" w:lineRule="auto"/>
        <w:tabs>
          <w:tab w:leader="none" w:pos="8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w:t>
      </w:r>
    </w:p>
    <w:p>
      <w:pPr>
        <w:spacing w:after="0" w:line="2" w:lineRule="exact"/>
        <w:rPr>
          <w:rFonts w:ascii="Courier New" w:cs="Courier New" w:eastAsia="Courier New" w:hAnsi="Courier New"/>
          <w:sz w:val="15"/>
          <w:szCs w:val="15"/>
          <w:color w:val="auto"/>
        </w:rPr>
      </w:pPr>
    </w:p>
    <w:p>
      <w:pPr>
        <w:ind w:left="4" w:right="2819" w:hanging="4"/>
        <w:spacing w:after="0" w:line="237" w:lineRule="auto"/>
        <w:tabs>
          <w:tab w:leader="none" w:pos="37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87" w:lineRule="exact"/>
        <w:rPr>
          <w:rFonts w:ascii="Courier New" w:cs="Courier New" w:eastAsia="Courier New" w:hAnsi="Courier New"/>
          <w:sz w:val="16"/>
          <w:szCs w:val="16"/>
          <w:color w:val="auto"/>
        </w:rPr>
      </w:pPr>
    </w:p>
    <w:p>
      <w:pPr>
        <w:ind w:left="4" w:right="2819" w:firstLine="371"/>
        <w:spacing w:after="0" w:line="238" w:lineRule="auto"/>
        <w:tabs>
          <w:tab w:leader="none" w:pos="848"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fees)incurred by other employees and agents may be so paid upon such terms and conditions, if any, as the board of directors deems appropriate.</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3"/>
          </w:cols>
          <w:pgMar w:left="236" w:top="293"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4" w:lineRule="exact"/>
        <w:rPr>
          <w:sz w:val="20"/>
          <w:szCs w:val="20"/>
          <w:color w:val="auto"/>
        </w:rPr>
      </w:pPr>
    </w:p>
    <w:p>
      <w:pPr>
        <w:ind w:right="2719" w:firstLine="371"/>
        <w:spacing w:after="0" w:line="256" w:lineRule="auto"/>
        <w:tabs>
          <w:tab w:leader="none" w:pos="84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75" w:lineRule="exact"/>
        <w:rPr>
          <w:rFonts w:ascii="Courier New" w:cs="Courier New" w:eastAsia="Courier New" w:hAnsi="Courier New"/>
          <w:sz w:val="15"/>
          <w:szCs w:val="15"/>
          <w:color w:val="auto"/>
        </w:rPr>
      </w:pPr>
    </w:p>
    <w:p>
      <w:pPr>
        <w:ind w:right="2819" w:firstLine="371"/>
        <w:spacing w:after="0" w:line="238"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85" w:lineRule="exact"/>
        <w:rPr>
          <w:rFonts w:ascii="Courier New" w:cs="Courier New" w:eastAsia="Courier New" w:hAnsi="Courier New"/>
          <w:sz w:val="16"/>
          <w:szCs w:val="16"/>
          <w:color w:val="auto"/>
        </w:rPr>
      </w:pPr>
    </w:p>
    <w:p>
      <w:pPr>
        <w:ind w:right="2819" w:firstLine="371"/>
        <w:spacing w:after="0" w:line="255" w:lineRule="auto"/>
        <w:tabs>
          <w:tab w:leader="none" w:pos="84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8" w:lineRule="exact"/>
        <w:rPr>
          <w:rFonts w:ascii="Courier New" w:cs="Courier New" w:eastAsia="Courier New" w:hAnsi="Courier New"/>
          <w:sz w:val="15"/>
          <w:szCs w:val="15"/>
          <w:color w:val="auto"/>
        </w:rPr>
      </w:pPr>
    </w:p>
    <w:p>
      <w:pPr>
        <w:ind w:right="2719" w:firstLine="371"/>
        <w:spacing w:after="0" w:line="238"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87" w:lineRule="exact"/>
        <w:rPr>
          <w:rFonts w:ascii="Courier New" w:cs="Courier New" w:eastAsia="Courier New" w:hAnsi="Courier New"/>
          <w:sz w:val="16"/>
          <w:szCs w:val="16"/>
          <w:color w:val="auto"/>
        </w:rPr>
      </w:pPr>
    </w:p>
    <w:p>
      <w:pPr>
        <w:ind w:right="2819" w:firstLine="371"/>
        <w:spacing w:after="0" w:line="237"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87" w:lineRule="exact"/>
        <w:rPr>
          <w:rFonts w:ascii="Courier New" w:cs="Courier New" w:eastAsia="Courier New" w:hAnsi="Courier New"/>
          <w:sz w:val="16"/>
          <w:szCs w:val="16"/>
          <w:color w:val="auto"/>
        </w:rPr>
      </w:pPr>
    </w:p>
    <w:p>
      <w:pPr>
        <w:ind w:right="2899" w:firstLine="371"/>
        <w:spacing w:after="0" w:line="237"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9" w:lineRule="exact"/>
        <w:rPr>
          <w:sz w:val="20"/>
          <w:szCs w:val="20"/>
          <w:color w:val="auto"/>
        </w:rPr>
      </w:pPr>
    </w:p>
    <w:p>
      <w:pPr>
        <w:ind w:right="3099" w:firstLine="375"/>
        <w:spacing w:after="0" w:line="236" w:lineRule="auto"/>
        <w:rPr>
          <w:sz w:val="20"/>
          <w:szCs w:val="20"/>
          <w:color w:val="auto"/>
        </w:rPr>
      </w:pPr>
      <w:r>
        <w:rPr>
          <w:rFonts w:ascii="Courier New" w:cs="Courier New" w:eastAsia="Courier New" w:hAnsi="Courier New"/>
          <w:sz w:val="16"/>
          <w:szCs w:val="16"/>
          <w:color w:val="auto"/>
        </w:rPr>
        <w:t>The Restated Certificate of Incorporation of the registrant includes the following provision:</w:t>
      </w:r>
    </w:p>
    <w:p>
      <w:pPr>
        <w:spacing w:after="0" w:line="185" w:lineRule="exact"/>
        <w:rPr>
          <w:sz w:val="20"/>
          <w:szCs w:val="20"/>
          <w:color w:val="auto"/>
        </w:rPr>
      </w:pPr>
    </w:p>
    <w:p>
      <w:pPr>
        <w:ind w:left="380" w:right="2819" w:firstLine="469"/>
        <w:spacing w:after="0" w:line="238" w:lineRule="auto"/>
        <w:rPr>
          <w:sz w:val="20"/>
          <w:szCs w:val="20"/>
          <w:color w:val="auto"/>
        </w:rPr>
      </w:pPr>
      <w:r>
        <w:rPr>
          <w:rFonts w:ascii="Courier New" w:cs="Courier New" w:eastAsia="Courier New" w:hAnsi="Courier New"/>
          <w:sz w:val="16"/>
          <w:szCs w:val="16"/>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w:t>
      </w:r>
    </w:p>
    <w:p>
      <w:pPr>
        <w:sectPr>
          <w:pgSz w:w="11900" w:h="16838" w:orient="portrait"/>
          <w:cols w:equalWidth="0" w:num="1">
            <w:col w:w="10219"/>
          </w:cols>
          <w:pgMar w:left="240" w:top="293" w:right="1440" w:bottom="4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3" w:right="1440" w:bottom="474" w:gutter="0" w:footer="0" w:header="0"/>
          <w:type w:val="continuous"/>
        </w:sectPr>
      </w:pPr>
    </w:p>
    <w:bookmarkStart w:id="18" w:name="page19"/>
    <w:bookmarkEnd w:id="18"/>
    <w:p>
      <w:pPr>
        <w:spacing w:after="0" w:line="70"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18</w:t>
      </w:r>
    </w:p>
    <w:p>
      <w:pPr>
        <w:spacing w:after="0" w:line="4" w:lineRule="exact"/>
        <w:rPr>
          <w:sz w:val="20"/>
          <w:szCs w:val="20"/>
          <w:color w:val="auto"/>
        </w:rPr>
      </w:pPr>
    </w:p>
    <w:p>
      <w:pPr>
        <w:ind w:left="384" w:right="2999"/>
        <w:spacing w:after="0" w:line="237" w:lineRule="auto"/>
        <w:rPr>
          <w:sz w:val="20"/>
          <w:szCs w:val="20"/>
          <w:color w:val="auto"/>
        </w:rPr>
      </w:pPr>
      <w:r>
        <w:rPr>
          <w:rFonts w:ascii="Courier New" w:cs="Courier New" w:eastAsia="Courier New" w:hAnsi="Courier New"/>
          <w:sz w:val="16"/>
          <w:szCs w:val="16"/>
          <w:color w:val="auto"/>
        </w:rPr>
        <w:t>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186" w:lineRule="exact"/>
        <w:rPr>
          <w:sz w:val="20"/>
          <w:szCs w:val="20"/>
          <w:color w:val="auto"/>
        </w:rPr>
      </w:pPr>
    </w:p>
    <w:p>
      <w:pPr>
        <w:ind w:left="4" w:right="2999" w:firstLine="375"/>
        <w:spacing w:after="0" w:line="237" w:lineRule="auto"/>
        <w:rPr>
          <w:sz w:val="20"/>
          <w:szCs w:val="20"/>
          <w:color w:val="auto"/>
        </w:rPr>
      </w:pPr>
      <w:r>
        <w:rPr>
          <w:rFonts w:ascii="Courier New" w:cs="Courier New" w:eastAsia="Courier New" w:hAnsi="Courier New"/>
          <w:sz w:val="16"/>
          <w:szCs w:val="16"/>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87" w:lineRule="exact"/>
        <w:rPr>
          <w:sz w:val="20"/>
          <w:szCs w:val="20"/>
          <w:color w:val="auto"/>
        </w:rPr>
      </w:pPr>
    </w:p>
    <w:p>
      <w:pPr>
        <w:ind w:left="4" w:right="2819" w:firstLine="375"/>
        <w:spacing w:after="0" w:line="255" w:lineRule="auto"/>
        <w:rPr>
          <w:sz w:val="20"/>
          <w:szCs w:val="20"/>
          <w:color w:val="auto"/>
        </w:rPr>
      </w:pPr>
      <w:r>
        <w:rPr>
          <w:rFonts w:ascii="Courier New" w:cs="Courier New" w:eastAsia="Courier New" w:hAnsi="Courier New"/>
          <w:sz w:val="15"/>
          <w:szCs w:val="15"/>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7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16. EXHIBITS.</w:t>
      </w:r>
    </w:p>
    <w:p>
      <w:pPr>
        <w:spacing w:after="0" w:line="179"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100" w:type="dxa"/>
            <w:vAlign w:val="bottom"/>
          </w:tcPr>
          <w:p>
            <w:pPr>
              <w:spacing w:after="0"/>
              <w:rPr>
                <w:sz w:val="15"/>
                <w:szCs w:val="15"/>
                <w:color w:val="auto"/>
              </w:rPr>
            </w:pPr>
          </w:p>
        </w:tc>
      </w:tr>
      <w:tr>
        <w:trPr>
          <w:trHeight w:val="180"/>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100" w:type="dxa"/>
            <w:vAlign w:val="bottom"/>
          </w:tcPr>
          <w:p>
            <w:pPr>
              <w:ind w:left="2260"/>
              <w:spacing w:after="0"/>
              <w:rPr>
                <w:sz w:val="20"/>
                <w:szCs w:val="20"/>
                <w:color w:val="auto"/>
              </w:rPr>
            </w:pPr>
            <w:r>
              <w:rPr>
                <w:rFonts w:ascii="Courier New" w:cs="Courier New" w:eastAsia="Courier New" w:hAnsi="Courier New"/>
                <w:sz w:val="16"/>
                <w:szCs w:val="16"/>
                <w:color w:val="auto"/>
              </w:rPr>
              <w:t>Exhibit</w:t>
            </w:r>
          </w:p>
        </w:tc>
      </w:tr>
      <w:tr>
        <w:trPr>
          <w:trHeight w:val="180"/>
        </w:trPr>
        <w:tc>
          <w:tcPr>
            <w:tcW w:w="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100" w:type="dxa"/>
            <w:vAlign w:val="bottom"/>
          </w:tcPr>
          <w:p>
            <w:pPr>
              <w:ind w:left="2260"/>
              <w:spacing w:after="0"/>
              <w:rPr>
                <w:sz w:val="20"/>
                <w:szCs w:val="20"/>
                <w:color w:val="auto"/>
              </w:rPr>
            </w:pPr>
            <w:r>
              <w:rPr>
                <w:rFonts w:ascii="Courier New" w:cs="Courier New" w:eastAsia="Courier New" w:hAnsi="Courier New"/>
                <w:sz w:val="16"/>
                <w:szCs w:val="16"/>
                <w:color w:val="auto"/>
              </w:rPr>
              <w:t>--------</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4.1</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Restated Certificate of Incorporation [Incorporated by</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7"/>
              </w:rPr>
              <w:t>reference to Exhibit 3.1 to the Post-Effective Amendment No. 1</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to the Registrant's Registration Statement on Form S-4 (File</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No. 33-60103)].</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4.1(a)</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Amendment to Registrant's Restated Certificate of</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8"/>
              </w:rPr>
              <w:t>Incorporation [Incorporated by reference to Exhibit 3.1(a) to</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the Registrant's Quarterly Report on Form 10-Q for the three</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months ended March 31, 1996]</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4.1(b)</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Conformed Copy of Registrant's Restated Certificate of</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7"/>
              </w:rPr>
              <w:t>Incorporation as amended [Incorporated by reference to Exhibit</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3.1(b) to the Registrant's Quarterly Report on Form 10-Q for</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the three months ended March 31, 1996]</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4.2</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8"/>
              </w:rPr>
              <w:t>Bylaws [Incorporated by reference to Exhibit 3.2 to the Post-</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Effective Amendment No. 1 to the Registrant's Registration</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Statement on Form S-4 (File No. 33-60103)].</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4.3</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Specimen Stock Certificate. [Incorporated by reference to</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7"/>
              </w:rPr>
              <w:t>Exhibit 4.3 to the Registrant's Registration Statement on Form</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S-3 (File No. 33-76224)].</w:t>
            </w:r>
          </w:p>
        </w:tc>
      </w:tr>
    </w:tbl>
    <w:p>
      <w:pPr>
        <w:spacing w:after="0" w:line="179" w:lineRule="exact"/>
        <w:rPr>
          <w:sz w:val="20"/>
          <w:szCs w:val="20"/>
          <w:color w:val="auto"/>
        </w:rPr>
      </w:pPr>
    </w:p>
    <w:p>
      <w:pPr>
        <w:ind w:left="464" w:hanging="464"/>
        <w:spacing w:after="0"/>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r>
        <w:rPr>
          <w:rFonts w:ascii="Courier New" w:cs="Courier New" w:eastAsia="Courier New" w:hAnsi="Courier New"/>
          <w:sz w:val="15"/>
          <w:szCs w:val="15"/>
          <w:color w:val="auto"/>
        </w:rPr>
        <w:t>Opinion of Snell &amp; Smith, A Professional Corporation.</w:t>
      </w:r>
    </w:p>
    <w:p>
      <w:pPr>
        <w:spacing w:after="0" w:line="185" w:lineRule="exact"/>
        <w:rPr>
          <w:sz w:val="20"/>
          <w:szCs w:val="20"/>
          <w:color w:val="auto"/>
        </w:rPr>
      </w:pPr>
    </w:p>
    <w:p>
      <w:pPr>
        <w:ind w:left="1604" w:right="2819" w:hanging="1218"/>
        <w:spacing w:after="0" w:line="236" w:lineRule="auto"/>
        <w:tabs>
          <w:tab w:leader="none" w:pos="1583"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Snell &amp; Smith, A Professional Corporation (Included in Exhibit 5).</w:t>
      </w:r>
    </w:p>
    <w:p>
      <w:pPr>
        <w:spacing w:after="0" w:line="180" w:lineRule="exact"/>
        <w:rPr>
          <w:sz w:val="20"/>
          <w:szCs w:val="20"/>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Deloitte &amp; Touche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Arthur Andersen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23.5</w:t>
      </w:r>
      <w:r>
        <w:rPr>
          <w:rFonts w:ascii="Courier New" w:cs="Courier New" w:eastAsia="Courier New" w:hAnsi="Courier New"/>
          <w:sz w:val="15"/>
          <w:szCs w:val="15"/>
          <w:color w:val="auto"/>
        </w:rPr>
        <w:t>Consent of Ernst &amp; Young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23.6</w:t>
      </w:r>
      <w:r>
        <w:rPr>
          <w:rFonts w:ascii="Courier New" w:cs="Courier New" w:eastAsia="Courier New" w:hAnsi="Courier New"/>
          <w:sz w:val="15"/>
          <w:szCs w:val="15"/>
          <w:color w:val="auto"/>
        </w:rPr>
        <w:t>Consent of Deloitte &amp; Touche, Chartered Accountants</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23.7</w:t>
      </w:r>
      <w:r>
        <w:rPr>
          <w:rFonts w:ascii="Courier New" w:cs="Courier New" w:eastAsia="Courier New" w:hAnsi="Courier New"/>
          <w:sz w:val="15"/>
          <w:szCs w:val="15"/>
          <w:color w:val="auto"/>
        </w:rPr>
        <w:t>Consent of Coopers &amp; Lybrand L.L.P.</w:t>
      </w:r>
    </w:p>
    <w:p>
      <w:pPr>
        <w:spacing w:after="0" w:line="184" w:lineRule="exact"/>
        <w:rPr>
          <w:rFonts w:ascii="Courier New" w:cs="Courier New" w:eastAsia="Courier New" w:hAnsi="Courier New"/>
          <w:sz w:val="16"/>
          <w:szCs w:val="16"/>
          <w:color w:val="auto"/>
        </w:rPr>
      </w:pPr>
    </w:p>
    <w:p>
      <w:pPr>
        <w:ind w:left="1604" w:right="3559" w:hanging="1604"/>
        <w:spacing w:after="0" w:line="236" w:lineRule="auto"/>
        <w:tabs>
          <w:tab w:leader="none" w:pos="3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23.8Consent of Kaplan Sipos &amp; Associates, Certified Public Accountants</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23.9</w:t>
      </w:r>
      <w:r>
        <w:rPr>
          <w:rFonts w:ascii="Courier New" w:cs="Courier New" w:eastAsia="Courier New" w:hAnsi="Courier New"/>
          <w:sz w:val="15"/>
          <w:szCs w:val="15"/>
          <w:color w:val="auto"/>
        </w:rPr>
        <w:t>Consent of Blake, Kuehler, Babione &amp; Pool</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23.10</w:t>
      </w:r>
      <w:r>
        <w:rPr>
          <w:rFonts w:ascii="Courier New" w:cs="Courier New" w:eastAsia="Courier New" w:hAnsi="Courier New"/>
          <w:sz w:val="15"/>
          <w:szCs w:val="15"/>
          <w:color w:val="auto"/>
        </w:rPr>
        <w:t>Consent of Buckno Lisicky &amp; Company</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23.11</w:t>
      </w:r>
      <w:r>
        <w:rPr>
          <w:rFonts w:ascii="Courier New" w:cs="Courier New" w:eastAsia="Courier New" w:hAnsi="Courier New"/>
          <w:sz w:val="15"/>
          <w:szCs w:val="15"/>
          <w:color w:val="auto"/>
        </w:rPr>
        <w:t>Consent of Osburn, Henning and Company</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w:t>
      </w:r>
      <w:r>
        <w:rPr>
          <w:rFonts w:ascii="Courier New" w:cs="Courier New" w:eastAsia="Courier New" w:hAnsi="Courier New"/>
          <w:sz w:val="15"/>
          <w:szCs w:val="15"/>
          <w:color w:val="auto"/>
        </w:rPr>
        <w:t>Powers of Attorney (Included on Page II-7).</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ectPr>
          <w:pgSz w:w="11900" w:h="16908" w:orient="portrait"/>
          <w:cols w:equalWidth="0" w:num="1">
            <w:col w:w="10223"/>
          </w:cols>
          <w:pgMar w:left="236" w:top="293" w:right="1440" w:bottom="0" w:gutter="0" w:footer="0" w:header="0"/>
        </w:sectPr>
      </w:pPr>
    </w:p>
    <w:bookmarkStart w:id="19" w:name="page20"/>
    <w:bookmarkEnd w:id="19"/>
    <w:p>
      <w:pPr>
        <w:spacing w:after="0"/>
        <w:tabs>
          <w:tab w:leader="none" w:pos="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Filed herewith.</w:t>
      </w:r>
    </w:p>
    <w:p>
      <w:pPr>
        <w:spacing w:after="0" w:line="179"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17"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UNDERTAKINGS.</w:t>
      </w:r>
    </w:p>
    <w:p>
      <w:pPr>
        <w:spacing w:after="0" w:line="179" w:lineRule="exact"/>
        <w:rPr>
          <w:sz w:val="20"/>
          <w:szCs w:val="20"/>
          <w:color w:val="auto"/>
        </w:rPr>
      </w:pPr>
    </w:p>
    <w:p>
      <w:pPr>
        <w:ind w:left="1600" w:hanging="760"/>
        <w:spacing w:after="0"/>
        <w:tabs>
          <w:tab w:leader="none" w:pos="16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840" w:right="2999" w:firstLine="751"/>
        <w:spacing w:after="0" w:line="237" w:lineRule="auto"/>
        <w:tabs>
          <w:tab w:leader="none" w:pos="243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1600" w:right="2819" w:firstLine="835"/>
        <w:spacing w:after="0" w:line="236" w:lineRule="auto"/>
        <w:tabs>
          <w:tab w:leader="none" w:pos="3195"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1600" w:right="2899" w:firstLine="835"/>
        <w:spacing w:after="0" w:line="237" w:lineRule="auto"/>
        <w:tabs>
          <w:tab w:leader="none" w:pos="3195"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8" w:lineRule="exact"/>
        <w:rPr>
          <w:rFonts w:ascii="Courier New" w:cs="Courier New" w:eastAsia="Courier New" w:hAnsi="Courier New"/>
          <w:sz w:val="16"/>
          <w:szCs w:val="16"/>
          <w:color w:val="auto"/>
        </w:rPr>
      </w:pPr>
    </w:p>
    <w:p>
      <w:pPr>
        <w:ind w:left="1600" w:right="2999" w:firstLine="835"/>
        <w:spacing w:after="0" w:line="237" w:lineRule="auto"/>
        <w:tabs>
          <w:tab w:leader="none" w:pos="3195"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600" w:right="2819"/>
        <w:spacing w:after="0" w:line="238"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5" w:lineRule="exact"/>
        <w:rPr>
          <w:sz w:val="20"/>
          <w:szCs w:val="20"/>
          <w:color w:val="auto"/>
        </w:rPr>
      </w:pPr>
    </w:p>
    <w:p>
      <w:pPr>
        <w:ind w:left="840" w:right="2999" w:firstLine="751"/>
        <w:spacing w:after="0" w:line="237" w:lineRule="auto"/>
        <w:tabs>
          <w:tab w:leader="none" w:pos="243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jc w:val="both"/>
        <w:ind w:left="840" w:right="3379" w:firstLine="751"/>
        <w:spacing w:after="0" w:line="259" w:lineRule="auto"/>
        <w:tabs>
          <w:tab w:leader="none" w:pos="243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1" w:lineRule="exact"/>
        <w:rPr>
          <w:rFonts w:ascii="Courier New" w:cs="Courier New" w:eastAsia="Courier New" w:hAnsi="Courier New"/>
          <w:sz w:val="15"/>
          <w:szCs w:val="15"/>
          <w:color w:val="auto"/>
        </w:rPr>
      </w:pPr>
    </w:p>
    <w:p>
      <w:pPr>
        <w:ind w:right="2819" w:firstLine="840"/>
        <w:spacing w:after="0" w:line="255" w:lineRule="auto"/>
        <w:tabs>
          <w:tab w:leader="none" w:pos="159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right="2899" w:firstLine="840"/>
        <w:spacing w:after="0" w:line="255" w:lineRule="auto"/>
        <w:tabs>
          <w:tab w:leader="none" w:pos="159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8" w:lineRule="exact"/>
        <w:rPr>
          <w:rFonts w:ascii="Courier New" w:cs="Courier New" w:eastAsia="Courier New" w:hAnsi="Courier New"/>
          <w:sz w:val="15"/>
          <w:szCs w:val="15"/>
          <w:color w:val="auto"/>
        </w:rPr>
      </w:pPr>
    </w:p>
    <w:p>
      <w:pPr>
        <w:ind w:right="2819" w:firstLine="840"/>
        <w:spacing w:after="0" w:line="238" w:lineRule="auto"/>
        <w:tabs>
          <w:tab w:leader="none" w:pos="15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w:t>
      </w:r>
    </w:p>
    <w:p>
      <w:pPr>
        <w:sectPr>
          <w:pgSz w:w="11900" w:h="16838" w:orient="portrait"/>
          <w:cols w:equalWidth="0" w:num="1">
            <w:col w:w="10219"/>
          </w:cols>
          <w:pgMar w:left="240" w:top="293" w:right="1440" w:bottom="10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93" w:right="1440" w:bottom="1015"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appropriate jurisdiction the question whether such indemnification by it is against public policy as expressed in the Act and will be governed by the final adjudication of such issue.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duly caused this registration statement to be signed on its behalf by the undersigned, thereunto duly authorized, in the City of Houston, State of Texas on December 6, 1996.</w:t>
      </w:r>
    </w:p>
    <w:p>
      <w:pPr>
        <w:spacing w:after="0" w:line="200" w:lineRule="exact"/>
        <w:rPr>
          <w:sz w:val="20"/>
          <w:szCs w:val="20"/>
          <w:color w:val="auto"/>
        </w:rPr>
      </w:pP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JOHN E. DRURY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John E. Drury, Chairman of the Board</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and Chief Executive Officer</w:t>
      </w:r>
    </w:p>
    <w:p>
      <w:pPr>
        <w:spacing w:after="0" w:line="200" w:lineRule="exact"/>
        <w:rPr>
          <w:sz w:val="20"/>
          <w:szCs w:val="20"/>
          <w:color w:val="auto"/>
        </w:rPr>
      </w:pPr>
    </w:p>
    <w:p>
      <w:pPr>
        <w:sectPr>
          <w:pgSz w:w="11900" w:h="16838" w:orient="portrait"/>
          <w:cols w:equalWidth="0" w:num="2">
            <w:col w:w="3380" w:space="0"/>
            <w:col w:w="6839"/>
          </w:cols>
          <w:pgMar w:left="24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84"/>
        <w:spacing w:after="0"/>
        <w:rPr>
          <w:sz w:val="20"/>
          <w:szCs w:val="20"/>
          <w:color w:val="auto"/>
        </w:rPr>
      </w:pPr>
      <w:r>
        <w:rPr>
          <w:rFonts w:ascii="Courier New" w:cs="Courier New" w:eastAsia="Courier New" w:hAnsi="Courier New"/>
          <w:sz w:val="16"/>
          <w:szCs w:val="16"/>
          <w:color w:val="auto"/>
        </w:rPr>
        <w:t>21</w:t>
      </w:r>
    </w:p>
    <w:p>
      <w:pPr>
        <w:ind w:left="2904"/>
        <w:spacing w:after="0"/>
        <w:rPr>
          <w:sz w:val="20"/>
          <w:szCs w:val="20"/>
          <w:color w:val="auto"/>
        </w:rPr>
      </w:pPr>
      <w:r>
        <w:rPr>
          <w:rFonts w:ascii="Courier New" w:cs="Courier New" w:eastAsia="Courier New" w:hAnsi="Courier New"/>
          <w:sz w:val="16"/>
          <w:szCs w:val="16"/>
          <w:color w:val="auto"/>
        </w:rPr>
        <w:t>POWER OF ATTORNEY</w:t>
      </w:r>
    </w:p>
    <w:p>
      <w:pPr>
        <w:spacing w:after="0" w:line="184" w:lineRule="exact"/>
        <w:rPr>
          <w:sz w:val="20"/>
          <w:szCs w:val="20"/>
          <w:color w:val="auto"/>
        </w:rPr>
      </w:pPr>
    </w:p>
    <w:p>
      <w:pPr>
        <w:ind w:left="4" w:right="2819" w:firstLine="844"/>
        <w:spacing w:after="0" w:line="238" w:lineRule="auto"/>
        <w:rPr>
          <w:sz w:val="20"/>
          <w:szCs w:val="20"/>
          <w:color w:val="auto"/>
        </w:rPr>
      </w:pPr>
      <w:r>
        <w:rPr>
          <w:rFonts w:ascii="Courier New" w:cs="Courier New" w:eastAsia="Courier New" w:hAnsi="Courier New"/>
          <w:sz w:val="16"/>
          <w:szCs w:val="16"/>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S-3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3"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Witness our hands on the date set forth below.</w:t>
      </w:r>
    </w:p>
    <w:p>
      <w:pPr>
        <w:spacing w:after="0" w:line="185" w:lineRule="exact"/>
        <w:rPr>
          <w:sz w:val="20"/>
          <w:szCs w:val="20"/>
          <w:color w:val="auto"/>
        </w:rPr>
      </w:pPr>
    </w:p>
    <w:p>
      <w:pPr>
        <w:ind w:left="4" w:right="309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and on December 6 , 1996.</w:t>
      </w:r>
    </w:p>
    <w:p>
      <w:pPr>
        <w:spacing w:after="0" w:line="200" w:lineRule="exact"/>
        <w:rPr>
          <w:sz w:val="20"/>
          <w:szCs w:val="20"/>
          <w:color w:val="auto"/>
        </w:rPr>
      </w:pPr>
    </w:p>
    <w:p>
      <w:pPr>
        <w:spacing w:after="0" w:line="340" w:lineRule="exact"/>
        <w:rPr>
          <w:sz w:val="20"/>
          <w:szCs w:val="20"/>
          <w:color w:val="auto"/>
        </w:rPr>
      </w:pPr>
    </w:p>
    <w:p>
      <w:pPr>
        <w:ind w:left="744"/>
        <w:spacing w:after="0"/>
        <w:tabs>
          <w:tab w:leader="none" w:pos="4763"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ind w:left="744"/>
        <w:spacing w:after="0"/>
        <w:tabs>
          <w:tab w:leader="none" w:pos="476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JOHN E. DRURY</w:t>
      </w:r>
      <w:r>
        <w:rPr>
          <w:sz w:val="20"/>
          <w:szCs w:val="20"/>
          <w:color w:val="auto"/>
        </w:rPr>
        <w:tab/>
      </w:r>
      <w:r>
        <w:rPr>
          <w:rFonts w:ascii="Courier New" w:cs="Courier New" w:eastAsia="Courier New" w:hAnsi="Courier New"/>
          <w:sz w:val="15"/>
          <w:szCs w:val="15"/>
          <w:color w:val="auto"/>
        </w:rPr>
        <w:t>Chairman of the Board and Chief Executive Officer</w:t>
      </w:r>
    </w:p>
    <w:p>
      <w:pPr>
        <w:ind w:left="4"/>
        <w:spacing w:after="0"/>
        <w:tabs>
          <w:tab w:leader="none" w:pos="336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and Director</w:t>
      </w:r>
    </w:p>
    <w:p>
      <w:pPr>
        <w:ind w:left="4"/>
        <w:spacing w:after="0" w:line="237" w:lineRule="auto"/>
        <w:rPr>
          <w:sz w:val="20"/>
          <w:szCs w:val="20"/>
          <w:color w:val="auto"/>
        </w:rPr>
      </w:pPr>
      <w:r>
        <w:rPr>
          <w:rFonts w:ascii="Courier New" w:cs="Courier New" w:eastAsia="Courier New" w:hAnsi="Courier New"/>
          <w:sz w:val="16"/>
          <w:szCs w:val="16"/>
          <w:color w:val="auto"/>
        </w:rPr>
        <w:t>John E. Drury</w:t>
      </w:r>
    </w:p>
    <w:p>
      <w:pPr>
        <w:spacing w:after="0" w:line="360"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EARL E. DEFRATES</w:t>
      </w:r>
      <w:r>
        <w:rPr>
          <w:sz w:val="20"/>
          <w:szCs w:val="20"/>
          <w:color w:val="auto"/>
        </w:rPr>
        <w:tab/>
      </w:r>
      <w:r>
        <w:rPr>
          <w:rFonts w:ascii="Courier New" w:cs="Courier New" w:eastAsia="Courier New" w:hAnsi="Courier New"/>
          <w:sz w:val="15"/>
          <w:szCs w:val="15"/>
          <w:color w:val="auto"/>
        </w:rPr>
        <w:t>Executive Vice President, Chief Financial Officer</w:t>
      </w:r>
    </w:p>
    <w:p>
      <w:pPr>
        <w:ind w:left="4"/>
        <w:spacing w:after="0"/>
        <w:tabs>
          <w:tab w:leader="none" w:pos="336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and Treasurer</w:t>
      </w:r>
    </w:p>
    <w:p>
      <w:pPr>
        <w:ind w:left="4"/>
        <w:spacing w:after="0" w:line="237" w:lineRule="auto"/>
        <w:rPr>
          <w:sz w:val="20"/>
          <w:szCs w:val="20"/>
          <w:color w:val="auto"/>
        </w:rPr>
      </w:pPr>
      <w:r>
        <w:rPr>
          <w:rFonts w:ascii="Courier New" w:cs="Courier New" w:eastAsia="Courier New" w:hAnsi="Courier New"/>
          <w:sz w:val="16"/>
          <w:szCs w:val="16"/>
          <w:color w:val="auto"/>
        </w:rPr>
        <w:t>Earl E. DeFrates</w:t>
      </w:r>
    </w:p>
    <w:p>
      <w:pPr>
        <w:spacing w:after="0" w:line="360"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BRUCE E. SNYDER</w:t>
      </w:r>
      <w:r>
        <w:rPr>
          <w:sz w:val="20"/>
          <w:szCs w:val="20"/>
          <w:color w:val="auto"/>
        </w:rPr>
        <w:tab/>
      </w:r>
      <w:r>
        <w:rPr>
          <w:rFonts w:ascii="Courier New" w:cs="Courier New" w:eastAsia="Courier New" w:hAnsi="Courier New"/>
          <w:sz w:val="15"/>
          <w:szCs w:val="15"/>
          <w:color w:val="auto"/>
        </w:rPr>
        <w:t>Vice President Controller and Principal</w:t>
      </w:r>
    </w:p>
    <w:p>
      <w:pPr>
        <w:ind w:left="3184"/>
        <w:spacing w:after="0"/>
        <w:rPr>
          <w:sz w:val="20"/>
          <w:szCs w:val="20"/>
          <w:color w:val="auto"/>
        </w:rPr>
      </w:pPr>
      <w:r>
        <w:rPr>
          <w:rFonts w:ascii="Courier New" w:cs="Courier New" w:eastAsia="Courier New" w:hAnsi="Courier New"/>
          <w:sz w:val="16"/>
          <w:szCs w:val="16"/>
          <w:color w:val="auto"/>
        </w:rPr>
        <w:t>Accounting Officer</w:t>
      </w:r>
    </w:p>
    <w:p>
      <w:pPr>
        <w:ind w:left="184" w:hanging="184"/>
        <w:spacing w:after="0" w:line="237" w:lineRule="auto"/>
        <w:tabs>
          <w:tab w:leader="none" w:pos="1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Bruce E. Snyder</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RALPH F. COX</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RICHARD J. HECKMANN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LARRY J. MARTIN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Larry J. Martin</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WILLIAM E. MOFFETT</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E. Moffett</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DONALD F. MOOREHEAD, JR.</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Donald F. Moorehead, Jr.</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RODNEY R. PROTO</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Rodney R. Proto</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ALEXANDER W. RANGOS</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Alexander W. Rangos</w:t>
      </w:r>
    </w:p>
    <w:p>
      <w:pPr>
        <w:sectPr>
          <w:pgSz w:w="11900" w:h="16838" w:orient="portrait"/>
          <w:cols w:equalWidth="0" w:num="1">
            <w:col w:w="10223"/>
          </w:cols>
          <w:pgMar w:left="236" w:top="293" w:right="1440" w:bottom="10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3"/>
          </w:cols>
          <w:pgMar w:left="236" w:top="293" w:right="1440" w:bottom="1015" w:gutter="0" w:footer="0" w:header="0"/>
          <w:type w:val="continuous"/>
        </w:sectPr>
      </w:pPr>
    </w:p>
    <w:bookmarkStart w:id="23" w:name="page24"/>
    <w:bookmarkEnd w:id="23"/>
    <w:p>
      <w:pPr>
        <w:ind w:left="284"/>
        <w:spacing w:after="0"/>
        <w:rPr>
          <w:sz w:val="20"/>
          <w:szCs w:val="20"/>
          <w:color w:val="auto"/>
        </w:rPr>
      </w:pP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340"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JOHN G. RANGOS</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KOSTI SHIRVANIAN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Kosti Shirvanian</w:t>
      </w:r>
    </w:p>
    <w:p>
      <w:pPr>
        <w:spacing w:after="0" w:line="17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DAVID SUTHERLAND-YOEST</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Sutherland-Yoest</w:t>
      </w:r>
    </w:p>
    <w:p>
      <w:pPr>
        <w:spacing w:after="0" w:line="359" w:lineRule="exact"/>
        <w:rPr>
          <w:sz w:val="20"/>
          <w:szCs w:val="20"/>
          <w:color w:val="auto"/>
        </w:rPr>
      </w:pPr>
    </w:p>
    <w:p>
      <w:pPr>
        <w:ind w:left="4"/>
        <w:spacing w:after="0"/>
        <w:tabs>
          <w:tab w:leader="none" w:pos="3163" w:val="left"/>
        </w:tabs>
        <w:rPr>
          <w:sz w:val="20"/>
          <w:szCs w:val="20"/>
          <w:color w:val="auto"/>
        </w:rPr>
      </w:pPr>
      <w:r>
        <w:rPr>
          <w:rFonts w:ascii="Courier New" w:cs="Courier New" w:eastAsia="Courier New" w:hAnsi="Courier New"/>
          <w:sz w:val="16"/>
          <w:szCs w:val="16"/>
          <w:color w:val="auto"/>
        </w:rPr>
        <w:t>SAVEY TUFENKIAN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Savey Tufenkian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23"/>
          </w:cols>
          <w:pgMar w:left="236" w:top="293" w:right="1440" w:bottom="1440" w:gutter="0" w:footer="0" w:header="0"/>
        </w:sectPr>
      </w:pPr>
    </w:p>
    <w:bookmarkStart w:id="24" w:name="page25"/>
    <w:bookmarkEnd w:id="24"/>
    <w:p>
      <w:pPr>
        <w:ind w:left="284"/>
        <w:spacing w:after="0"/>
        <w:rPr>
          <w:sz w:val="20"/>
          <w:szCs w:val="20"/>
          <w:color w:val="auto"/>
        </w:rPr>
      </w:pPr>
      <w:r>
        <w:rPr>
          <w:rFonts w:ascii="Courier New" w:cs="Courier New" w:eastAsia="Courier New" w:hAnsi="Courier New"/>
          <w:sz w:val="16"/>
          <w:szCs w:val="16"/>
          <w:color w:val="auto"/>
        </w:rPr>
        <w:t>23</w:t>
      </w:r>
    </w:p>
    <w:tbl>
      <w:tblPr>
        <w:tblLayout w:type="fixed"/>
        <w:tblInd w:w="384" w:type="dxa"/>
        <w:tblCellMar>
          <w:top w:w="0" w:type="dxa"/>
          <w:left w:w="0" w:type="dxa"/>
          <w:bottom w:w="0" w:type="dxa"/>
          <w:right w:w="0" w:type="dxa"/>
        </w:tblCellMar>
      </w:tblPr>
      <w:tr>
        <w:trPr>
          <w:trHeight w:val="180"/>
        </w:trPr>
        <w:tc>
          <w:tcPr>
            <w:tcW w:w="920" w:type="dxa"/>
            <w:vAlign w:val="bottom"/>
          </w:tcPr>
          <w:p>
            <w:pPr>
              <w:spacing w:after="0"/>
              <w:rPr>
                <w:sz w:val="15"/>
                <w:szCs w:val="15"/>
                <w:color w:val="auto"/>
              </w:rPr>
            </w:pPr>
          </w:p>
        </w:tc>
        <w:tc>
          <w:tcPr>
            <w:tcW w:w="6100" w:type="dxa"/>
            <w:vAlign w:val="bottom"/>
          </w:tcPr>
          <w:p>
            <w:pPr>
              <w:ind w:left="1600"/>
              <w:spacing w:after="0"/>
              <w:rPr>
                <w:sz w:val="20"/>
                <w:szCs w:val="20"/>
                <w:color w:val="auto"/>
              </w:rPr>
            </w:pPr>
            <w:r>
              <w:rPr>
                <w:rFonts w:ascii="Courier New" w:cs="Courier New" w:eastAsia="Courier New" w:hAnsi="Courier New"/>
                <w:sz w:val="16"/>
                <w:szCs w:val="16"/>
                <w:color w:val="auto"/>
              </w:rPr>
              <w:t>INDEX TO EXHIBITS</w:t>
            </w:r>
          </w:p>
        </w:tc>
      </w:tr>
      <w:tr>
        <w:trPr>
          <w:trHeight w:val="721"/>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100" w:type="dxa"/>
            <w:vAlign w:val="bottom"/>
          </w:tcPr>
          <w:p>
            <w:pPr>
              <w:spacing w:after="0"/>
              <w:rPr>
                <w:sz w:val="24"/>
                <w:szCs w:val="24"/>
                <w:color w:val="auto"/>
              </w:rPr>
            </w:pPr>
          </w:p>
        </w:tc>
      </w:tr>
      <w:tr>
        <w:trPr>
          <w:trHeight w:val="180"/>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100" w:type="dxa"/>
            <w:vAlign w:val="bottom"/>
          </w:tcPr>
          <w:p>
            <w:pPr>
              <w:ind w:left="2260"/>
              <w:spacing w:after="0"/>
              <w:rPr>
                <w:sz w:val="20"/>
                <w:szCs w:val="20"/>
                <w:color w:val="auto"/>
              </w:rPr>
            </w:pPr>
            <w:r>
              <w:rPr>
                <w:rFonts w:ascii="Courier New" w:cs="Courier New" w:eastAsia="Courier New" w:hAnsi="Courier New"/>
                <w:sz w:val="16"/>
                <w:szCs w:val="16"/>
                <w:color w:val="auto"/>
              </w:rPr>
              <w:t>Exhibit</w:t>
            </w:r>
          </w:p>
        </w:tc>
      </w:tr>
      <w:tr>
        <w:trPr>
          <w:trHeight w:val="180"/>
        </w:trPr>
        <w:tc>
          <w:tcPr>
            <w:tcW w:w="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100" w:type="dxa"/>
            <w:vAlign w:val="bottom"/>
          </w:tcPr>
          <w:p>
            <w:pPr>
              <w:ind w:left="2260"/>
              <w:spacing w:after="0"/>
              <w:rPr>
                <w:sz w:val="20"/>
                <w:szCs w:val="20"/>
                <w:color w:val="auto"/>
              </w:rPr>
            </w:pPr>
            <w:r>
              <w:rPr>
                <w:rFonts w:ascii="Courier New" w:cs="Courier New" w:eastAsia="Courier New" w:hAnsi="Courier New"/>
                <w:sz w:val="16"/>
                <w:szCs w:val="16"/>
                <w:color w:val="auto"/>
              </w:rPr>
              <w:t>--------</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4.1</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Restated Certificate of Incorporation [Incorporated by</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7"/>
              </w:rPr>
              <w:t>reference to Exhibit 3.1 to the Post-Effective Amendment No. 1</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to the Registrant's Registration Statement on Form S-4 (File</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No. 33-60103)].</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4.1(a)</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Amendment to Registrant's Restated Certificate of</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8"/>
              </w:rPr>
              <w:t>Incorporation [Incorporated by reference to Exhibit 3.1(a) to</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the Registrant's Quarterly Report on Form 10-Q for the three</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months ended March 31, 1996]</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4.1(b)</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Conformed Copy of Registrant's Restated Certificate of</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7"/>
              </w:rPr>
              <w:t>Incorporation as amended [Incorporated by reference to Exhibit</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3.1(b) to the Registrant's Quarterly Report on Form 10-Q for</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the three months ended March 31, 1996]</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4.2</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8"/>
              </w:rPr>
              <w:t>Bylaws [Incorporated by reference to Exhibit 3.2 to the Post-</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Effective Amendment No. 1 to the Registrant's Registration</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Statement on Form S-4 (File No. 33-60103)].</w:t>
            </w:r>
          </w:p>
        </w:tc>
      </w:tr>
      <w:tr>
        <w:trPr>
          <w:trHeight w:val="361"/>
        </w:trPr>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4.3</w:t>
            </w: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Specimen Stock Certificate. [Incorporated by reference to</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w w:val="97"/>
              </w:rPr>
              <w:t>Exhibit 4.3 to the Registrant's Registration Statement on Form</w:t>
            </w:r>
          </w:p>
        </w:tc>
      </w:tr>
      <w:tr>
        <w:trPr>
          <w:trHeight w:val="180"/>
        </w:trPr>
        <w:tc>
          <w:tcPr>
            <w:tcW w:w="920" w:type="dxa"/>
            <w:vAlign w:val="bottom"/>
          </w:tcPr>
          <w:p>
            <w:pPr>
              <w:spacing w:after="0"/>
              <w:rPr>
                <w:sz w:val="15"/>
                <w:szCs w:val="15"/>
                <w:color w:val="auto"/>
              </w:rPr>
            </w:pPr>
          </w:p>
        </w:tc>
        <w:tc>
          <w:tcPr>
            <w:tcW w:w="6100" w:type="dxa"/>
            <w:vAlign w:val="bottom"/>
          </w:tcPr>
          <w:p>
            <w:pPr>
              <w:ind w:left="300"/>
              <w:spacing w:after="0"/>
              <w:rPr>
                <w:sz w:val="20"/>
                <w:szCs w:val="20"/>
                <w:color w:val="auto"/>
              </w:rPr>
            </w:pPr>
            <w:r>
              <w:rPr>
                <w:rFonts w:ascii="Courier New" w:cs="Courier New" w:eastAsia="Courier New" w:hAnsi="Courier New"/>
                <w:sz w:val="16"/>
                <w:szCs w:val="16"/>
                <w:color w:val="auto"/>
              </w:rPr>
              <w:t>S-3 (File No. 33-76224)].</w:t>
            </w:r>
          </w:p>
        </w:tc>
      </w:tr>
    </w:tbl>
    <w:p>
      <w:pPr>
        <w:spacing w:after="0" w:line="179" w:lineRule="exact"/>
        <w:rPr>
          <w:sz w:val="20"/>
          <w:szCs w:val="20"/>
          <w:color w:val="auto"/>
        </w:rPr>
      </w:pPr>
    </w:p>
    <w:p>
      <w:pPr>
        <w:ind w:left="464" w:hanging="464"/>
        <w:spacing w:after="0"/>
        <w:tabs>
          <w:tab w:leader="none" w:pos="46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r>
        <w:rPr>
          <w:rFonts w:ascii="Courier New" w:cs="Courier New" w:eastAsia="Courier New" w:hAnsi="Courier New"/>
          <w:sz w:val="15"/>
          <w:szCs w:val="15"/>
          <w:color w:val="auto"/>
        </w:rPr>
        <w:t>Opinion of Snell &amp; Smith, A Professional Corporation.</w:t>
      </w:r>
    </w:p>
    <w:p>
      <w:pPr>
        <w:spacing w:after="0" w:line="185" w:lineRule="exact"/>
        <w:rPr>
          <w:sz w:val="20"/>
          <w:szCs w:val="20"/>
          <w:color w:val="auto"/>
        </w:rPr>
      </w:pPr>
    </w:p>
    <w:p>
      <w:pPr>
        <w:ind w:left="1604" w:right="2819" w:hanging="1218"/>
        <w:spacing w:after="0" w:line="236" w:lineRule="auto"/>
        <w:tabs>
          <w:tab w:leader="none" w:pos="1583"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Snell &amp; Smith, A Professional Corporation (Included in Exhibit 5).</w:t>
      </w:r>
    </w:p>
    <w:p>
      <w:pPr>
        <w:spacing w:after="0" w:line="180" w:lineRule="exact"/>
        <w:rPr>
          <w:sz w:val="20"/>
          <w:szCs w:val="20"/>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Coopers &amp; Lybrand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r>
        <w:rPr>
          <w:rFonts w:ascii="Courier New" w:cs="Courier New" w:eastAsia="Courier New" w:hAnsi="Courier New"/>
          <w:sz w:val="15"/>
          <w:szCs w:val="15"/>
          <w:color w:val="auto"/>
        </w:rPr>
        <w:t>Consent of Deloitte &amp; Touche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w:t>
      </w:r>
      <w:r>
        <w:rPr>
          <w:rFonts w:ascii="Courier New" w:cs="Courier New" w:eastAsia="Courier New" w:hAnsi="Courier New"/>
          <w:sz w:val="15"/>
          <w:szCs w:val="15"/>
          <w:color w:val="auto"/>
        </w:rPr>
        <w:t>Consent of Arthur Andersen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23.5</w:t>
      </w:r>
      <w:r>
        <w:rPr>
          <w:rFonts w:ascii="Courier New" w:cs="Courier New" w:eastAsia="Courier New" w:hAnsi="Courier New"/>
          <w:sz w:val="15"/>
          <w:szCs w:val="15"/>
          <w:color w:val="auto"/>
        </w:rPr>
        <w:t>Consent of Ernst &amp; Young LLP</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23.6</w:t>
      </w:r>
      <w:r>
        <w:rPr>
          <w:rFonts w:ascii="Courier New" w:cs="Courier New" w:eastAsia="Courier New" w:hAnsi="Courier New"/>
          <w:sz w:val="15"/>
          <w:szCs w:val="15"/>
          <w:color w:val="auto"/>
        </w:rPr>
        <w:t>Consent of Deloitte &amp; Touche, Chartered Accountants</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23.7</w:t>
      </w:r>
      <w:r>
        <w:rPr>
          <w:rFonts w:ascii="Courier New" w:cs="Courier New" w:eastAsia="Courier New" w:hAnsi="Courier New"/>
          <w:sz w:val="15"/>
          <w:szCs w:val="15"/>
          <w:color w:val="auto"/>
        </w:rPr>
        <w:t>Consent of Coopers &amp; Lybrand L.L.P.</w:t>
      </w:r>
    </w:p>
    <w:p>
      <w:pPr>
        <w:spacing w:after="0" w:line="184" w:lineRule="exact"/>
        <w:rPr>
          <w:rFonts w:ascii="Courier New" w:cs="Courier New" w:eastAsia="Courier New" w:hAnsi="Courier New"/>
          <w:sz w:val="16"/>
          <w:szCs w:val="16"/>
          <w:color w:val="auto"/>
        </w:rPr>
      </w:pPr>
    </w:p>
    <w:p>
      <w:pPr>
        <w:ind w:left="1604" w:right="3559" w:hanging="1604"/>
        <w:spacing w:after="0" w:line="236" w:lineRule="auto"/>
        <w:tabs>
          <w:tab w:leader="none" w:pos="38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23.8Consent of Kaplan Sipos &amp; Associates, Certified Public Accountants</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23.9</w:t>
      </w:r>
      <w:r>
        <w:rPr>
          <w:rFonts w:ascii="Courier New" w:cs="Courier New" w:eastAsia="Courier New" w:hAnsi="Courier New"/>
          <w:sz w:val="15"/>
          <w:szCs w:val="15"/>
          <w:color w:val="auto"/>
        </w:rPr>
        <w:t>Consent of Blake, Kuehler, Babione &amp; Pool</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23.10</w:t>
      </w:r>
      <w:r>
        <w:rPr>
          <w:rFonts w:ascii="Courier New" w:cs="Courier New" w:eastAsia="Courier New" w:hAnsi="Courier New"/>
          <w:sz w:val="15"/>
          <w:szCs w:val="15"/>
          <w:color w:val="auto"/>
        </w:rPr>
        <w:t>Consent of Buckno Lisicky &amp; Company</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23.11</w:t>
      </w:r>
      <w:r>
        <w:rPr>
          <w:rFonts w:ascii="Courier New" w:cs="Courier New" w:eastAsia="Courier New" w:hAnsi="Courier New"/>
          <w:sz w:val="15"/>
          <w:szCs w:val="15"/>
          <w:color w:val="auto"/>
        </w:rPr>
        <w:t>Consent of Osburn, Henning and Company</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w:t>
      </w:r>
      <w:r>
        <w:rPr>
          <w:rFonts w:ascii="Courier New" w:cs="Courier New" w:eastAsia="Courier New" w:hAnsi="Courier New"/>
          <w:sz w:val="15"/>
          <w:szCs w:val="15"/>
          <w:color w:val="auto"/>
        </w:rPr>
        <w:t>Powers of Attorney (Included on Page II-7).</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4"/>
        <w:spacing w:after="0"/>
        <w:tabs>
          <w:tab w:leader="none" w:pos="4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23"/>
          </w:cols>
          <w:pgMar w:left="236" w:top="293"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December 6, 1996</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rPr>
          <w:sz w:val="20"/>
          <w:szCs w:val="20"/>
          <w:color w:val="auto"/>
        </w:rPr>
      </w:pPr>
      <w:r>
        <w:rPr>
          <w:rFonts w:ascii="Courier New" w:cs="Courier New" w:eastAsia="Courier New" w:hAnsi="Courier New"/>
          <w:sz w:val="16"/>
          <w:szCs w:val="16"/>
          <w:color w:val="auto"/>
        </w:rPr>
        <w:t>2777 Allen Parkway, Suite 700</w:t>
      </w:r>
    </w:p>
    <w:p>
      <w:pPr>
        <w:spacing w:after="0" w:line="237" w:lineRule="auto"/>
        <w:rPr>
          <w:sz w:val="20"/>
          <w:szCs w:val="20"/>
          <w:color w:val="auto"/>
        </w:rPr>
      </w:pPr>
      <w:r>
        <w:rPr>
          <w:rFonts w:ascii="Courier New" w:cs="Courier New" w:eastAsia="Courier New" w:hAnsi="Courier New"/>
          <w:sz w:val="16"/>
          <w:szCs w:val="16"/>
          <w:color w:val="auto"/>
        </w:rPr>
        <w:t>Houston, Texas 77019</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5" w:lineRule="exact"/>
        <w:rPr>
          <w:sz w:val="20"/>
          <w:szCs w:val="20"/>
          <w:color w:val="auto"/>
        </w:rPr>
      </w:pPr>
    </w:p>
    <w:p>
      <w:pPr>
        <w:ind w:right="2819" w:firstLine="844"/>
        <w:spacing w:after="0" w:line="256" w:lineRule="auto"/>
        <w:rPr>
          <w:sz w:val="20"/>
          <w:szCs w:val="20"/>
          <w:color w:val="auto"/>
        </w:rPr>
      </w:pPr>
      <w:r>
        <w:rPr>
          <w:rFonts w:ascii="Courier New" w:cs="Courier New" w:eastAsia="Courier New" w:hAnsi="Courier New"/>
          <w:sz w:val="15"/>
          <w:szCs w:val="15"/>
          <w:color w:val="auto"/>
        </w:rPr>
        <w:t>We have acted as counsel for USA Waste Services, Inc., a Delaware corporation (the "Company"), in connection with the filing of the Registration Statement on Form S-3 with respect to the registration of 108,375 shares of the Common Stock, $.01 par value (the "Common Stock"), of the Company, for issuance and sale from time to time by certain selling shareholders of the Company.</w:t>
      </w:r>
    </w:p>
    <w:p>
      <w:pPr>
        <w:spacing w:after="0" w:line="176"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87" w:lineRule="exact"/>
        <w:rPr>
          <w:sz w:val="20"/>
          <w:szCs w:val="20"/>
          <w:color w:val="auto"/>
        </w:rPr>
      </w:pPr>
    </w:p>
    <w:p>
      <w:pPr>
        <w:ind w:right="3099" w:firstLine="840"/>
        <w:spacing w:after="0" w:line="236" w:lineRule="auto"/>
        <w:tabs>
          <w:tab w:leader="none" w:pos="159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Restated Certificate of Incorporation of the Company as filed with the Secretary of State of Delaware, as amended;</w:t>
      </w:r>
    </w:p>
    <w:p>
      <w:pPr>
        <w:spacing w:after="0" w:line="179" w:lineRule="exact"/>
        <w:rPr>
          <w:rFonts w:ascii="Courier New" w:cs="Courier New" w:eastAsia="Courier New" w:hAnsi="Courier New"/>
          <w:sz w:val="16"/>
          <w:szCs w:val="16"/>
          <w:color w:val="auto"/>
        </w:rPr>
      </w:pPr>
    </w:p>
    <w:p>
      <w:pPr>
        <w:ind w:left="1600" w:hanging="760"/>
        <w:spacing w:after="0"/>
        <w:tabs>
          <w:tab w:leader="none" w:pos="16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Company; and</w:t>
      </w:r>
    </w:p>
    <w:p>
      <w:pPr>
        <w:spacing w:after="0" w:line="184" w:lineRule="exact"/>
        <w:rPr>
          <w:rFonts w:ascii="Courier New" w:cs="Courier New" w:eastAsia="Courier New" w:hAnsi="Courier New"/>
          <w:sz w:val="16"/>
          <w:szCs w:val="16"/>
          <w:color w:val="auto"/>
        </w:rPr>
      </w:pPr>
    </w:p>
    <w:p>
      <w:pPr>
        <w:ind w:right="3099" w:firstLine="840"/>
        <w:spacing w:after="0" w:line="263" w:lineRule="auto"/>
        <w:tabs>
          <w:tab w:leader="none" w:pos="159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on Form S-3 of the Company filed with the Securities and Exchange Commission (the "Registration Statement").</w:t>
      </w:r>
    </w:p>
    <w:p>
      <w:pPr>
        <w:spacing w:after="0" w:line="169"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 delivery or recordation of all documents where due authorization, execution or recordation or prerequisites to the effectiveness thereof.</w:t>
      </w:r>
    </w:p>
    <w:p>
      <w:pPr>
        <w:spacing w:after="0" w:line="189" w:lineRule="exact"/>
        <w:rPr>
          <w:sz w:val="20"/>
          <w:szCs w:val="20"/>
          <w:color w:val="auto"/>
        </w:rPr>
      </w:pPr>
    </w:p>
    <w:p>
      <w:pPr>
        <w:ind w:right="3939" w:firstLine="844"/>
        <w:spacing w:after="0" w:line="263" w:lineRule="auto"/>
        <w:rPr>
          <w:sz w:val="20"/>
          <w:szCs w:val="20"/>
          <w:color w:val="auto"/>
        </w:rPr>
      </w:pPr>
      <w:r>
        <w:rPr>
          <w:rFonts w:ascii="Courier New" w:cs="Courier New" w:eastAsia="Courier New" w:hAnsi="Courier New"/>
          <w:sz w:val="15"/>
          <w:szCs w:val="15"/>
          <w:color w:val="auto"/>
        </w:rPr>
        <w:t>Based upon the foregoing, and having regard for such legal considerations as we deem relevant, we are of the opinion that:</w:t>
      </w:r>
    </w:p>
    <w:p>
      <w:pPr>
        <w:spacing w:after="0" w:line="169" w:lineRule="exact"/>
        <w:rPr>
          <w:sz w:val="20"/>
          <w:szCs w:val="20"/>
          <w:color w:val="auto"/>
        </w:rPr>
      </w:pPr>
    </w:p>
    <w:p>
      <w:pPr>
        <w:ind w:right="2899" w:firstLine="840"/>
        <w:spacing w:after="0" w:line="236" w:lineRule="auto"/>
        <w:tabs>
          <w:tab w:leader="none" w:pos="159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organized, validly existing and in good standing under the laws of the States of Delaware;</w:t>
      </w:r>
    </w:p>
    <w:p>
      <w:pPr>
        <w:sectPr>
          <w:pgSz w:w="11900" w:h="16838" w:orient="portrait"/>
          <w:cols w:equalWidth="0" w:num="1">
            <w:col w:w="10219"/>
          </w:cols>
          <w:pgMar w:left="240" w:top="137"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w:t>
      </w: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rPr>
          <w:sz w:val="20"/>
          <w:szCs w:val="20"/>
          <w:color w:val="auto"/>
        </w:rPr>
      </w:pPr>
      <w:r>
        <w:rPr>
          <w:rFonts w:ascii="Courier New" w:cs="Courier New" w:eastAsia="Courier New" w:hAnsi="Courier New"/>
          <w:sz w:val="16"/>
          <w:szCs w:val="16"/>
          <w:color w:val="auto"/>
        </w:rPr>
        <w:t>December 6, 1996</w:t>
      </w:r>
    </w:p>
    <w:p>
      <w:pPr>
        <w:spacing w:after="0" w:line="184" w:lineRule="exact"/>
        <w:rPr>
          <w:sz w:val="20"/>
          <w:szCs w:val="20"/>
          <w:color w:val="auto"/>
        </w:rPr>
      </w:pPr>
    </w:p>
    <w:p>
      <w:pPr>
        <w:ind w:right="2899" w:firstLine="840"/>
        <w:spacing w:after="0" w:line="257" w:lineRule="auto"/>
        <w:tabs>
          <w:tab w:leader="none" w:pos="159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of the Company consists of 300,000,000 shares of Common Stock, of which, as of September 30, 1996, 138,343,184 were issued and outstanding, and 10,000,000 shares of Preferred Stock, $.01 par value, of which, as of the date hereof, no shares are issued and outstanding;</w:t>
      </w:r>
    </w:p>
    <w:p>
      <w:pPr>
        <w:spacing w:after="0" w:line="174" w:lineRule="exact"/>
        <w:rPr>
          <w:rFonts w:ascii="Courier New" w:cs="Courier New" w:eastAsia="Courier New" w:hAnsi="Courier New"/>
          <w:sz w:val="15"/>
          <w:szCs w:val="15"/>
          <w:color w:val="auto"/>
        </w:rPr>
      </w:pPr>
    </w:p>
    <w:p>
      <w:pPr>
        <w:ind w:right="2819" w:firstLine="840"/>
        <w:spacing w:after="0" w:line="237" w:lineRule="auto"/>
        <w:tabs>
          <w:tab w:leader="none" w:pos="159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108,375 shares of Common Stock registered under the Registration Statement are duly authorized, legally issued, fully paid and non-assessable.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200" w:lineRule="exact"/>
        <w:rPr>
          <w:sz w:val="20"/>
          <w:szCs w:val="20"/>
          <w:color w:val="auto"/>
        </w:rPr>
      </w:pPr>
    </w:p>
    <w:p>
      <w:pPr>
        <w:spacing w:after="0" w:line="343"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Very truly yours,</w:t>
      </w:r>
    </w:p>
    <w:p>
      <w:pPr>
        <w:spacing w:after="0" w:line="365" w:lineRule="exact"/>
        <w:rPr>
          <w:sz w:val="20"/>
          <w:szCs w:val="20"/>
          <w:color w:val="auto"/>
        </w:rPr>
      </w:pPr>
    </w:p>
    <w:p>
      <w:pPr>
        <w:jc w:val="center"/>
        <w:ind w:left="860"/>
        <w:spacing w:after="0"/>
        <w:rPr>
          <w:sz w:val="20"/>
          <w:szCs w:val="20"/>
          <w:color w:val="auto"/>
        </w:rPr>
      </w:pPr>
      <w:r>
        <w:rPr>
          <w:rFonts w:ascii="Courier New" w:cs="Courier New" w:eastAsia="Courier New" w:hAnsi="Courier New"/>
          <w:sz w:val="15"/>
          <w:szCs w:val="15"/>
          <w:color w:val="auto"/>
        </w:rPr>
        <w:t>SNELL &amp; SMITH, A Professional</w:t>
      </w:r>
    </w:p>
    <w:p>
      <w:pPr>
        <w:spacing w:after="0" w:line="5" w:lineRule="exact"/>
        <w:rPr>
          <w:sz w:val="20"/>
          <w:szCs w:val="20"/>
          <w:color w:val="auto"/>
        </w:rPr>
      </w:pPr>
    </w:p>
    <w:p>
      <w:pPr>
        <w:jc w:val="center"/>
        <w:ind w:left="860"/>
        <w:spacing w:after="0"/>
        <w:rPr>
          <w:sz w:val="20"/>
          <w:szCs w:val="20"/>
          <w:color w:val="auto"/>
        </w:rPr>
      </w:pPr>
      <w:r>
        <w:rPr>
          <w:rFonts w:ascii="Courier New" w:cs="Courier New" w:eastAsia="Courier New" w:hAnsi="Courier New"/>
          <w:sz w:val="16"/>
          <w:szCs w:val="16"/>
          <w:color w:val="auto"/>
        </w:rPr>
        <w:t>Corporation</w:t>
      </w:r>
    </w:p>
    <w:p>
      <w:pPr>
        <w:sectPr>
          <w:pgSz w:w="11900" w:h="16838" w:orient="portrait"/>
          <w:cols w:equalWidth="0" w:num="1">
            <w:col w:w="10219"/>
          </w:cols>
          <w:pgMar w:left="240" w:top="29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w:t>
      </w:r>
    </w:p>
    <w:p>
      <w:pPr>
        <w:spacing w:after="0" w:line="36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23.2</w:t>
      </w:r>
    </w:p>
    <w:p>
      <w:pPr>
        <w:spacing w:after="0" w:line="36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 Current Report on Form 8-K/A filed on July 1, 1996 with the Securities and Exchange Commission, and our report dated November 8,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 Current Report on Form 8-K filed on November 12, 1996 with the Securities and Exchange Commission. We also consent to the reference to our firm under the caption "Experts."</w:t>
      </w:r>
    </w:p>
    <w:p>
      <w:pPr>
        <w:spacing w:after="0" w:line="369"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COOPERS &amp; LYBRAND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23.3</w:t>
      </w:r>
    </w:p>
    <w:p>
      <w:pPr>
        <w:spacing w:after="0" w:line="35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INDEPENDENT AUDITORS' CONSENT</w:t>
      </w:r>
    </w:p>
    <w:p>
      <w:pPr>
        <w:spacing w:after="0" w:line="36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30, 1995 (relating to the consolidated financial statements of Chambers Development Company, Inc. and subsidiaries not presented separately herein) appearing in USA Waste Services, Inc.'s Annual Report on Form 10-K for the year ended December 31, 1995 and USA Waste Services, Inc,'s Current Report on Form 8-K/A, Amendment No. 3, filed on July 1, 1996.</w:t>
      </w:r>
    </w:p>
    <w:p>
      <w:pPr>
        <w:spacing w:after="0" w:line="360"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DELOITTE &amp; TOUCHE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23.4</w:t>
      </w:r>
    </w:p>
    <w:p>
      <w:pPr>
        <w:spacing w:after="0" w:line="35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6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USA Waste Services, Inc. on Form S-3 of (a) our report dated February 23, 1996 (except with respect to the matters discussed in paragraphs one and two of Note 16,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the Current Report on Form 8-K of USA Waste Services, Inc. dated November 12, 1996; (b) our report dated September 13, 1996, with respect to the combined balance sheet of the Combined Companies (consisting of City Disposal, Inc., Alpine Disposal and Recycling, Inc. and L.G. Industries, Inc.) as of December 31, 1995, and the related combined statements of operations, stockholders' equity and partners' capital and cash flows for the year then ended, which is included in the Current Report on Form 8-K/A of USA Waste Services, Inc. filed on November 15, 1996; and (c) to all references to our Firm included in this registration statement.</w:t>
      </w:r>
    </w:p>
    <w:p>
      <w:pPr>
        <w:spacing w:after="0" w:line="36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ARTHUR ANDERSEN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23.5</w:t>
      </w:r>
    </w:p>
    <w:p>
      <w:pPr>
        <w:spacing w:after="0" w:line="200" w:lineRule="exact"/>
        <w:rPr>
          <w:sz w:val="20"/>
          <w:szCs w:val="20"/>
          <w:color w:val="auto"/>
        </w:rPr>
      </w:pPr>
    </w:p>
    <w:p>
      <w:pPr>
        <w:spacing w:after="0" w:line="33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CONSENT TO INDEPENDENT AUDITORS</w:t>
      </w:r>
    </w:p>
    <w:p>
      <w:pPr>
        <w:spacing w:after="0" w:line="36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S-3) and related prospectus of USA Waste Services, Inc. and to the incorporation by reference therein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36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ERNST &amp; YOUNG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 Beach, California</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23.6</w:t>
      </w:r>
    </w:p>
    <w:p>
      <w:pPr>
        <w:spacing w:after="0" w:line="35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October 25, 1996, on our audit of the balance sheet of the business of Les Enterprises de Rebuts Sanipan Inc. acquired by USA Waste Services, Inc. as of December 31, 1995, and the related statements of earnings and retained earnings and changes in financial position for the year then ended, our report dated October 25, 1996, on our audit of the balance sheet of Transport Sanico Ltee as of December 31, 1995, and the related statements of earnings and retained earnings and changes in financial position for the year then ended, our report dated November 8, 1996, on our audit of the historical summary of revenues and direct operating expenses of the Combined Ontario and Michigan Operations of the Solid Waste Division of Philip Environmental Inc. for the year ended December 31, 1995, and our report dated November 8, 1996, on our audit of the historical summary of the net book value of property, plant and equipment of the Combined Ontario and Michigan Operations of the Solid Waste Division of Philip Environmental Inc. for the year ended December 31, 1995, which are included in USA Waste Services, Inc.'s Current Report on Form 8-K/A dated November 15, 1996.</w:t>
      </w:r>
    </w:p>
    <w:p>
      <w:pPr>
        <w:spacing w:after="0" w:line="35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DELOITTE &amp; TOUCHE</w:t>
      </w:r>
    </w:p>
    <w:p>
      <w:pPr>
        <w:ind w:left="3740"/>
        <w:spacing w:after="0"/>
        <w:rPr>
          <w:sz w:val="20"/>
          <w:szCs w:val="20"/>
          <w:color w:val="auto"/>
        </w:rPr>
      </w:pPr>
      <w:r>
        <w:rPr>
          <w:rFonts w:ascii="Courier New" w:cs="Courier New" w:eastAsia="Courier New" w:hAnsi="Courier New"/>
          <w:sz w:val="16"/>
          <w:szCs w:val="16"/>
          <w:color w:val="auto"/>
        </w:rPr>
        <w:t>Chartered Accountants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Mississauga Ontario</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23.7</w:t>
      </w:r>
    </w:p>
    <w:p>
      <w:pPr>
        <w:spacing w:after="0" w:line="35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S-3 of our report dated October 15, 1996, on our audit of the balance sheet of Kasper Brothers, Inc. as of September 30, 1995 and the related statements of operations and retained earnings and cash flows for the fiscal year then ended, which is included in USA Waste Services, Inc.'s Current Report on Form 8-K/A dated November 15, 1996.</w:t>
      </w:r>
    </w:p>
    <w:p>
      <w:pPr>
        <w:spacing w:after="0" w:line="350"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COOPERS &amp; LYBRAND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23.8</w:t>
      </w:r>
    </w:p>
    <w:p>
      <w:pPr>
        <w:spacing w:after="0" w:line="35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11, 1996, on our audit of the combined balance sheet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the year then ended, which is included in USA Waste Services, Inc.'s Current Report on Form 8-K/A dated November 15, 1996.</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KAPLAN SIPOS &amp; ASSOCIATES</w:t>
      </w:r>
    </w:p>
    <w:p>
      <w:pPr>
        <w:ind w:left="3740"/>
        <w:spacing w:after="0"/>
        <w:rPr>
          <w:sz w:val="20"/>
          <w:szCs w:val="20"/>
          <w:color w:val="auto"/>
        </w:rPr>
      </w:pPr>
      <w:r>
        <w:rPr>
          <w:rFonts w:ascii="Courier New" w:cs="Courier New" w:eastAsia="Courier New" w:hAnsi="Courier New"/>
          <w:sz w:val="16"/>
          <w:szCs w:val="16"/>
          <w:color w:val="auto"/>
        </w:rPr>
        <w:t>CERTIFIED PUBLIC ACCOUNTANTS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23.9</w:t>
      </w:r>
    </w:p>
    <w:p>
      <w:pPr>
        <w:spacing w:after="0" w:line="35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March 18, 1996, on our audit of the balance sheet of Jennings Environmental Services, Inc. (an S corporation) as of December 31, 1995 and the related statements of income and changes in stockholders' equity and the statement of cash flows for the year then ended, which is included in USA Waste Services, Inc.'s Current Report on Form 8-K/A dated November 15, 1996.</w:t>
      </w:r>
    </w:p>
    <w:p>
      <w:pPr>
        <w:spacing w:after="0" w:line="36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BLAKE, KUEHLER, BABIONE &amp; POOL</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Orlando, Florida</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23.10</w:t>
      </w:r>
    </w:p>
    <w:p>
      <w:pPr>
        <w:spacing w:after="0" w:line="35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September 19, 1996, on our audits of the combined balance sheet of Grand Central Sanitation, Inc. and Related Companies as of December 31, 1995, and the related combined statements of income, stockholders' equity and cash flows for the year then ended, which is included in USA Waste Services, Inc.'s Current Report on Form 8-K/A dated November 15, 1996.</w:t>
      </w:r>
    </w:p>
    <w:p>
      <w:pPr>
        <w:spacing w:after="0" w:line="36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BUCKNO LISICKY &amp; COMPANY</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Allentown, Pennsylvania</w:t>
      </w:r>
    </w:p>
    <w:p>
      <w:pPr>
        <w:spacing w:after="0"/>
        <w:rPr>
          <w:sz w:val="20"/>
          <w:szCs w:val="20"/>
          <w:color w:val="auto"/>
        </w:rPr>
      </w:pPr>
      <w:r>
        <w:rPr>
          <w:rFonts w:ascii="Courier New" w:cs="Courier New" w:eastAsia="Courier New" w:hAnsi="Courier New"/>
          <w:sz w:val="16"/>
          <w:szCs w:val="16"/>
          <w:color w:val="auto"/>
        </w:rPr>
        <w:t>December 6, 1996</w:t>
      </w:r>
    </w:p>
    <w:p>
      <w:pPr>
        <w:sectPr>
          <w:pgSz w:w="11900" w:h="16838" w:orient="portrait"/>
          <w:cols w:equalWidth="0" w:num="1">
            <w:col w:w="10219"/>
          </w:cols>
          <w:pgMar w:left="240" w:top="137"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23.11</w:t>
      </w:r>
    </w:p>
    <w:p>
      <w:pPr>
        <w:spacing w:after="0" w:line="35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USA Waste Services, Inc. on Form S-3 of our report dated July 13, 1996, on our audit of the combined balance sheet of The Orange Group (consisting of Orange Waste, Recycling &amp; Materials, Inc., Orange Soil Cement, Inc., Orange Trucking, Inc. and Orange Transportation Corp.), as of December 31, 1995, and the related combined statements of operations, retained earnings, and cash flows for the year then ended, which is included in USA Waste Services, Inc.'s Current Report on Form 8-K/A dated November 15, 1996.</w:t>
      </w:r>
    </w:p>
    <w:p>
      <w:pPr>
        <w:spacing w:after="0" w:line="36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OSBURN, HENNING AND COMPANY</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Orlando, Florida</w:t>
      </w:r>
    </w:p>
    <w:p>
      <w:pPr>
        <w:spacing w:after="0"/>
        <w:rPr>
          <w:sz w:val="20"/>
          <w:szCs w:val="20"/>
          <w:color w:val="auto"/>
        </w:rPr>
      </w:pPr>
      <w:r>
        <w:rPr>
          <w:rFonts w:ascii="Courier New" w:cs="Courier New" w:eastAsia="Courier New" w:hAnsi="Courier New"/>
          <w:sz w:val="16"/>
          <w:szCs w:val="16"/>
          <w:color w:val="auto"/>
        </w:rPr>
        <w:t>December 6, 1996</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lowerRoman"/>
      <w:start w:val="3"/>
    </w:lvl>
  </w:abstractNum>
  <w:abstractNum w:abstractNumId="6">
    <w:nsid w:val="257130A3"/>
    <w:multiLevelType w:val="hybridMultilevel"/>
    <w:lvl w:ilvl="0">
      <w:lvlJc w:val="left"/>
      <w:lvlText w:val="%1."/>
      <w:numFmt w:val="decimal"/>
      <w:start w:val="145"/>
    </w:lvl>
  </w:abstractNum>
  <w:abstractNum w:abstractNumId="7">
    <w:nsid w:val="62BBD95A"/>
    <w:multiLevelType w:val="hybridMultilevel"/>
    <w:lvl w:ilvl="0">
      <w:lvlJc w:val="left"/>
      <w:lvlText w:val="%1"/>
      <w:numFmt w:val="lowerLetter"/>
      <w:start w:val="1"/>
    </w:lvl>
    <w:lvl w:ilvl="1">
      <w:lvlJc w:val="left"/>
      <w:lvlText w:val="(%2)"/>
      <w:numFmt w:val="lowerLetter"/>
      <w:start w:val="2"/>
    </w:lvl>
  </w:abstractNum>
  <w:abstractNum w:abstractNumId="8">
    <w:nsid w:val="436C6125"/>
    <w:multiLevelType w:val="hybridMultilevel"/>
    <w:lvl w:ilvl="0">
      <w:lvlJc w:val="left"/>
      <w:lvlText w:val="(%1)"/>
      <w:numFmt w:val="lowerLetter"/>
      <w:start w:val="2"/>
    </w:lvl>
    <w:lvl w:ilvl="1">
      <w:lvlJc w:val="left"/>
      <w:lvlText w:val="(%2)"/>
      <w:numFmt w:val="lowerLetter"/>
      <w:start w:val="5"/>
    </w:lvl>
  </w:abstractNum>
  <w:abstractNum w:abstractNumId="9">
    <w:nsid w:val="628C895D"/>
    <w:multiLevelType w:val="hybridMultilevel"/>
    <w:lvl w:ilvl="0">
      <w:lvlJc w:val="left"/>
      <w:lvlText w:val="(%1)"/>
      <w:numFmt w:val="lowerLetter"/>
      <w:start w:val="6"/>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2D1D5AE9"/>
    <w:multiLevelType w:val="hybridMultilevel"/>
    <w:lvl w:ilvl="0">
      <w:lvlJc w:val="left"/>
      <w:lvlText w:val="%1"/>
      <w:numFmt w:val="lowerLetter"/>
      <w:start w:val="1"/>
    </w:lvl>
    <w:lvl w:ilvl="1">
      <w:lvlJc w:val="left"/>
      <w:lvlText w:val="(%2)"/>
      <w:numFmt w:val="decimal"/>
      <w:start w:val="2"/>
    </w:lvl>
  </w:abstractNum>
  <w:abstractNum w:abstractNumId="14">
    <w:nsid w:val="6763845E"/>
    <w:multiLevelType w:val="hybridMultilevel"/>
    <w:lvl w:ilvl="0">
      <w:lvlJc w:val="left"/>
      <w:lvlText w:val="(%1)"/>
      <w:numFmt w:val="lowerLetter"/>
      <w:start w:val="2"/>
    </w:lvl>
    <w:lvl w:ilvl="1">
      <w:lvlJc w:val="left"/>
      <w:lvlText w:val="%2"/>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Roman"/>
      <w:start w:val="1"/>
    </w:lvl>
  </w:abstractNum>
  <w:abstractNum w:abstractNumId="31">
    <w:nsid w:val="6CEAF08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2019-12-20T04:07:16Z</dcterms:created>
  <dcterms:modified xsi:type="dcterms:W3CDTF">2019-12-20T04:07:16Z</dcterms:modified>
</cp:coreProperties>
</file>