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16"/>
        </w:trPr>
        <w:tc>
          <w:tcPr>
            <w:tcW w:w="33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6120" w:type="dxa"/>
            <w:vAlign w:val="bottom"/>
          </w:tcPr>
          <w:p>
            <w:pPr>
              <w:jc w:val="right"/>
              <w:spacing w:after="0"/>
              <w:rPr>
                <w:sz w:val="20"/>
                <w:szCs w:val="20"/>
                <w:color w:val="auto"/>
              </w:rPr>
            </w:pPr>
            <w:r>
              <w:rPr>
                <w:rFonts w:ascii="Arial" w:cs="Arial" w:eastAsia="Arial" w:hAnsi="Arial"/>
                <w:sz w:val="18"/>
                <w:szCs w:val="18"/>
                <w:color w:val="auto"/>
              </w:rPr>
              <w:t>Filed Pursuant to Rule 433</w:t>
            </w:r>
          </w:p>
        </w:tc>
      </w:tr>
      <w:tr>
        <w:trPr>
          <w:trHeight w:val="216"/>
        </w:trPr>
        <w:tc>
          <w:tcPr>
            <w:tcW w:w="33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6120" w:type="dxa"/>
            <w:vAlign w:val="bottom"/>
          </w:tcPr>
          <w:p>
            <w:pPr>
              <w:jc w:val="right"/>
              <w:spacing w:after="0"/>
              <w:rPr>
                <w:sz w:val="20"/>
                <w:szCs w:val="20"/>
                <w:color w:val="auto"/>
              </w:rPr>
            </w:pPr>
            <w:r>
              <w:rPr>
                <w:rFonts w:ascii="Arial" w:cs="Arial" w:eastAsia="Arial" w:hAnsi="Arial"/>
                <w:sz w:val="18"/>
                <w:szCs w:val="18"/>
                <w:color w:val="auto"/>
              </w:rPr>
              <w:t>Issuer Free Writing Prospectus dated April 28, 2021 relating to the</w:t>
            </w:r>
          </w:p>
        </w:tc>
      </w:tr>
      <w:tr>
        <w:trPr>
          <w:trHeight w:val="216"/>
        </w:trPr>
        <w:tc>
          <w:tcPr>
            <w:tcW w:w="33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6120" w:type="dxa"/>
            <w:vAlign w:val="bottom"/>
          </w:tcPr>
          <w:p>
            <w:pPr>
              <w:jc w:val="right"/>
              <w:spacing w:after="0"/>
              <w:rPr>
                <w:sz w:val="20"/>
                <w:szCs w:val="20"/>
                <w:color w:val="auto"/>
              </w:rPr>
            </w:pPr>
            <w:r>
              <w:rPr>
                <w:rFonts w:ascii="Arial" w:cs="Arial" w:eastAsia="Arial" w:hAnsi="Arial"/>
                <w:sz w:val="18"/>
                <w:szCs w:val="18"/>
                <w:color w:val="auto"/>
              </w:rPr>
              <w:t>Preliminary Prospectus Supplement dated April 28, 2021</w:t>
            </w:r>
          </w:p>
        </w:tc>
      </w:tr>
      <w:tr>
        <w:trPr>
          <w:trHeight w:val="216"/>
        </w:trPr>
        <w:tc>
          <w:tcPr>
            <w:tcW w:w="33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6120" w:type="dxa"/>
            <w:vAlign w:val="bottom"/>
          </w:tcPr>
          <w:p>
            <w:pPr>
              <w:jc w:val="right"/>
              <w:spacing w:after="0"/>
              <w:rPr>
                <w:sz w:val="20"/>
                <w:szCs w:val="20"/>
                <w:color w:val="auto"/>
              </w:rPr>
            </w:pPr>
            <w:r>
              <w:rPr>
                <w:rFonts w:ascii="Arial" w:cs="Arial" w:eastAsia="Arial" w:hAnsi="Arial"/>
                <w:sz w:val="18"/>
                <w:szCs w:val="18"/>
                <w:color w:val="auto"/>
              </w:rPr>
              <w:t>to Prospectus dated April 25, 2019</w:t>
            </w:r>
          </w:p>
        </w:tc>
      </w:tr>
      <w:tr>
        <w:trPr>
          <w:trHeight w:val="230"/>
        </w:trPr>
        <w:tc>
          <w:tcPr>
            <w:tcW w:w="33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6120" w:type="dxa"/>
            <w:vAlign w:val="bottom"/>
          </w:tcPr>
          <w:p>
            <w:pPr>
              <w:jc w:val="right"/>
              <w:spacing w:after="0"/>
              <w:rPr>
                <w:sz w:val="20"/>
                <w:szCs w:val="20"/>
                <w:color w:val="auto"/>
              </w:rPr>
            </w:pPr>
            <w:r>
              <w:rPr>
                <w:rFonts w:ascii="Arial" w:cs="Arial" w:eastAsia="Arial" w:hAnsi="Arial"/>
                <w:sz w:val="18"/>
                <w:szCs w:val="18"/>
                <w:color w:val="auto"/>
              </w:rPr>
              <w:t>Registration Statement No. 333-231027</w:t>
            </w:r>
          </w:p>
        </w:tc>
      </w:tr>
      <w:tr>
        <w:trPr>
          <w:trHeight w:val="432"/>
        </w:trPr>
        <w:tc>
          <w:tcPr>
            <w:tcW w:w="3360" w:type="dxa"/>
            <w:vAlign w:val="bottom"/>
          </w:tcPr>
          <w:p>
            <w:pPr>
              <w:spacing w:after="0"/>
              <w:rPr>
                <w:sz w:val="24"/>
                <w:szCs w:val="24"/>
                <w:color w:val="auto"/>
              </w:rPr>
            </w:pPr>
          </w:p>
        </w:tc>
        <w:tc>
          <w:tcPr>
            <w:tcW w:w="7880" w:type="dxa"/>
            <w:vAlign w:val="bottom"/>
            <w:gridSpan w:val="2"/>
          </w:tcPr>
          <w:p>
            <w:pPr>
              <w:ind w:left="1520"/>
              <w:spacing w:after="0"/>
              <w:rPr>
                <w:sz w:val="20"/>
                <w:szCs w:val="20"/>
                <w:color w:val="auto"/>
              </w:rPr>
            </w:pPr>
            <w:r>
              <w:rPr>
                <w:rFonts w:ascii="Arial" w:cs="Arial" w:eastAsia="Arial" w:hAnsi="Arial"/>
                <w:sz w:val="18"/>
                <w:szCs w:val="18"/>
                <w:b w:val="1"/>
                <w:bCs w:val="1"/>
                <w:color w:val="auto"/>
              </w:rPr>
              <w:t>Pricing Term Sheet</w:t>
            </w:r>
          </w:p>
        </w:tc>
      </w:tr>
      <w:tr>
        <w:trPr>
          <w:trHeight w:val="414"/>
        </w:trPr>
        <w:tc>
          <w:tcPr>
            <w:tcW w:w="3360" w:type="dxa"/>
            <w:vAlign w:val="bottom"/>
          </w:tcPr>
          <w:p>
            <w:pPr>
              <w:spacing w:after="0"/>
              <w:rPr>
                <w:sz w:val="24"/>
                <w:szCs w:val="24"/>
                <w:color w:val="auto"/>
              </w:rPr>
            </w:pPr>
          </w:p>
        </w:tc>
        <w:tc>
          <w:tcPr>
            <w:tcW w:w="7880" w:type="dxa"/>
            <w:vAlign w:val="bottom"/>
            <w:gridSpan w:val="2"/>
          </w:tcPr>
          <w:p>
            <w:pPr>
              <w:ind w:left="620"/>
              <w:spacing w:after="0"/>
              <w:rPr>
                <w:sz w:val="20"/>
                <w:szCs w:val="20"/>
                <w:color w:val="auto"/>
              </w:rPr>
            </w:pPr>
            <w:r>
              <w:rPr>
                <w:rFonts w:ascii="Arial" w:cs="Arial" w:eastAsia="Arial" w:hAnsi="Arial"/>
                <w:sz w:val="18"/>
                <w:szCs w:val="18"/>
                <w:b w:val="1"/>
                <w:bCs w:val="1"/>
                <w:color w:val="auto"/>
              </w:rPr>
              <w:t>$475,000,000 2.00% Senior Notes due 2029</w:t>
            </w:r>
          </w:p>
        </w:tc>
      </w:tr>
      <w:tr>
        <w:trPr>
          <w:trHeight w:val="234"/>
        </w:trPr>
        <w:tc>
          <w:tcPr>
            <w:tcW w:w="3360" w:type="dxa"/>
            <w:vAlign w:val="bottom"/>
          </w:tcPr>
          <w:p>
            <w:pPr>
              <w:spacing w:after="0"/>
              <w:rPr>
                <w:sz w:val="20"/>
                <w:szCs w:val="20"/>
                <w:color w:val="auto"/>
              </w:rPr>
            </w:pPr>
          </w:p>
        </w:tc>
        <w:tc>
          <w:tcPr>
            <w:tcW w:w="7880" w:type="dxa"/>
            <w:vAlign w:val="bottom"/>
            <w:gridSpan w:val="2"/>
          </w:tcPr>
          <w:p>
            <w:pPr>
              <w:ind w:left="620"/>
              <w:spacing w:after="0"/>
              <w:rPr>
                <w:sz w:val="20"/>
                <w:szCs w:val="20"/>
                <w:color w:val="auto"/>
              </w:rPr>
            </w:pPr>
            <w:r>
              <w:rPr>
                <w:rFonts w:ascii="Arial" w:cs="Arial" w:eastAsia="Arial" w:hAnsi="Arial"/>
                <w:sz w:val="18"/>
                <w:szCs w:val="18"/>
                <w:b w:val="1"/>
                <w:bCs w:val="1"/>
                <w:color w:val="auto"/>
              </w:rPr>
              <w:t>$475,000,000 2.95% Senior Notes due 2041</w:t>
            </w:r>
          </w:p>
        </w:tc>
      </w:tr>
      <w:tr>
        <w:trPr>
          <w:trHeight w:val="432"/>
        </w:trPr>
        <w:tc>
          <w:tcPr>
            <w:tcW w:w="3360" w:type="dxa"/>
            <w:vAlign w:val="bottom"/>
          </w:tcPr>
          <w:p>
            <w:pPr>
              <w:spacing w:after="0"/>
              <w:rPr>
                <w:sz w:val="20"/>
                <w:szCs w:val="20"/>
                <w:color w:val="auto"/>
              </w:rPr>
            </w:pPr>
            <w:r>
              <w:rPr>
                <w:rFonts w:ascii="Arial" w:cs="Arial" w:eastAsia="Arial" w:hAnsi="Arial"/>
                <w:sz w:val="18"/>
                <w:szCs w:val="18"/>
                <w:color w:val="auto"/>
              </w:rPr>
              <w:t>Issuer:</w:t>
            </w:r>
          </w:p>
        </w:tc>
        <w:tc>
          <w:tcPr>
            <w:tcW w:w="7880" w:type="dxa"/>
            <w:vAlign w:val="bottom"/>
            <w:gridSpan w:val="2"/>
          </w:tcPr>
          <w:p>
            <w:pPr>
              <w:ind w:left="1380"/>
              <w:spacing w:after="0"/>
              <w:rPr>
                <w:sz w:val="20"/>
                <w:szCs w:val="20"/>
                <w:color w:val="auto"/>
              </w:rPr>
            </w:pPr>
            <w:r>
              <w:rPr>
                <w:rFonts w:ascii="Arial" w:cs="Arial" w:eastAsia="Arial" w:hAnsi="Arial"/>
                <w:sz w:val="18"/>
                <w:szCs w:val="18"/>
                <w:color w:val="auto"/>
              </w:rPr>
              <w:t>Waste Management, Inc.</w:t>
            </w:r>
          </w:p>
        </w:tc>
      </w:tr>
      <w:tr>
        <w:trPr>
          <w:trHeight w:val="432"/>
        </w:trPr>
        <w:tc>
          <w:tcPr>
            <w:tcW w:w="3360" w:type="dxa"/>
            <w:vAlign w:val="bottom"/>
          </w:tcPr>
          <w:p>
            <w:pPr>
              <w:spacing w:after="0"/>
              <w:rPr>
                <w:sz w:val="20"/>
                <w:szCs w:val="20"/>
                <w:color w:val="auto"/>
              </w:rPr>
            </w:pPr>
            <w:r>
              <w:rPr>
                <w:rFonts w:ascii="Arial" w:cs="Arial" w:eastAsia="Arial" w:hAnsi="Arial"/>
                <w:sz w:val="18"/>
                <w:szCs w:val="18"/>
                <w:color w:val="auto"/>
              </w:rPr>
              <w:t>Guarantor:</w:t>
            </w:r>
          </w:p>
        </w:tc>
        <w:tc>
          <w:tcPr>
            <w:tcW w:w="7880" w:type="dxa"/>
            <w:vAlign w:val="bottom"/>
            <w:gridSpan w:val="2"/>
          </w:tcPr>
          <w:p>
            <w:pPr>
              <w:ind w:left="1380"/>
              <w:spacing w:after="0"/>
              <w:rPr>
                <w:sz w:val="20"/>
                <w:szCs w:val="20"/>
                <w:color w:val="auto"/>
              </w:rPr>
            </w:pPr>
            <w:r>
              <w:rPr>
                <w:rFonts w:ascii="Arial" w:cs="Arial" w:eastAsia="Arial" w:hAnsi="Arial"/>
                <w:sz w:val="18"/>
                <w:szCs w:val="18"/>
                <w:color w:val="auto"/>
              </w:rPr>
              <w:t>Waste Management Holdings, Inc.</w:t>
            </w:r>
          </w:p>
        </w:tc>
      </w:tr>
      <w:tr>
        <w:trPr>
          <w:trHeight w:val="418"/>
        </w:trPr>
        <w:tc>
          <w:tcPr>
            <w:tcW w:w="3360" w:type="dxa"/>
            <w:vAlign w:val="bottom"/>
          </w:tcPr>
          <w:p>
            <w:pPr>
              <w:spacing w:after="0"/>
              <w:rPr>
                <w:sz w:val="20"/>
                <w:szCs w:val="20"/>
                <w:color w:val="auto"/>
              </w:rPr>
            </w:pPr>
            <w:r>
              <w:rPr>
                <w:rFonts w:ascii="Arial" w:cs="Arial" w:eastAsia="Arial" w:hAnsi="Arial"/>
                <w:sz w:val="18"/>
                <w:szCs w:val="18"/>
                <w:color w:val="auto"/>
              </w:rPr>
              <w:t>Ratings:*</w:t>
            </w:r>
          </w:p>
        </w:tc>
        <w:tc>
          <w:tcPr>
            <w:tcW w:w="7880" w:type="dxa"/>
            <w:vAlign w:val="bottom"/>
            <w:gridSpan w:val="2"/>
          </w:tcPr>
          <w:p>
            <w:pPr>
              <w:ind w:left="1380"/>
              <w:spacing w:after="0"/>
              <w:rPr>
                <w:sz w:val="20"/>
                <w:szCs w:val="20"/>
                <w:color w:val="auto"/>
              </w:rPr>
            </w:pPr>
            <w:r>
              <w:rPr>
                <w:rFonts w:ascii="Arial" w:cs="Arial" w:eastAsia="Arial" w:hAnsi="Arial"/>
                <w:sz w:val="18"/>
                <w:szCs w:val="18"/>
                <w:color w:val="auto"/>
              </w:rPr>
              <w:t>Moody’s: Baa1</w:t>
            </w:r>
          </w:p>
        </w:tc>
      </w:tr>
      <w:tr>
        <w:trPr>
          <w:trHeight w:val="216"/>
        </w:trPr>
        <w:tc>
          <w:tcPr>
            <w:tcW w:w="3360" w:type="dxa"/>
            <w:vAlign w:val="bottom"/>
          </w:tcPr>
          <w:p>
            <w:pPr>
              <w:spacing w:after="0"/>
              <w:rPr>
                <w:sz w:val="18"/>
                <w:szCs w:val="18"/>
                <w:color w:val="auto"/>
              </w:rPr>
            </w:pPr>
          </w:p>
        </w:tc>
        <w:tc>
          <w:tcPr>
            <w:tcW w:w="7880" w:type="dxa"/>
            <w:vAlign w:val="bottom"/>
            <w:gridSpan w:val="2"/>
          </w:tcPr>
          <w:p>
            <w:pPr>
              <w:ind w:left="1380"/>
              <w:spacing w:after="0"/>
              <w:rPr>
                <w:sz w:val="20"/>
                <w:szCs w:val="20"/>
                <w:color w:val="auto"/>
              </w:rPr>
            </w:pPr>
            <w:r>
              <w:rPr>
                <w:rFonts w:ascii="Arial" w:cs="Arial" w:eastAsia="Arial" w:hAnsi="Arial"/>
                <w:sz w:val="18"/>
                <w:szCs w:val="18"/>
                <w:color w:val="auto"/>
              </w:rPr>
              <w:t>S&amp;P: A-</w:t>
            </w:r>
          </w:p>
        </w:tc>
      </w:tr>
      <w:tr>
        <w:trPr>
          <w:trHeight w:val="230"/>
        </w:trPr>
        <w:tc>
          <w:tcPr>
            <w:tcW w:w="3360" w:type="dxa"/>
            <w:vAlign w:val="bottom"/>
          </w:tcPr>
          <w:p>
            <w:pPr>
              <w:spacing w:after="0"/>
              <w:rPr>
                <w:sz w:val="20"/>
                <w:szCs w:val="20"/>
                <w:color w:val="auto"/>
              </w:rPr>
            </w:pPr>
          </w:p>
        </w:tc>
        <w:tc>
          <w:tcPr>
            <w:tcW w:w="7880" w:type="dxa"/>
            <w:vAlign w:val="bottom"/>
            <w:gridSpan w:val="2"/>
          </w:tcPr>
          <w:p>
            <w:pPr>
              <w:ind w:left="1380"/>
              <w:spacing w:after="0"/>
              <w:rPr>
                <w:sz w:val="20"/>
                <w:szCs w:val="20"/>
                <w:color w:val="auto"/>
              </w:rPr>
            </w:pPr>
            <w:r>
              <w:rPr>
                <w:rFonts w:ascii="Arial" w:cs="Arial" w:eastAsia="Arial" w:hAnsi="Arial"/>
                <w:sz w:val="18"/>
                <w:szCs w:val="18"/>
                <w:color w:val="auto"/>
              </w:rPr>
              <w:t>Fitch: BBB+</w:t>
            </w:r>
          </w:p>
        </w:tc>
      </w:tr>
      <w:tr>
        <w:trPr>
          <w:trHeight w:val="432"/>
        </w:trPr>
        <w:tc>
          <w:tcPr>
            <w:tcW w:w="3360" w:type="dxa"/>
            <w:vAlign w:val="bottom"/>
          </w:tcPr>
          <w:p>
            <w:pPr>
              <w:spacing w:after="0"/>
              <w:rPr>
                <w:sz w:val="20"/>
                <w:szCs w:val="20"/>
                <w:color w:val="auto"/>
              </w:rPr>
            </w:pPr>
            <w:r>
              <w:rPr>
                <w:rFonts w:ascii="Arial" w:cs="Arial" w:eastAsia="Arial" w:hAnsi="Arial"/>
                <w:sz w:val="18"/>
                <w:szCs w:val="18"/>
                <w:color w:val="auto"/>
              </w:rPr>
              <w:t>Trade Date:</w:t>
            </w:r>
          </w:p>
        </w:tc>
        <w:tc>
          <w:tcPr>
            <w:tcW w:w="7880" w:type="dxa"/>
            <w:vAlign w:val="bottom"/>
            <w:gridSpan w:val="2"/>
          </w:tcPr>
          <w:p>
            <w:pPr>
              <w:ind w:left="1380"/>
              <w:spacing w:after="0"/>
              <w:rPr>
                <w:sz w:val="20"/>
                <w:szCs w:val="20"/>
                <w:color w:val="auto"/>
              </w:rPr>
            </w:pPr>
            <w:r>
              <w:rPr>
                <w:rFonts w:ascii="Arial" w:cs="Arial" w:eastAsia="Arial" w:hAnsi="Arial"/>
                <w:sz w:val="18"/>
                <w:szCs w:val="18"/>
                <w:color w:val="auto"/>
              </w:rPr>
              <w:t>April 28, 2021</w:t>
            </w:r>
          </w:p>
        </w:tc>
      </w:tr>
      <w:tr>
        <w:trPr>
          <w:trHeight w:val="432"/>
        </w:trPr>
        <w:tc>
          <w:tcPr>
            <w:tcW w:w="3360" w:type="dxa"/>
            <w:vAlign w:val="bottom"/>
          </w:tcPr>
          <w:p>
            <w:pPr>
              <w:spacing w:after="0"/>
              <w:rPr>
                <w:sz w:val="20"/>
                <w:szCs w:val="20"/>
                <w:color w:val="auto"/>
              </w:rPr>
            </w:pPr>
            <w:r>
              <w:rPr>
                <w:rFonts w:ascii="Arial" w:cs="Arial" w:eastAsia="Arial" w:hAnsi="Arial"/>
                <w:sz w:val="18"/>
                <w:szCs w:val="18"/>
                <w:color w:val="auto"/>
              </w:rPr>
              <w:t>Settlement Date:**</w:t>
            </w:r>
          </w:p>
        </w:tc>
        <w:tc>
          <w:tcPr>
            <w:tcW w:w="7880" w:type="dxa"/>
            <w:vAlign w:val="bottom"/>
            <w:gridSpan w:val="2"/>
          </w:tcPr>
          <w:p>
            <w:pPr>
              <w:ind w:left="1380"/>
              <w:spacing w:after="0"/>
              <w:rPr>
                <w:sz w:val="20"/>
                <w:szCs w:val="20"/>
                <w:color w:val="auto"/>
              </w:rPr>
            </w:pPr>
            <w:r>
              <w:rPr>
                <w:rFonts w:ascii="Arial" w:cs="Arial" w:eastAsia="Arial" w:hAnsi="Arial"/>
                <w:sz w:val="18"/>
                <w:szCs w:val="18"/>
                <w:color w:val="auto"/>
              </w:rPr>
              <w:t>T+10; May 12, 2021</w:t>
            </w:r>
          </w:p>
        </w:tc>
      </w:tr>
      <w:tr>
        <w:trPr>
          <w:trHeight w:val="418"/>
        </w:trPr>
        <w:tc>
          <w:tcPr>
            <w:tcW w:w="3360" w:type="dxa"/>
            <w:vAlign w:val="bottom"/>
          </w:tcPr>
          <w:p>
            <w:pPr>
              <w:spacing w:after="0"/>
              <w:rPr>
                <w:sz w:val="20"/>
                <w:szCs w:val="20"/>
                <w:color w:val="auto"/>
              </w:rPr>
            </w:pPr>
            <w:r>
              <w:rPr>
                <w:rFonts w:ascii="Arial" w:cs="Arial" w:eastAsia="Arial" w:hAnsi="Arial"/>
                <w:sz w:val="18"/>
                <w:szCs w:val="18"/>
                <w:color w:val="auto"/>
              </w:rPr>
              <w:t>Principal Amount:</w:t>
            </w:r>
          </w:p>
        </w:tc>
        <w:tc>
          <w:tcPr>
            <w:tcW w:w="1760" w:type="dxa"/>
            <w:vAlign w:val="bottom"/>
          </w:tcPr>
          <w:p>
            <w:pPr>
              <w:ind w:left="1380"/>
              <w:spacing w:after="0"/>
              <w:rPr>
                <w:sz w:val="20"/>
                <w:szCs w:val="20"/>
                <w:color w:val="auto"/>
              </w:rPr>
            </w:pPr>
            <w:r>
              <w:rPr>
                <w:rFonts w:ascii="Arial" w:cs="Arial" w:eastAsia="Arial" w:hAnsi="Arial"/>
                <w:sz w:val="18"/>
                <w:szCs w:val="18"/>
                <w:color w:val="auto"/>
                <w:w w:val="89"/>
              </w:rPr>
              <w:t>2029</w:t>
            </w:r>
          </w:p>
        </w:tc>
        <w:tc>
          <w:tcPr>
            <w:tcW w:w="6120" w:type="dxa"/>
            <w:vAlign w:val="bottom"/>
          </w:tcPr>
          <w:p>
            <w:pPr>
              <w:ind w:left="20"/>
              <w:spacing w:after="0"/>
              <w:rPr>
                <w:sz w:val="20"/>
                <w:szCs w:val="20"/>
                <w:color w:val="auto"/>
              </w:rPr>
            </w:pPr>
            <w:r>
              <w:rPr>
                <w:rFonts w:ascii="Arial" w:cs="Arial" w:eastAsia="Arial" w:hAnsi="Arial"/>
                <w:sz w:val="18"/>
                <w:szCs w:val="18"/>
                <w:color w:val="auto"/>
              </w:rPr>
              <w:t>Notes: $475,000,000</w:t>
            </w:r>
          </w:p>
        </w:tc>
      </w:tr>
      <w:tr>
        <w:trPr>
          <w:trHeight w:val="230"/>
        </w:trPr>
        <w:tc>
          <w:tcPr>
            <w:tcW w:w="3360" w:type="dxa"/>
            <w:vAlign w:val="bottom"/>
          </w:tcPr>
          <w:p>
            <w:pPr>
              <w:spacing w:after="0"/>
              <w:rPr>
                <w:sz w:val="20"/>
                <w:szCs w:val="20"/>
                <w:color w:val="auto"/>
              </w:rPr>
            </w:pPr>
          </w:p>
        </w:tc>
        <w:tc>
          <w:tcPr>
            <w:tcW w:w="1760" w:type="dxa"/>
            <w:vAlign w:val="bottom"/>
          </w:tcPr>
          <w:p>
            <w:pPr>
              <w:ind w:left="1380"/>
              <w:spacing w:after="0"/>
              <w:rPr>
                <w:sz w:val="20"/>
                <w:szCs w:val="20"/>
                <w:color w:val="auto"/>
              </w:rPr>
            </w:pPr>
            <w:r>
              <w:rPr>
                <w:rFonts w:ascii="Arial" w:cs="Arial" w:eastAsia="Arial" w:hAnsi="Arial"/>
                <w:sz w:val="18"/>
                <w:szCs w:val="18"/>
                <w:color w:val="auto"/>
                <w:w w:val="89"/>
              </w:rPr>
              <w:t>2041</w:t>
            </w:r>
          </w:p>
        </w:tc>
        <w:tc>
          <w:tcPr>
            <w:tcW w:w="6120" w:type="dxa"/>
            <w:vAlign w:val="bottom"/>
          </w:tcPr>
          <w:p>
            <w:pPr>
              <w:ind w:left="20"/>
              <w:spacing w:after="0"/>
              <w:rPr>
                <w:sz w:val="20"/>
                <w:szCs w:val="20"/>
                <w:color w:val="auto"/>
              </w:rPr>
            </w:pPr>
            <w:r>
              <w:rPr>
                <w:rFonts w:ascii="Arial" w:cs="Arial" w:eastAsia="Arial" w:hAnsi="Arial"/>
                <w:sz w:val="18"/>
                <w:szCs w:val="18"/>
                <w:color w:val="auto"/>
              </w:rPr>
              <w:t>Notes: $475,000,000</w:t>
            </w:r>
          </w:p>
        </w:tc>
      </w:tr>
      <w:tr>
        <w:trPr>
          <w:trHeight w:val="418"/>
        </w:trPr>
        <w:tc>
          <w:tcPr>
            <w:tcW w:w="3360" w:type="dxa"/>
            <w:vAlign w:val="bottom"/>
          </w:tcPr>
          <w:p>
            <w:pPr>
              <w:spacing w:after="0"/>
              <w:rPr>
                <w:sz w:val="20"/>
                <w:szCs w:val="20"/>
                <w:color w:val="auto"/>
              </w:rPr>
            </w:pPr>
            <w:r>
              <w:rPr>
                <w:rFonts w:ascii="Arial" w:cs="Arial" w:eastAsia="Arial" w:hAnsi="Arial"/>
                <w:sz w:val="18"/>
                <w:szCs w:val="18"/>
                <w:color w:val="auto"/>
              </w:rPr>
              <w:t>Maturity Date:</w:t>
            </w:r>
          </w:p>
        </w:tc>
        <w:tc>
          <w:tcPr>
            <w:tcW w:w="1760" w:type="dxa"/>
            <w:vAlign w:val="bottom"/>
          </w:tcPr>
          <w:p>
            <w:pPr>
              <w:ind w:left="1380"/>
              <w:spacing w:after="0"/>
              <w:rPr>
                <w:sz w:val="20"/>
                <w:szCs w:val="20"/>
                <w:color w:val="auto"/>
              </w:rPr>
            </w:pPr>
            <w:r>
              <w:rPr>
                <w:rFonts w:ascii="Arial" w:cs="Arial" w:eastAsia="Arial" w:hAnsi="Arial"/>
                <w:sz w:val="18"/>
                <w:szCs w:val="18"/>
                <w:color w:val="auto"/>
                <w:w w:val="89"/>
              </w:rPr>
              <w:t>2029</w:t>
            </w:r>
          </w:p>
        </w:tc>
        <w:tc>
          <w:tcPr>
            <w:tcW w:w="6120" w:type="dxa"/>
            <w:vAlign w:val="bottom"/>
          </w:tcPr>
          <w:p>
            <w:pPr>
              <w:ind w:left="20"/>
              <w:spacing w:after="0"/>
              <w:rPr>
                <w:sz w:val="20"/>
                <w:szCs w:val="20"/>
                <w:color w:val="auto"/>
              </w:rPr>
            </w:pPr>
            <w:r>
              <w:rPr>
                <w:rFonts w:ascii="Arial" w:cs="Arial" w:eastAsia="Arial" w:hAnsi="Arial"/>
                <w:sz w:val="18"/>
                <w:szCs w:val="18"/>
                <w:color w:val="auto"/>
              </w:rPr>
              <w:t>Notes: June 1, 2029</w:t>
            </w:r>
          </w:p>
        </w:tc>
      </w:tr>
      <w:tr>
        <w:trPr>
          <w:trHeight w:val="230"/>
        </w:trPr>
        <w:tc>
          <w:tcPr>
            <w:tcW w:w="3360" w:type="dxa"/>
            <w:vAlign w:val="bottom"/>
          </w:tcPr>
          <w:p>
            <w:pPr>
              <w:spacing w:after="0"/>
              <w:rPr>
                <w:sz w:val="20"/>
                <w:szCs w:val="20"/>
                <w:color w:val="auto"/>
              </w:rPr>
            </w:pPr>
          </w:p>
        </w:tc>
        <w:tc>
          <w:tcPr>
            <w:tcW w:w="1760" w:type="dxa"/>
            <w:vAlign w:val="bottom"/>
          </w:tcPr>
          <w:p>
            <w:pPr>
              <w:ind w:left="1380"/>
              <w:spacing w:after="0"/>
              <w:rPr>
                <w:sz w:val="20"/>
                <w:szCs w:val="20"/>
                <w:color w:val="auto"/>
              </w:rPr>
            </w:pPr>
            <w:r>
              <w:rPr>
                <w:rFonts w:ascii="Arial" w:cs="Arial" w:eastAsia="Arial" w:hAnsi="Arial"/>
                <w:sz w:val="18"/>
                <w:szCs w:val="18"/>
                <w:color w:val="auto"/>
                <w:w w:val="89"/>
              </w:rPr>
              <w:t>2041</w:t>
            </w:r>
          </w:p>
        </w:tc>
        <w:tc>
          <w:tcPr>
            <w:tcW w:w="6120" w:type="dxa"/>
            <w:vAlign w:val="bottom"/>
          </w:tcPr>
          <w:p>
            <w:pPr>
              <w:ind w:left="20"/>
              <w:spacing w:after="0"/>
              <w:rPr>
                <w:sz w:val="20"/>
                <w:szCs w:val="20"/>
                <w:color w:val="auto"/>
              </w:rPr>
            </w:pPr>
            <w:r>
              <w:rPr>
                <w:rFonts w:ascii="Arial" w:cs="Arial" w:eastAsia="Arial" w:hAnsi="Arial"/>
                <w:sz w:val="18"/>
                <w:szCs w:val="18"/>
                <w:color w:val="auto"/>
              </w:rPr>
              <w:t>Notes: June 1, 2041</w:t>
            </w:r>
          </w:p>
        </w:tc>
      </w:tr>
      <w:tr>
        <w:trPr>
          <w:trHeight w:val="418"/>
        </w:trPr>
        <w:tc>
          <w:tcPr>
            <w:tcW w:w="3360" w:type="dxa"/>
            <w:vAlign w:val="bottom"/>
          </w:tcPr>
          <w:p>
            <w:pPr>
              <w:spacing w:after="0"/>
              <w:rPr>
                <w:sz w:val="20"/>
                <w:szCs w:val="20"/>
                <w:color w:val="auto"/>
              </w:rPr>
            </w:pPr>
            <w:r>
              <w:rPr>
                <w:rFonts w:ascii="Arial" w:cs="Arial" w:eastAsia="Arial" w:hAnsi="Arial"/>
                <w:sz w:val="18"/>
                <w:szCs w:val="18"/>
                <w:color w:val="auto"/>
              </w:rPr>
              <w:t>Coupon:</w:t>
            </w:r>
          </w:p>
        </w:tc>
        <w:tc>
          <w:tcPr>
            <w:tcW w:w="1760" w:type="dxa"/>
            <w:vAlign w:val="bottom"/>
          </w:tcPr>
          <w:p>
            <w:pPr>
              <w:ind w:left="1380"/>
              <w:spacing w:after="0"/>
              <w:rPr>
                <w:sz w:val="20"/>
                <w:szCs w:val="20"/>
                <w:color w:val="auto"/>
              </w:rPr>
            </w:pPr>
            <w:r>
              <w:rPr>
                <w:rFonts w:ascii="Arial" w:cs="Arial" w:eastAsia="Arial" w:hAnsi="Arial"/>
                <w:sz w:val="18"/>
                <w:szCs w:val="18"/>
                <w:color w:val="auto"/>
                <w:w w:val="89"/>
              </w:rPr>
              <w:t>2029</w:t>
            </w:r>
          </w:p>
        </w:tc>
        <w:tc>
          <w:tcPr>
            <w:tcW w:w="6120" w:type="dxa"/>
            <w:vAlign w:val="bottom"/>
          </w:tcPr>
          <w:p>
            <w:pPr>
              <w:ind w:left="20"/>
              <w:spacing w:after="0"/>
              <w:rPr>
                <w:sz w:val="20"/>
                <w:szCs w:val="20"/>
                <w:color w:val="auto"/>
              </w:rPr>
            </w:pPr>
            <w:r>
              <w:rPr>
                <w:rFonts w:ascii="Arial" w:cs="Arial" w:eastAsia="Arial" w:hAnsi="Arial"/>
                <w:sz w:val="18"/>
                <w:szCs w:val="18"/>
                <w:color w:val="auto"/>
              </w:rPr>
              <w:t>Notes: 2.00%</w:t>
            </w:r>
          </w:p>
        </w:tc>
      </w:tr>
      <w:tr>
        <w:trPr>
          <w:trHeight w:val="230"/>
        </w:trPr>
        <w:tc>
          <w:tcPr>
            <w:tcW w:w="3360" w:type="dxa"/>
            <w:vAlign w:val="bottom"/>
          </w:tcPr>
          <w:p>
            <w:pPr>
              <w:spacing w:after="0"/>
              <w:rPr>
                <w:sz w:val="20"/>
                <w:szCs w:val="20"/>
                <w:color w:val="auto"/>
              </w:rPr>
            </w:pPr>
          </w:p>
        </w:tc>
        <w:tc>
          <w:tcPr>
            <w:tcW w:w="1760" w:type="dxa"/>
            <w:vAlign w:val="bottom"/>
          </w:tcPr>
          <w:p>
            <w:pPr>
              <w:ind w:left="1380"/>
              <w:spacing w:after="0"/>
              <w:rPr>
                <w:sz w:val="20"/>
                <w:szCs w:val="20"/>
                <w:color w:val="auto"/>
              </w:rPr>
            </w:pPr>
            <w:r>
              <w:rPr>
                <w:rFonts w:ascii="Arial" w:cs="Arial" w:eastAsia="Arial" w:hAnsi="Arial"/>
                <w:sz w:val="18"/>
                <w:szCs w:val="18"/>
                <w:color w:val="auto"/>
                <w:w w:val="89"/>
              </w:rPr>
              <w:t>2041</w:t>
            </w:r>
          </w:p>
        </w:tc>
        <w:tc>
          <w:tcPr>
            <w:tcW w:w="6120" w:type="dxa"/>
            <w:vAlign w:val="bottom"/>
          </w:tcPr>
          <w:p>
            <w:pPr>
              <w:ind w:left="20"/>
              <w:spacing w:after="0"/>
              <w:rPr>
                <w:sz w:val="20"/>
                <w:szCs w:val="20"/>
                <w:color w:val="auto"/>
              </w:rPr>
            </w:pPr>
            <w:r>
              <w:rPr>
                <w:rFonts w:ascii="Arial" w:cs="Arial" w:eastAsia="Arial" w:hAnsi="Arial"/>
                <w:sz w:val="18"/>
                <w:szCs w:val="18"/>
                <w:color w:val="auto"/>
              </w:rPr>
              <w:t>Notes: 2.95%</w:t>
            </w:r>
          </w:p>
        </w:tc>
      </w:tr>
      <w:tr>
        <w:trPr>
          <w:trHeight w:val="418"/>
        </w:trPr>
        <w:tc>
          <w:tcPr>
            <w:tcW w:w="3360" w:type="dxa"/>
            <w:vAlign w:val="bottom"/>
          </w:tcPr>
          <w:p>
            <w:pPr>
              <w:spacing w:after="0"/>
              <w:rPr>
                <w:sz w:val="20"/>
                <w:szCs w:val="20"/>
                <w:color w:val="auto"/>
              </w:rPr>
            </w:pPr>
            <w:r>
              <w:rPr>
                <w:rFonts w:ascii="Arial" w:cs="Arial" w:eastAsia="Arial" w:hAnsi="Arial"/>
                <w:sz w:val="18"/>
                <w:szCs w:val="18"/>
                <w:color w:val="auto"/>
              </w:rPr>
              <w:t>Benchmark Treasury:</w:t>
            </w:r>
          </w:p>
        </w:tc>
        <w:tc>
          <w:tcPr>
            <w:tcW w:w="1760" w:type="dxa"/>
            <w:vAlign w:val="bottom"/>
          </w:tcPr>
          <w:p>
            <w:pPr>
              <w:ind w:left="1380"/>
              <w:spacing w:after="0"/>
              <w:rPr>
                <w:sz w:val="20"/>
                <w:szCs w:val="20"/>
                <w:color w:val="auto"/>
              </w:rPr>
            </w:pPr>
            <w:r>
              <w:rPr>
                <w:rFonts w:ascii="Arial" w:cs="Arial" w:eastAsia="Arial" w:hAnsi="Arial"/>
                <w:sz w:val="18"/>
                <w:szCs w:val="18"/>
                <w:color w:val="auto"/>
                <w:w w:val="89"/>
              </w:rPr>
              <w:t>2029</w:t>
            </w:r>
          </w:p>
        </w:tc>
        <w:tc>
          <w:tcPr>
            <w:tcW w:w="6120" w:type="dxa"/>
            <w:vAlign w:val="bottom"/>
          </w:tcPr>
          <w:p>
            <w:pPr>
              <w:ind w:left="20"/>
              <w:spacing w:after="0"/>
              <w:rPr>
                <w:sz w:val="20"/>
                <w:szCs w:val="20"/>
                <w:color w:val="auto"/>
              </w:rPr>
            </w:pPr>
            <w:r>
              <w:rPr>
                <w:rFonts w:ascii="Arial" w:cs="Arial" w:eastAsia="Arial" w:hAnsi="Arial"/>
                <w:sz w:val="18"/>
                <w:szCs w:val="18"/>
                <w:color w:val="auto"/>
              </w:rPr>
              <w:t>Notes: 1.250% due March 31, 2028</w:t>
            </w:r>
          </w:p>
        </w:tc>
      </w:tr>
      <w:tr>
        <w:trPr>
          <w:trHeight w:val="230"/>
        </w:trPr>
        <w:tc>
          <w:tcPr>
            <w:tcW w:w="3360" w:type="dxa"/>
            <w:vAlign w:val="bottom"/>
          </w:tcPr>
          <w:p>
            <w:pPr>
              <w:spacing w:after="0"/>
              <w:rPr>
                <w:sz w:val="20"/>
                <w:szCs w:val="20"/>
                <w:color w:val="auto"/>
              </w:rPr>
            </w:pPr>
          </w:p>
        </w:tc>
        <w:tc>
          <w:tcPr>
            <w:tcW w:w="1760" w:type="dxa"/>
            <w:vAlign w:val="bottom"/>
          </w:tcPr>
          <w:p>
            <w:pPr>
              <w:ind w:left="1380"/>
              <w:spacing w:after="0"/>
              <w:rPr>
                <w:sz w:val="20"/>
                <w:szCs w:val="20"/>
                <w:color w:val="auto"/>
              </w:rPr>
            </w:pPr>
            <w:r>
              <w:rPr>
                <w:rFonts w:ascii="Arial" w:cs="Arial" w:eastAsia="Arial" w:hAnsi="Arial"/>
                <w:sz w:val="18"/>
                <w:szCs w:val="18"/>
                <w:color w:val="auto"/>
                <w:w w:val="89"/>
              </w:rPr>
              <w:t>2041</w:t>
            </w:r>
          </w:p>
        </w:tc>
        <w:tc>
          <w:tcPr>
            <w:tcW w:w="6120" w:type="dxa"/>
            <w:vAlign w:val="bottom"/>
          </w:tcPr>
          <w:p>
            <w:pPr>
              <w:ind w:left="20"/>
              <w:spacing w:after="0"/>
              <w:rPr>
                <w:sz w:val="20"/>
                <w:szCs w:val="20"/>
                <w:color w:val="auto"/>
              </w:rPr>
            </w:pPr>
            <w:r>
              <w:rPr>
                <w:rFonts w:ascii="Arial" w:cs="Arial" w:eastAsia="Arial" w:hAnsi="Arial"/>
                <w:sz w:val="18"/>
                <w:szCs w:val="18"/>
                <w:color w:val="auto"/>
              </w:rPr>
              <w:t>Notes: 1.875% due February 15, 2041</w:t>
            </w:r>
          </w:p>
        </w:tc>
      </w:tr>
      <w:tr>
        <w:trPr>
          <w:trHeight w:val="418"/>
        </w:trPr>
        <w:tc>
          <w:tcPr>
            <w:tcW w:w="3360" w:type="dxa"/>
            <w:vAlign w:val="bottom"/>
          </w:tcPr>
          <w:p>
            <w:pPr>
              <w:spacing w:after="0"/>
              <w:rPr>
                <w:sz w:val="20"/>
                <w:szCs w:val="20"/>
                <w:color w:val="auto"/>
              </w:rPr>
            </w:pPr>
            <w:r>
              <w:rPr>
                <w:rFonts w:ascii="Arial" w:cs="Arial" w:eastAsia="Arial" w:hAnsi="Arial"/>
                <w:sz w:val="18"/>
                <w:szCs w:val="18"/>
                <w:color w:val="auto"/>
              </w:rPr>
              <w:t>Benchmark Treasury Price and Yield:</w:t>
            </w:r>
          </w:p>
        </w:tc>
        <w:tc>
          <w:tcPr>
            <w:tcW w:w="1760" w:type="dxa"/>
            <w:vAlign w:val="bottom"/>
          </w:tcPr>
          <w:p>
            <w:pPr>
              <w:ind w:left="1380"/>
              <w:spacing w:after="0"/>
              <w:rPr>
                <w:sz w:val="20"/>
                <w:szCs w:val="20"/>
                <w:color w:val="auto"/>
              </w:rPr>
            </w:pPr>
            <w:r>
              <w:rPr>
                <w:rFonts w:ascii="Arial" w:cs="Arial" w:eastAsia="Arial" w:hAnsi="Arial"/>
                <w:sz w:val="18"/>
                <w:szCs w:val="18"/>
                <w:color w:val="auto"/>
                <w:w w:val="89"/>
              </w:rPr>
              <w:t>2029</w:t>
            </w:r>
          </w:p>
        </w:tc>
        <w:tc>
          <w:tcPr>
            <w:tcW w:w="6120" w:type="dxa"/>
            <w:vAlign w:val="bottom"/>
          </w:tcPr>
          <w:p>
            <w:pPr>
              <w:ind w:left="20"/>
              <w:spacing w:after="0"/>
              <w:rPr>
                <w:sz w:val="20"/>
                <w:szCs w:val="20"/>
                <w:color w:val="auto"/>
              </w:rPr>
            </w:pPr>
            <w:r>
              <w:rPr>
                <w:rFonts w:ascii="Arial" w:cs="Arial" w:eastAsia="Arial" w:hAnsi="Arial"/>
                <w:sz w:val="18"/>
                <w:szCs w:val="18"/>
                <w:color w:val="auto"/>
              </w:rPr>
              <w:t>Notes: 99-21 1/4 / 1.301%</w:t>
            </w:r>
          </w:p>
        </w:tc>
      </w:tr>
      <w:tr>
        <w:trPr>
          <w:trHeight w:val="230"/>
        </w:trPr>
        <w:tc>
          <w:tcPr>
            <w:tcW w:w="3360" w:type="dxa"/>
            <w:vAlign w:val="bottom"/>
          </w:tcPr>
          <w:p>
            <w:pPr>
              <w:spacing w:after="0"/>
              <w:rPr>
                <w:sz w:val="20"/>
                <w:szCs w:val="20"/>
                <w:color w:val="auto"/>
              </w:rPr>
            </w:pPr>
          </w:p>
        </w:tc>
        <w:tc>
          <w:tcPr>
            <w:tcW w:w="1760" w:type="dxa"/>
            <w:vAlign w:val="bottom"/>
          </w:tcPr>
          <w:p>
            <w:pPr>
              <w:ind w:left="1380"/>
              <w:spacing w:after="0"/>
              <w:rPr>
                <w:sz w:val="20"/>
                <w:szCs w:val="20"/>
                <w:color w:val="auto"/>
              </w:rPr>
            </w:pPr>
            <w:r>
              <w:rPr>
                <w:rFonts w:ascii="Arial" w:cs="Arial" w:eastAsia="Arial" w:hAnsi="Arial"/>
                <w:sz w:val="18"/>
                <w:szCs w:val="18"/>
                <w:color w:val="auto"/>
                <w:w w:val="89"/>
              </w:rPr>
              <w:t>2041</w:t>
            </w:r>
          </w:p>
        </w:tc>
        <w:tc>
          <w:tcPr>
            <w:tcW w:w="6120" w:type="dxa"/>
            <w:vAlign w:val="bottom"/>
          </w:tcPr>
          <w:p>
            <w:pPr>
              <w:ind w:left="20"/>
              <w:spacing w:after="0"/>
              <w:rPr>
                <w:sz w:val="20"/>
                <w:szCs w:val="20"/>
                <w:color w:val="auto"/>
              </w:rPr>
            </w:pPr>
            <w:r>
              <w:rPr>
                <w:rFonts w:ascii="Arial" w:cs="Arial" w:eastAsia="Arial" w:hAnsi="Arial"/>
                <w:sz w:val="18"/>
                <w:szCs w:val="18"/>
                <w:color w:val="auto"/>
              </w:rPr>
              <w:t>Notes: 95-01+ / 2.184%</w:t>
            </w:r>
          </w:p>
        </w:tc>
      </w:tr>
      <w:tr>
        <w:trPr>
          <w:trHeight w:val="418"/>
        </w:trPr>
        <w:tc>
          <w:tcPr>
            <w:tcW w:w="3360" w:type="dxa"/>
            <w:vAlign w:val="bottom"/>
          </w:tcPr>
          <w:p>
            <w:pPr>
              <w:spacing w:after="0"/>
              <w:rPr>
                <w:sz w:val="20"/>
                <w:szCs w:val="20"/>
                <w:color w:val="auto"/>
              </w:rPr>
            </w:pPr>
            <w:r>
              <w:rPr>
                <w:rFonts w:ascii="Arial" w:cs="Arial" w:eastAsia="Arial" w:hAnsi="Arial"/>
                <w:sz w:val="18"/>
                <w:szCs w:val="18"/>
                <w:color w:val="auto"/>
              </w:rPr>
              <w:t>Spread to Benchmark Treasury:</w:t>
            </w:r>
          </w:p>
        </w:tc>
        <w:tc>
          <w:tcPr>
            <w:tcW w:w="1760" w:type="dxa"/>
            <w:vAlign w:val="bottom"/>
          </w:tcPr>
          <w:p>
            <w:pPr>
              <w:ind w:left="1380"/>
              <w:spacing w:after="0"/>
              <w:rPr>
                <w:sz w:val="20"/>
                <w:szCs w:val="20"/>
                <w:color w:val="auto"/>
              </w:rPr>
            </w:pPr>
            <w:r>
              <w:rPr>
                <w:rFonts w:ascii="Arial" w:cs="Arial" w:eastAsia="Arial" w:hAnsi="Arial"/>
                <w:sz w:val="18"/>
                <w:szCs w:val="18"/>
                <w:color w:val="auto"/>
                <w:w w:val="89"/>
              </w:rPr>
              <w:t>2029</w:t>
            </w:r>
          </w:p>
        </w:tc>
        <w:tc>
          <w:tcPr>
            <w:tcW w:w="6120" w:type="dxa"/>
            <w:vAlign w:val="bottom"/>
          </w:tcPr>
          <w:p>
            <w:pPr>
              <w:ind w:left="20"/>
              <w:spacing w:after="0"/>
              <w:rPr>
                <w:sz w:val="20"/>
                <w:szCs w:val="20"/>
                <w:color w:val="auto"/>
              </w:rPr>
            </w:pPr>
            <w:r>
              <w:rPr>
                <w:rFonts w:ascii="Arial" w:cs="Arial" w:eastAsia="Arial" w:hAnsi="Arial"/>
                <w:sz w:val="18"/>
                <w:szCs w:val="18"/>
                <w:color w:val="auto"/>
              </w:rPr>
              <w:t>Notes: +70 basis points</w:t>
            </w:r>
          </w:p>
        </w:tc>
      </w:tr>
      <w:tr>
        <w:trPr>
          <w:trHeight w:val="230"/>
        </w:trPr>
        <w:tc>
          <w:tcPr>
            <w:tcW w:w="3360" w:type="dxa"/>
            <w:vAlign w:val="bottom"/>
          </w:tcPr>
          <w:p>
            <w:pPr>
              <w:spacing w:after="0"/>
              <w:rPr>
                <w:sz w:val="20"/>
                <w:szCs w:val="20"/>
                <w:color w:val="auto"/>
              </w:rPr>
            </w:pPr>
          </w:p>
        </w:tc>
        <w:tc>
          <w:tcPr>
            <w:tcW w:w="1760" w:type="dxa"/>
            <w:vAlign w:val="bottom"/>
          </w:tcPr>
          <w:p>
            <w:pPr>
              <w:ind w:left="1380"/>
              <w:spacing w:after="0"/>
              <w:rPr>
                <w:sz w:val="20"/>
                <w:szCs w:val="20"/>
                <w:color w:val="auto"/>
              </w:rPr>
            </w:pPr>
            <w:r>
              <w:rPr>
                <w:rFonts w:ascii="Arial" w:cs="Arial" w:eastAsia="Arial" w:hAnsi="Arial"/>
                <w:sz w:val="18"/>
                <w:szCs w:val="18"/>
                <w:color w:val="auto"/>
                <w:w w:val="89"/>
              </w:rPr>
              <w:t>2041</w:t>
            </w:r>
          </w:p>
        </w:tc>
        <w:tc>
          <w:tcPr>
            <w:tcW w:w="6120" w:type="dxa"/>
            <w:vAlign w:val="bottom"/>
          </w:tcPr>
          <w:p>
            <w:pPr>
              <w:ind w:left="20"/>
              <w:spacing w:after="0"/>
              <w:rPr>
                <w:sz w:val="20"/>
                <w:szCs w:val="20"/>
                <w:color w:val="auto"/>
              </w:rPr>
            </w:pPr>
            <w:r>
              <w:rPr>
                <w:rFonts w:ascii="Arial" w:cs="Arial" w:eastAsia="Arial" w:hAnsi="Arial"/>
                <w:sz w:val="18"/>
                <w:szCs w:val="18"/>
                <w:color w:val="auto"/>
              </w:rPr>
              <w:t>Notes: +80 basis points</w:t>
            </w:r>
          </w:p>
        </w:tc>
      </w:tr>
      <w:tr>
        <w:trPr>
          <w:trHeight w:val="418"/>
        </w:trPr>
        <w:tc>
          <w:tcPr>
            <w:tcW w:w="3360" w:type="dxa"/>
            <w:vAlign w:val="bottom"/>
          </w:tcPr>
          <w:p>
            <w:pPr>
              <w:spacing w:after="0"/>
              <w:rPr>
                <w:sz w:val="20"/>
                <w:szCs w:val="20"/>
                <w:color w:val="auto"/>
              </w:rPr>
            </w:pPr>
            <w:r>
              <w:rPr>
                <w:rFonts w:ascii="Arial" w:cs="Arial" w:eastAsia="Arial" w:hAnsi="Arial"/>
                <w:sz w:val="18"/>
                <w:szCs w:val="18"/>
                <w:color w:val="auto"/>
              </w:rPr>
              <w:t>Yield to Maturity:</w:t>
            </w:r>
          </w:p>
        </w:tc>
        <w:tc>
          <w:tcPr>
            <w:tcW w:w="1760" w:type="dxa"/>
            <w:vAlign w:val="bottom"/>
          </w:tcPr>
          <w:p>
            <w:pPr>
              <w:ind w:left="1380"/>
              <w:spacing w:after="0"/>
              <w:rPr>
                <w:sz w:val="20"/>
                <w:szCs w:val="20"/>
                <w:color w:val="auto"/>
              </w:rPr>
            </w:pPr>
            <w:r>
              <w:rPr>
                <w:rFonts w:ascii="Arial" w:cs="Arial" w:eastAsia="Arial" w:hAnsi="Arial"/>
                <w:sz w:val="18"/>
                <w:szCs w:val="18"/>
                <w:color w:val="auto"/>
                <w:w w:val="89"/>
              </w:rPr>
              <w:t>2029</w:t>
            </w:r>
          </w:p>
        </w:tc>
        <w:tc>
          <w:tcPr>
            <w:tcW w:w="6120" w:type="dxa"/>
            <w:vAlign w:val="bottom"/>
          </w:tcPr>
          <w:p>
            <w:pPr>
              <w:ind w:left="20"/>
              <w:spacing w:after="0"/>
              <w:rPr>
                <w:sz w:val="20"/>
                <w:szCs w:val="20"/>
                <w:color w:val="auto"/>
              </w:rPr>
            </w:pPr>
            <w:r>
              <w:rPr>
                <w:rFonts w:ascii="Arial" w:cs="Arial" w:eastAsia="Arial" w:hAnsi="Arial"/>
                <w:sz w:val="18"/>
                <w:szCs w:val="18"/>
                <w:color w:val="auto"/>
              </w:rPr>
              <w:t>Notes: 2.001%</w:t>
            </w:r>
          </w:p>
        </w:tc>
      </w:tr>
      <w:tr>
        <w:trPr>
          <w:trHeight w:val="230"/>
        </w:trPr>
        <w:tc>
          <w:tcPr>
            <w:tcW w:w="3360" w:type="dxa"/>
            <w:vAlign w:val="bottom"/>
          </w:tcPr>
          <w:p>
            <w:pPr>
              <w:spacing w:after="0"/>
              <w:rPr>
                <w:sz w:val="20"/>
                <w:szCs w:val="20"/>
                <w:color w:val="auto"/>
              </w:rPr>
            </w:pPr>
          </w:p>
        </w:tc>
        <w:tc>
          <w:tcPr>
            <w:tcW w:w="1760" w:type="dxa"/>
            <w:vAlign w:val="bottom"/>
          </w:tcPr>
          <w:p>
            <w:pPr>
              <w:ind w:left="1380"/>
              <w:spacing w:after="0"/>
              <w:rPr>
                <w:sz w:val="20"/>
                <w:szCs w:val="20"/>
                <w:color w:val="auto"/>
              </w:rPr>
            </w:pPr>
            <w:r>
              <w:rPr>
                <w:rFonts w:ascii="Arial" w:cs="Arial" w:eastAsia="Arial" w:hAnsi="Arial"/>
                <w:sz w:val="18"/>
                <w:szCs w:val="18"/>
                <w:color w:val="auto"/>
                <w:w w:val="89"/>
              </w:rPr>
              <w:t>2041</w:t>
            </w:r>
          </w:p>
        </w:tc>
        <w:tc>
          <w:tcPr>
            <w:tcW w:w="6120" w:type="dxa"/>
            <w:vAlign w:val="bottom"/>
          </w:tcPr>
          <w:p>
            <w:pPr>
              <w:ind w:left="20"/>
              <w:spacing w:after="0"/>
              <w:rPr>
                <w:sz w:val="20"/>
                <w:szCs w:val="20"/>
                <w:color w:val="auto"/>
              </w:rPr>
            </w:pPr>
            <w:r>
              <w:rPr>
                <w:rFonts w:ascii="Arial" w:cs="Arial" w:eastAsia="Arial" w:hAnsi="Arial"/>
                <w:sz w:val="18"/>
                <w:szCs w:val="18"/>
                <w:color w:val="auto"/>
              </w:rPr>
              <w:t>Notes: 2.984%</w:t>
            </w:r>
          </w:p>
        </w:tc>
      </w:tr>
      <w:tr>
        <w:trPr>
          <w:trHeight w:val="418"/>
        </w:trPr>
        <w:tc>
          <w:tcPr>
            <w:tcW w:w="3360" w:type="dxa"/>
            <w:vAlign w:val="bottom"/>
          </w:tcPr>
          <w:p>
            <w:pPr>
              <w:spacing w:after="0"/>
              <w:rPr>
                <w:sz w:val="20"/>
                <w:szCs w:val="20"/>
                <w:color w:val="auto"/>
              </w:rPr>
            </w:pPr>
            <w:r>
              <w:rPr>
                <w:rFonts w:ascii="Arial" w:cs="Arial" w:eastAsia="Arial" w:hAnsi="Arial"/>
                <w:sz w:val="18"/>
                <w:szCs w:val="18"/>
                <w:color w:val="auto"/>
              </w:rPr>
              <w:t>Price to Public:</w:t>
            </w:r>
          </w:p>
        </w:tc>
        <w:tc>
          <w:tcPr>
            <w:tcW w:w="1760" w:type="dxa"/>
            <w:vAlign w:val="bottom"/>
          </w:tcPr>
          <w:p>
            <w:pPr>
              <w:ind w:left="1380"/>
              <w:spacing w:after="0"/>
              <w:rPr>
                <w:sz w:val="20"/>
                <w:szCs w:val="20"/>
                <w:color w:val="auto"/>
              </w:rPr>
            </w:pPr>
            <w:r>
              <w:rPr>
                <w:rFonts w:ascii="Arial" w:cs="Arial" w:eastAsia="Arial" w:hAnsi="Arial"/>
                <w:sz w:val="18"/>
                <w:szCs w:val="18"/>
                <w:color w:val="auto"/>
                <w:w w:val="89"/>
              </w:rPr>
              <w:t>2029</w:t>
            </w:r>
          </w:p>
        </w:tc>
        <w:tc>
          <w:tcPr>
            <w:tcW w:w="6120" w:type="dxa"/>
            <w:vAlign w:val="bottom"/>
          </w:tcPr>
          <w:p>
            <w:pPr>
              <w:ind w:left="20"/>
              <w:spacing w:after="0"/>
              <w:rPr>
                <w:sz w:val="20"/>
                <w:szCs w:val="20"/>
                <w:color w:val="auto"/>
              </w:rPr>
            </w:pPr>
            <w:r>
              <w:rPr>
                <w:rFonts w:ascii="Arial" w:cs="Arial" w:eastAsia="Arial" w:hAnsi="Arial"/>
                <w:sz w:val="18"/>
                <w:szCs w:val="18"/>
                <w:color w:val="auto"/>
              </w:rPr>
              <w:t>Notes: 99.992% of face amount</w:t>
            </w:r>
          </w:p>
        </w:tc>
      </w:tr>
      <w:tr>
        <w:trPr>
          <w:trHeight w:val="230"/>
        </w:trPr>
        <w:tc>
          <w:tcPr>
            <w:tcW w:w="3360" w:type="dxa"/>
            <w:vAlign w:val="bottom"/>
          </w:tcPr>
          <w:p>
            <w:pPr>
              <w:spacing w:after="0"/>
              <w:rPr>
                <w:sz w:val="20"/>
                <w:szCs w:val="20"/>
                <w:color w:val="auto"/>
              </w:rPr>
            </w:pPr>
          </w:p>
        </w:tc>
        <w:tc>
          <w:tcPr>
            <w:tcW w:w="1760" w:type="dxa"/>
            <w:vAlign w:val="bottom"/>
          </w:tcPr>
          <w:p>
            <w:pPr>
              <w:ind w:left="1380"/>
              <w:spacing w:after="0"/>
              <w:rPr>
                <w:sz w:val="20"/>
                <w:szCs w:val="20"/>
                <w:color w:val="auto"/>
              </w:rPr>
            </w:pPr>
            <w:r>
              <w:rPr>
                <w:rFonts w:ascii="Arial" w:cs="Arial" w:eastAsia="Arial" w:hAnsi="Arial"/>
                <w:sz w:val="18"/>
                <w:szCs w:val="18"/>
                <w:color w:val="auto"/>
                <w:w w:val="89"/>
              </w:rPr>
              <w:t>2041</w:t>
            </w:r>
          </w:p>
        </w:tc>
        <w:tc>
          <w:tcPr>
            <w:tcW w:w="6120" w:type="dxa"/>
            <w:vAlign w:val="bottom"/>
          </w:tcPr>
          <w:p>
            <w:pPr>
              <w:ind w:left="20"/>
              <w:spacing w:after="0"/>
              <w:rPr>
                <w:sz w:val="20"/>
                <w:szCs w:val="20"/>
                <w:color w:val="auto"/>
              </w:rPr>
            </w:pPr>
            <w:r>
              <w:rPr>
                <w:rFonts w:ascii="Arial" w:cs="Arial" w:eastAsia="Arial" w:hAnsi="Arial"/>
                <w:sz w:val="18"/>
                <w:szCs w:val="18"/>
                <w:color w:val="auto"/>
              </w:rPr>
              <w:t>Notes: 99.488% of face amount</w:t>
            </w:r>
          </w:p>
        </w:tc>
      </w:tr>
      <w:tr>
        <w:trPr>
          <w:trHeight w:val="432"/>
        </w:trPr>
        <w:tc>
          <w:tcPr>
            <w:tcW w:w="3360" w:type="dxa"/>
            <w:vAlign w:val="bottom"/>
          </w:tcPr>
          <w:p>
            <w:pPr>
              <w:spacing w:after="0"/>
              <w:rPr>
                <w:sz w:val="20"/>
                <w:szCs w:val="20"/>
                <w:color w:val="auto"/>
              </w:rPr>
            </w:pPr>
            <w:r>
              <w:rPr>
                <w:rFonts w:ascii="Arial" w:cs="Arial" w:eastAsia="Arial" w:hAnsi="Arial"/>
                <w:sz w:val="18"/>
                <w:szCs w:val="18"/>
                <w:color w:val="auto"/>
              </w:rPr>
              <w:t>Net Proceeds (before expenses):</w:t>
            </w:r>
          </w:p>
        </w:tc>
        <w:tc>
          <w:tcPr>
            <w:tcW w:w="7880" w:type="dxa"/>
            <w:vAlign w:val="bottom"/>
            <w:gridSpan w:val="2"/>
          </w:tcPr>
          <w:p>
            <w:pPr>
              <w:ind w:left="1380"/>
              <w:spacing w:after="0"/>
              <w:rPr>
                <w:sz w:val="20"/>
                <w:szCs w:val="20"/>
                <w:color w:val="auto"/>
              </w:rPr>
            </w:pPr>
            <w:r>
              <w:rPr>
                <w:rFonts w:ascii="Arial" w:cs="Arial" w:eastAsia="Arial" w:hAnsi="Arial"/>
                <w:sz w:val="18"/>
                <w:szCs w:val="18"/>
                <w:color w:val="auto"/>
              </w:rPr>
              <w:t>$941,948,750</w:t>
            </w:r>
          </w:p>
        </w:tc>
      </w:tr>
      <w:tr>
        <w:trPr>
          <w:trHeight w:val="418"/>
        </w:trPr>
        <w:tc>
          <w:tcPr>
            <w:tcW w:w="3360" w:type="dxa"/>
            <w:vAlign w:val="bottom"/>
          </w:tcPr>
          <w:p>
            <w:pPr>
              <w:spacing w:after="0"/>
              <w:rPr>
                <w:sz w:val="20"/>
                <w:szCs w:val="20"/>
                <w:color w:val="auto"/>
              </w:rPr>
            </w:pPr>
            <w:r>
              <w:rPr>
                <w:rFonts w:ascii="Arial" w:cs="Arial" w:eastAsia="Arial" w:hAnsi="Arial"/>
                <w:sz w:val="18"/>
                <w:szCs w:val="18"/>
                <w:color w:val="auto"/>
              </w:rPr>
              <w:t>Interest Payment Dates:</w:t>
            </w:r>
          </w:p>
        </w:tc>
        <w:tc>
          <w:tcPr>
            <w:tcW w:w="1760" w:type="dxa"/>
            <w:vAlign w:val="bottom"/>
          </w:tcPr>
          <w:p>
            <w:pPr>
              <w:ind w:left="1380"/>
              <w:spacing w:after="0"/>
              <w:rPr>
                <w:sz w:val="20"/>
                <w:szCs w:val="20"/>
                <w:color w:val="auto"/>
              </w:rPr>
            </w:pPr>
            <w:r>
              <w:rPr>
                <w:rFonts w:ascii="Arial" w:cs="Arial" w:eastAsia="Arial" w:hAnsi="Arial"/>
                <w:sz w:val="18"/>
                <w:szCs w:val="18"/>
                <w:color w:val="auto"/>
                <w:w w:val="89"/>
              </w:rPr>
              <w:t>2029</w:t>
            </w:r>
          </w:p>
        </w:tc>
        <w:tc>
          <w:tcPr>
            <w:tcW w:w="6120" w:type="dxa"/>
            <w:vAlign w:val="bottom"/>
          </w:tcPr>
          <w:p>
            <w:pPr>
              <w:jc w:val="right"/>
              <w:spacing w:after="0"/>
              <w:rPr>
                <w:sz w:val="20"/>
                <w:szCs w:val="20"/>
                <w:color w:val="auto"/>
              </w:rPr>
            </w:pPr>
            <w:r>
              <w:rPr>
                <w:rFonts w:ascii="Arial" w:cs="Arial" w:eastAsia="Arial" w:hAnsi="Arial"/>
                <w:sz w:val="18"/>
                <w:szCs w:val="18"/>
                <w:color w:val="auto"/>
                <w:w w:val="95"/>
              </w:rPr>
              <w:t>Notes: Semi-annually on June 1 and December 1, commencing on December 1,</w:t>
            </w:r>
          </w:p>
        </w:tc>
      </w:tr>
      <w:tr>
        <w:trPr>
          <w:trHeight w:val="216"/>
        </w:trPr>
        <w:tc>
          <w:tcPr>
            <w:tcW w:w="3360" w:type="dxa"/>
            <w:vAlign w:val="bottom"/>
          </w:tcPr>
          <w:p>
            <w:pPr>
              <w:spacing w:after="0"/>
              <w:rPr>
                <w:sz w:val="18"/>
                <w:szCs w:val="18"/>
                <w:color w:val="auto"/>
              </w:rPr>
            </w:pPr>
          </w:p>
        </w:tc>
        <w:tc>
          <w:tcPr>
            <w:tcW w:w="1760" w:type="dxa"/>
            <w:vAlign w:val="bottom"/>
          </w:tcPr>
          <w:p>
            <w:pPr>
              <w:ind w:left="1380"/>
              <w:spacing w:after="0"/>
              <w:rPr>
                <w:sz w:val="20"/>
                <w:szCs w:val="20"/>
                <w:color w:val="auto"/>
              </w:rPr>
            </w:pPr>
            <w:r>
              <w:rPr>
                <w:rFonts w:ascii="Arial" w:cs="Arial" w:eastAsia="Arial" w:hAnsi="Arial"/>
                <w:sz w:val="18"/>
                <w:szCs w:val="18"/>
                <w:color w:val="auto"/>
                <w:w w:val="89"/>
              </w:rPr>
              <w:t>2021</w:t>
            </w:r>
          </w:p>
        </w:tc>
        <w:tc>
          <w:tcPr>
            <w:tcW w:w="6120" w:type="dxa"/>
            <w:vAlign w:val="bottom"/>
          </w:tcPr>
          <w:p>
            <w:pPr>
              <w:spacing w:after="0"/>
              <w:rPr>
                <w:sz w:val="18"/>
                <w:szCs w:val="18"/>
                <w:color w:val="auto"/>
              </w:rPr>
            </w:pPr>
          </w:p>
        </w:tc>
      </w:tr>
      <w:tr>
        <w:trPr>
          <w:trHeight w:val="216"/>
        </w:trPr>
        <w:tc>
          <w:tcPr>
            <w:tcW w:w="3360" w:type="dxa"/>
            <w:vAlign w:val="bottom"/>
          </w:tcPr>
          <w:p>
            <w:pPr>
              <w:spacing w:after="0"/>
              <w:rPr>
                <w:sz w:val="18"/>
                <w:szCs w:val="18"/>
                <w:color w:val="auto"/>
              </w:rPr>
            </w:pPr>
          </w:p>
        </w:tc>
        <w:tc>
          <w:tcPr>
            <w:tcW w:w="1760" w:type="dxa"/>
            <w:vAlign w:val="bottom"/>
          </w:tcPr>
          <w:p>
            <w:pPr>
              <w:ind w:left="1380"/>
              <w:spacing w:after="0"/>
              <w:rPr>
                <w:sz w:val="20"/>
                <w:szCs w:val="20"/>
                <w:color w:val="auto"/>
              </w:rPr>
            </w:pPr>
            <w:r>
              <w:rPr>
                <w:rFonts w:ascii="Arial" w:cs="Arial" w:eastAsia="Arial" w:hAnsi="Arial"/>
                <w:sz w:val="18"/>
                <w:szCs w:val="18"/>
                <w:color w:val="auto"/>
                <w:w w:val="89"/>
              </w:rPr>
              <w:t>2041</w:t>
            </w:r>
          </w:p>
        </w:tc>
        <w:tc>
          <w:tcPr>
            <w:tcW w:w="6120" w:type="dxa"/>
            <w:vAlign w:val="bottom"/>
          </w:tcPr>
          <w:p>
            <w:pPr>
              <w:jc w:val="right"/>
              <w:spacing w:after="0"/>
              <w:rPr>
                <w:sz w:val="20"/>
                <w:szCs w:val="20"/>
                <w:color w:val="auto"/>
              </w:rPr>
            </w:pPr>
            <w:r>
              <w:rPr>
                <w:rFonts w:ascii="Arial" w:cs="Arial" w:eastAsia="Arial" w:hAnsi="Arial"/>
                <w:sz w:val="18"/>
                <w:szCs w:val="18"/>
                <w:color w:val="auto"/>
                <w:w w:val="95"/>
              </w:rPr>
              <w:t>Notes: Semi-annually on June 1 and December 1, commencing on December 1,</w:t>
            </w:r>
          </w:p>
        </w:tc>
      </w:tr>
      <w:tr>
        <w:trPr>
          <w:trHeight w:val="230"/>
        </w:trPr>
        <w:tc>
          <w:tcPr>
            <w:tcW w:w="3360" w:type="dxa"/>
            <w:vAlign w:val="bottom"/>
          </w:tcPr>
          <w:p>
            <w:pPr>
              <w:spacing w:after="0"/>
              <w:rPr>
                <w:sz w:val="20"/>
                <w:szCs w:val="20"/>
                <w:color w:val="auto"/>
              </w:rPr>
            </w:pPr>
          </w:p>
        </w:tc>
        <w:tc>
          <w:tcPr>
            <w:tcW w:w="1760" w:type="dxa"/>
            <w:vAlign w:val="bottom"/>
          </w:tcPr>
          <w:p>
            <w:pPr>
              <w:ind w:left="1380"/>
              <w:spacing w:after="0"/>
              <w:rPr>
                <w:sz w:val="20"/>
                <w:szCs w:val="20"/>
                <w:color w:val="auto"/>
              </w:rPr>
            </w:pPr>
            <w:r>
              <w:rPr>
                <w:rFonts w:ascii="Arial" w:cs="Arial" w:eastAsia="Arial" w:hAnsi="Arial"/>
                <w:sz w:val="18"/>
                <w:szCs w:val="18"/>
                <w:color w:val="auto"/>
                <w:w w:val="89"/>
              </w:rPr>
              <w:t>2021</w:t>
            </w:r>
          </w:p>
        </w:tc>
        <w:tc>
          <w:tcPr>
            <w:tcW w:w="6120" w:type="dxa"/>
            <w:vAlign w:val="bottom"/>
          </w:tcPr>
          <w:p>
            <w:pPr>
              <w:spacing w:after="0"/>
              <w:rPr>
                <w:sz w:val="20"/>
                <w:szCs w:val="20"/>
                <w:color w:val="auto"/>
              </w:rPr>
            </w:pPr>
          </w:p>
        </w:tc>
      </w:tr>
      <w:tr>
        <w:trPr>
          <w:trHeight w:val="702"/>
        </w:trPr>
        <w:tc>
          <w:tcPr>
            <w:tcW w:w="33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6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476" w:right="339" w:bottom="1440" w:gutter="0" w:footer="0" w:header="0"/>
        </w:sectPr>
      </w:pPr>
    </w:p>
    <w:bookmarkStart w:id="1" w:name="page2"/>
    <w:bookmarkEnd w:id="1"/>
    <w:p>
      <w:pPr>
        <w:spacing w:after="0"/>
        <w:rPr>
          <w:sz w:val="20"/>
          <w:szCs w:val="20"/>
          <w:color w:val="auto"/>
        </w:rPr>
      </w:pPr>
      <w:r>
        <w:rPr>
          <w:rFonts w:ascii="Arial" w:cs="Arial" w:eastAsia="Arial" w:hAnsi="Arial"/>
          <w:sz w:val="16"/>
          <w:szCs w:val="16"/>
          <w:color w:val="auto"/>
        </w:rPr>
        <w:t>Optional Redemption:</w:t>
      </w:r>
    </w:p>
    <w:p>
      <w:pPr>
        <w:spacing w:after="0" w:line="20" w:lineRule="exact"/>
        <w:rPr>
          <w:sz w:val="20"/>
          <w:szCs w:val="20"/>
          <w:color w:val="auto"/>
        </w:rPr>
      </w:pPr>
      <w:r>
        <w:rPr>
          <w:sz w:val="20"/>
          <w:szCs w:val="20"/>
          <w:color w:val="auto"/>
        </w:rPr>
        <w:br w:type="column"/>
      </w:r>
    </w:p>
    <w:p>
      <w:pPr>
        <w:jc w:val="both"/>
        <w:spacing w:after="0" w:line="293" w:lineRule="auto"/>
        <w:rPr>
          <w:sz w:val="20"/>
          <w:szCs w:val="20"/>
          <w:color w:val="auto"/>
        </w:rPr>
      </w:pPr>
      <w:r>
        <w:rPr>
          <w:rFonts w:ascii="Arial" w:cs="Arial" w:eastAsia="Arial" w:hAnsi="Arial"/>
          <w:sz w:val="16"/>
          <w:szCs w:val="16"/>
          <w:color w:val="auto"/>
        </w:rPr>
        <w:t>The 2029 Notes are redeemable at any time prior to April 1, 2029 (two months prior to the maturity date), in whole or from time to time in part, at the option of the Company, at a make whole redemption price using the applicable Treasury rate plus 12.5 basis points (as defined and described in further detail in the Preliminary Prospectus Supplement). The 2029 Notes are redeemable on or after April 1, 2029 (two months prior to the maturity date), in whole or from time to time in part, at the option of the Company, at par.</w:t>
      </w:r>
    </w:p>
    <w:p>
      <w:pPr>
        <w:spacing w:after="0" w:line="164" w:lineRule="exact"/>
        <w:rPr>
          <w:sz w:val="20"/>
          <w:szCs w:val="20"/>
          <w:color w:val="auto"/>
        </w:rPr>
      </w:pPr>
    </w:p>
    <w:p>
      <w:pPr>
        <w:sectPr>
          <w:pgSz w:w="11900" w:h="16838" w:orient="portrait"/>
          <w:cols w:equalWidth="0" w:num="2">
            <w:col w:w="4020" w:space="720"/>
            <w:col w:w="6500"/>
          </w:cols>
          <w:pgMar w:left="320" w:top="935" w:right="339" w:bottom="1440" w:gutter="0" w:footer="0" w:header="0"/>
        </w:sectPr>
      </w:pPr>
    </w:p>
    <w:p>
      <w:pPr>
        <w:jc w:val="both"/>
        <w:ind w:left="4740"/>
        <w:spacing w:after="0" w:line="293" w:lineRule="auto"/>
        <w:rPr>
          <w:sz w:val="20"/>
          <w:szCs w:val="20"/>
          <w:color w:val="auto"/>
        </w:rPr>
      </w:pPr>
      <w:r>
        <w:rPr>
          <w:rFonts w:ascii="Arial" w:cs="Arial" w:eastAsia="Arial" w:hAnsi="Arial"/>
          <w:sz w:val="16"/>
          <w:szCs w:val="16"/>
          <w:color w:val="auto"/>
        </w:rPr>
        <w:t>The 2041 Notes are redeemable at any time prior to December 1, 2040 (six months prior to the maturity date), in whole or from time to time in part, at the option of the Company, at a make whole redemption price using the applicable Treasury rate plus 15 basis points (as defined and described in further detail in the Preliminary Prospectus Supplement). The 2041 Notes are redeemable on or after December 1, 2040 (six months prior to the maturity date), in whole or from time to time in part, at the option of the Company, at par.</w:t>
      </w:r>
    </w:p>
    <w:p>
      <w:pPr>
        <w:sectPr>
          <w:pgSz w:w="11900" w:h="16838" w:orient="portrait"/>
          <w:cols w:equalWidth="0" w:num="1">
            <w:col w:w="11240"/>
          </w:cols>
          <w:pgMar w:left="320" w:top="935" w:right="339" w:bottom="1440" w:gutter="0" w:footer="0" w:header="0"/>
          <w:type w:val="continuous"/>
        </w:sectPr>
      </w:pP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color w:val="auto"/>
        </w:rPr>
        <w:t>CUSIP/ISIN:</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2029 Notes: 94106L BQ1 / US94106LBQ14</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2041 Notes: 94106L BR9 / US94106LBR96</w:t>
      </w:r>
    </w:p>
    <w:p>
      <w:pPr>
        <w:spacing w:after="0" w:line="200" w:lineRule="exact"/>
        <w:rPr>
          <w:sz w:val="20"/>
          <w:szCs w:val="20"/>
          <w:color w:val="auto"/>
        </w:rPr>
      </w:pPr>
    </w:p>
    <w:p>
      <w:pPr>
        <w:sectPr>
          <w:pgSz w:w="11900" w:h="16838" w:orient="portrait"/>
          <w:cols w:equalWidth="0" w:num="2">
            <w:col w:w="4020" w:space="720"/>
            <w:col w:w="6500"/>
          </w:cols>
          <w:pgMar w:left="320" w:top="935" w:right="339" w:bottom="1440" w:gutter="0" w:footer="0" w:header="0"/>
          <w:type w:val="continuous"/>
        </w:sectPr>
      </w:pP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Joint Book-Running Managers:</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Credit Suisse Securities (USA) LLC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Wells Fargo Securities, LLC</w:t>
      </w:r>
    </w:p>
    <w:p>
      <w:pPr>
        <w:spacing w:after="0" w:line="200" w:lineRule="exact"/>
        <w:rPr>
          <w:sz w:val="20"/>
          <w:szCs w:val="20"/>
          <w:color w:val="auto"/>
        </w:rPr>
      </w:pPr>
    </w:p>
    <w:p>
      <w:pPr>
        <w:sectPr>
          <w:pgSz w:w="11900" w:h="16838" w:orient="portrait"/>
          <w:cols w:equalWidth="0" w:num="2">
            <w:col w:w="4020" w:space="720"/>
            <w:col w:w="6500"/>
          </w:cols>
          <w:pgMar w:left="320" w:top="935" w:right="33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Co-Managers: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BofA Securities,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Barclays Capital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Mizuho Securities USA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Scotia Capital (USA)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PNC Capital Markets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Truist Securities,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Loop Capital Markets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Academy Securities, Inc.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Siebert Williams Shank &amp; Co., LLC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Stern Brothers &amp; Co.</w:t>
      </w:r>
    </w:p>
    <w:p>
      <w:pPr>
        <w:spacing w:after="0" w:line="200" w:lineRule="exact"/>
        <w:rPr>
          <w:sz w:val="20"/>
          <w:szCs w:val="20"/>
          <w:color w:val="auto"/>
        </w:rPr>
      </w:pPr>
    </w:p>
    <w:p>
      <w:pPr>
        <w:sectPr>
          <w:pgSz w:w="11900" w:h="16838" w:orient="portrait"/>
          <w:cols w:equalWidth="0" w:num="2">
            <w:col w:w="4020" w:space="720"/>
            <w:col w:w="6500"/>
          </w:cols>
          <w:pgMar w:left="320" w:top="935" w:right="339" w:bottom="1440" w:gutter="0" w:footer="0" w:header="0"/>
          <w:type w:val="continuous"/>
        </w:sectPr>
      </w:pPr>
    </w:p>
    <w:p>
      <w:pPr>
        <w:spacing w:after="0" w:line="11" w:lineRule="exact"/>
        <w:rPr>
          <w:sz w:val="20"/>
          <w:szCs w:val="20"/>
          <w:color w:val="auto"/>
        </w:rPr>
      </w:pPr>
    </w:p>
    <w:p>
      <w:pPr>
        <w:ind w:left="5580" w:right="1320" w:hanging="5572"/>
        <w:spacing w:after="0" w:line="778" w:lineRule="auto"/>
        <w:tabs>
          <w:tab w:leader="none" w:pos="137" w:val="left"/>
        </w:tabs>
        <w:numPr>
          <w:ilvl w:val="0"/>
          <w:numId w:val="1"/>
        </w:numPr>
        <w:rPr>
          <w:rFonts w:ascii="Arial" w:cs="Arial" w:eastAsia="Arial" w:hAnsi="Arial"/>
          <w:sz w:val="18"/>
          <w:szCs w:val="18"/>
          <w:color w:val="auto"/>
        </w:rPr>
      </w:pPr>
      <w:r>
        <w:rPr>
          <w:rFonts w:ascii="Arial" w:cs="Arial" w:eastAsia="Arial" w:hAnsi="Arial"/>
          <w:sz w:val="18"/>
          <w:szCs w:val="18"/>
          <w:color w:val="auto"/>
        </w:rPr>
        <w:t>Note: A securities rating is not a recommendation to buy, sell or hold securities and may be subject to review or withdrawal at any time.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type w:val="continuous"/>
        </w:sectPr>
      </w:pPr>
    </w:p>
    <w:bookmarkStart w:id="2" w:name="page3"/>
    <w:bookmarkEnd w:id="2"/>
    <w:p>
      <w:pPr>
        <w:jc w:val="both"/>
        <w:ind w:firstLine="8"/>
        <w:spacing w:after="0" w:line="296" w:lineRule="auto"/>
        <w:tabs>
          <w:tab w:leader="none" w:pos="228"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issuer expects delivery of the notes will be made against payment therefor on or about May 12, 2021, which is the tenth business day following the date of pricing of the notes (such settlement being referred to as “T+10”). Under Rule 15c6-1 of the Exchange Act, trades in the secondary market generally are required to settle in two business days unless the parties to any such trade expressly agree otherwise. Accordingly, purchasers who wish to trade the notes on the date of pricing of the notes or the next succeeding seven business days will be required, by virtue of the fact that the notes initially will settle in T+10, to specify an alternate settlement cycle at the time of any such trade to prevent failed settlement and should consult their own advisers.</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MiFID II professionals/ECPs-only/No PRIIPs KID – in the European Economic Area (EEA), the manufacturer target market (MiFID II product governance) is eligible counterparties and professional clients only (all distribution channels). No PRIIPs key information document (KID) has been prepared as not available to retail in the EEA.</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in this term sheet supplements the information provided in the preliminary prospectus supplement dated April 28, 2021. To the extent information in this term sheet conflicts with information in the preliminary prospectus supplement, this term sheet controls.</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issuer has filed a registration statement (including a prospectus) and prospectus supplement with the SEC for the offering to which this communication relates. Before you invest, you should read the prospectus in that registration statement and the prospectus supplement and other documents the issuer has filed with the SEC for more complete information about the issuer and this offering. You may get these documents for free by visiting EDGAR on the SEC Web site at www.sec.gov. Alternatively, the issuer, any underwriter or any dealer participating in the offering will arrange to send you the prospectus if you request it by contacting: (1) Credit Suisse Securities (USA) LLC toll-free at 1-800-221-1037; (2) Goldman Sachs &amp; Co. LLC toll-free at 1-866-471-2526; or (3) Wells Fargo Securities, LLC toll-free at 1-800-645-3751.</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Any disclaimers or other notices that may appear below are not applicable to this communication and should be disregarded. Such disclaimers were automatically generated as a result of this communication being sent via email or another communication system.</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2021-04-29T05:43:56Z</dcterms:created>
  <dcterms:modified xsi:type="dcterms:W3CDTF">2021-04-29T05:43:56Z</dcterms:modified>
</cp:coreProperties>
</file>