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October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080" w:type="dxa"/>
            <w:vAlign w:val="bottom"/>
          </w:tcPr>
          <w:p>
            <w:pPr>
              <w:jc w:val="center"/>
              <w:ind w:right="2382"/>
              <w:spacing w:after="0"/>
              <w:rPr>
                <w:sz w:val="20"/>
                <w:szCs w:val="20"/>
                <w:color w:val="auto"/>
              </w:rPr>
            </w:pPr>
            <w:r>
              <w:rPr>
                <w:rFonts w:ascii="Arial" w:cs="Arial" w:eastAsia="Arial" w:hAnsi="Arial"/>
                <w:sz w:val="18"/>
                <w:szCs w:val="18"/>
                <w:b w:val="1"/>
                <w:bCs w:val="1"/>
                <w:color w:val="auto"/>
                <w:w w:val="88"/>
              </w:rPr>
              <w:t>Delaware</w:t>
            </w:r>
          </w:p>
        </w:tc>
        <w:tc>
          <w:tcPr>
            <w:tcW w:w="24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080" w:type="dxa"/>
            <w:vAlign w:val="bottom"/>
          </w:tcPr>
          <w:p>
            <w:pPr>
              <w:jc w:val="center"/>
              <w:ind w:right="240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4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02"/>
              <w:spacing w:after="0"/>
              <w:rPr>
                <w:sz w:val="20"/>
                <w:szCs w:val="20"/>
                <w:color w:val="auto"/>
              </w:rPr>
            </w:pPr>
            <w:r>
              <w:rPr>
                <w:rFonts w:ascii="Arial" w:cs="Arial" w:eastAsia="Arial" w:hAnsi="Arial"/>
                <w:sz w:val="14"/>
                <w:szCs w:val="14"/>
                <w:b w:val="1"/>
                <w:bCs w:val="1"/>
                <w:color w:val="auto"/>
                <w:w w:val="89"/>
              </w:rPr>
              <w:t>of Incorporation)</w:t>
            </w:r>
          </w:p>
        </w:tc>
        <w:tc>
          <w:tcPr>
            <w:tcW w:w="2420" w:type="dxa"/>
            <w:vAlign w:val="bottom"/>
          </w:tcPr>
          <w:p>
            <w:pPr>
              <w:jc w:val="center"/>
              <w:ind w:right="108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242"/>
              <w:spacing w:after="0"/>
              <w:rPr>
                <w:sz w:val="20"/>
                <w:szCs w:val="20"/>
                <w:color w:val="auto"/>
              </w:rPr>
            </w:pPr>
            <w:r>
              <w:rPr>
                <w:rFonts w:ascii="Arial" w:cs="Arial" w:eastAsia="Arial" w:hAnsi="Arial"/>
                <w:sz w:val="18"/>
                <w:szCs w:val="18"/>
                <w:b w:val="1"/>
                <w:bCs w:val="1"/>
                <w:color w:val="auto"/>
                <w:w w:val="88"/>
              </w:rPr>
              <w:t>1001 Fannin, Suite 4000</w:t>
            </w:r>
          </w:p>
        </w:tc>
        <w:tc>
          <w:tcPr>
            <w:tcW w:w="24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222"/>
              <w:spacing w:after="0"/>
              <w:rPr>
                <w:sz w:val="20"/>
                <w:szCs w:val="20"/>
                <w:color w:val="auto"/>
              </w:rPr>
            </w:pPr>
            <w:r>
              <w:rPr>
                <w:rFonts w:ascii="Arial" w:cs="Arial" w:eastAsia="Arial" w:hAnsi="Arial"/>
                <w:sz w:val="18"/>
                <w:szCs w:val="18"/>
                <w:b w:val="1"/>
                <w:bCs w:val="1"/>
                <w:color w:val="auto"/>
                <w:w w:val="85"/>
              </w:rPr>
              <w:t>Houston, Texas</w:t>
            </w:r>
          </w:p>
        </w:tc>
        <w:tc>
          <w:tcPr>
            <w:tcW w:w="242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080" w:type="dxa"/>
            <w:vAlign w:val="bottom"/>
          </w:tcPr>
          <w:p>
            <w:pPr>
              <w:jc w:val="center"/>
              <w:ind w:left="124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42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1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September 30, 2012,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30012751.</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to the non-GAAP measures contained and reconciled in the press release, management is also expected to discuss adjusted operating expenses, adjusted operating expenses as a percent of revenues, adjusted SG&amp;A expenses, and adjusted SG&amp;A expenses as a percent of revenues. Management believes these non-GAAP measures provide investors with useful information to evaluate the Company’s performance by excluding items that management believes are not representative of our performance or indicative of our results of operations. The reconciliation of these additional non-GAAP measures to the most directly comparable GAAP measures are shown below.</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2" w:name="page3"/>
    <w:bookmarkEnd w:id="2"/>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Certain Non-GAAP Measures</w:t>
      </w:r>
    </w:p>
    <w:p>
      <w:pPr>
        <w:spacing w:after="0" w:line="2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140"/>
              <w:spacing w:after="0"/>
              <w:rPr>
                <w:sz w:val="20"/>
                <w:szCs w:val="20"/>
                <w:color w:val="auto"/>
              </w:rPr>
            </w:pPr>
            <w:r>
              <w:rPr>
                <w:rFonts w:ascii="Arial" w:cs="Arial" w:eastAsia="Arial" w:hAnsi="Arial"/>
                <w:sz w:val="14"/>
                <w:szCs w:val="14"/>
                <w:b w:val="1"/>
                <w:bCs w:val="1"/>
                <w:color w:val="auto"/>
              </w:rPr>
              <w:t>Quarters Ended</w:t>
            </w:r>
          </w:p>
        </w:tc>
      </w:t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86"/>
              </w:rPr>
              <w:t>Adjusted Operating Expenses and Adjusted Operating Expenses as a Percent of Revenues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revenues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3,522</w:t>
            </w:r>
          </w:p>
        </w:tc>
        <w:tc>
          <w:tcPr>
            <w:tcW w:w="240" w:type="dxa"/>
            <w:vAlign w:val="bottom"/>
            <w:shd w:val="clear" w:color="auto" w:fill="CCEEFF"/>
          </w:tcPr>
          <w:p>
            <w:pPr>
              <w:spacing w:after="0"/>
              <w:rPr>
                <w:sz w:val="18"/>
                <w:szCs w:val="18"/>
                <w:color w:val="auto"/>
              </w:rPr>
            </w:pPr>
          </w:p>
        </w:tc>
      </w:tr>
      <w:tr>
        <w:trPr>
          <w:trHeight w:val="222"/>
        </w:trPr>
        <w:tc>
          <w:tcPr>
            <w:tcW w:w="6740" w:type="dxa"/>
            <w:vAlign w:val="bottom"/>
          </w:tcPr>
          <w:p>
            <w:pPr>
              <w:ind w:left="860"/>
              <w:spacing w:after="0"/>
              <w:rPr>
                <w:sz w:val="20"/>
                <w:szCs w:val="20"/>
                <w:color w:val="auto"/>
              </w:rPr>
            </w:pPr>
            <w:r>
              <w:rPr>
                <w:rFonts w:ascii="Arial" w:cs="Arial" w:eastAsia="Arial" w:hAnsi="Arial"/>
                <w:sz w:val="18"/>
                <w:szCs w:val="18"/>
                <w:color w:val="auto"/>
              </w:rPr>
              <w:t>Operating expenses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2,229</w:t>
            </w:r>
          </w:p>
        </w:tc>
        <w:tc>
          <w:tcPr>
            <w:tcW w:w="3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2,261</w:t>
            </w:r>
          </w:p>
        </w:tc>
        <w:tc>
          <w:tcPr>
            <w:tcW w:w="240" w:type="dxa"/>
            <w:vAlign w:val="bottom"/>
          </w:tcPr>
          <w:p>
            <w:pPr>
              <w:spacing w:after="0"/>
              <w:rPr>
                <w:sz w:val="19"/>
                <w:szCs w:val="19"/>
                <w:color w:val="auto"/>
              </w:rPr>
            </w:pPr>
          </w:p>
        </w:tc>
      </w:tr>
      <w:tr>
        <w:trPr>
          <w:trHeight w:val="102"/>
        </w:trPr>
        <w:tc>
          <w:tcPr>
            <w:tcW w:w="6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Adjustments to 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740" w:type="dxa"/>
            <w:vAlign w:val="bottom"/>
          </w:tcPr>
          <w:p>
            <w:pPr>
              <w:ind w:left="860"/>
              <w:spacing w:after="0"/>
              <w:rPr>
                <w:sz w:val="20"/>
                <w:szCs w:val="20"/>
                <w:color w:val="auto"/>
              </w:rPr>
            </w:pPr>
            <w:r>
              <w:rPr>
                <w:rFonts w:ascii="Arial" w:cs="Arial" w:eastAsia="Arial" w:hAnsi="Arial"/>
                <w:sz w:val="18"/>
                <w:szCs w:val="18"/>
                <w:color w:val="auto"/>
              </w:rPr>
              <w:t>Labor dispute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Closed site adjustments and changes in risk-free interest rate</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r>
      <w:tr>
        <w:trPr>
          <w:trHeight w:val="222"/>
        </w:trPr>
        <w:tc>
          <w:tcPr>
            <w:tcW w:w="6740" w:type="dxa"/>
            <w:vAlign w:val="bottom"/>
          </w:tcPr>
          <w:p>
            <w:pPr>
              <w:ind w:left="860"/>
              <w:spacing w:after="0"/>
              <w:rPr>
                <w:sz w:val="20"/>
                <w:szCs w:val="20"/>
                <w:color w:val="auto"/>
              </w:rPr>
            </w:pPr>
            <w:r>
              <w:rPr>
                <w:rFonts w:ascii="Arial" w:cs="Arial" w:eastAsia="Arial" w:hAnsi="Arial"/>
                <w:sz w:val="18"/>
                <w:szCs w:val="18"/>
                <w:color w:val="auto"/>
              </w:rPr>
              <w:t>Oakleaf related integration activities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r>
      <w:tr>
        <w:trPr>
          <w:trHeight w:val="102"/>
        </w:trPr>
        <w:tc>
          <w:tcPr>
            <w:tcW w:w="6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As adjusted Operating expenses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2,223</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2,249</w:t>
            </w:r>
          </w:p>
        </w:tc>
        <w:tc>
          <w:tcPr>
            <w:tcW w:w="240" w:type="dxa"/>
            <w:vAlign w:val="bottom"/>
            <w:shd w:val="clear" w:color="auto" w:fill="CCEEFF"/>
          </w:tcPr>
          <w:p>
            <w:pPr>
              <w:spacing w:after="0"/>
              <w:rPr>
                <w:sz w:val="18"/>
                <w:szCs w:val="18"/>
                <w:color w:val="auto"/>
              </w:rPr>
            </w:pPr>
          </w:p>
        </w:tc>
      </w:tr>
      <w:tr>
        <w:trPr>
          <w:trHeight w:val="322"/>
        </w:trPr>
        <w:tc>
          <w:tcPr>
            <w:tcW w:w="6740" w:type="dxa"/>
            <w:vAlign w:val="bottom"/>
          </w:tcPr>
          <w:p>
            <w:pPr>
              <w:ind w:left="440"/>
              <w:spacing w:after="0"/>
              <w:rPr>
                <w:sz w:val="20"/>
                <w:szCs w:val="20"/>
                <w:color w:val="auto"/>
              </w:rPr>
            </w:pPr>
            <w:r>
              <w:rPr>
                <w:rFonts w:ascii="Arial" w:cs="Arial" w:eastAsia="Arial" w:hAnsi="Arial"/>
                <w:sz w:val="18"/>
                <w:szCs w:val="18"/>
                <w:b w:val="1"/>
                <w:bCs w:val="1"/>
                <w:color w:val="auto"/>
              </w:rPr>
              <w:t>Adjusted Operating expenses as a percent of revenues (a)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63.9%</w:t>
            </w:r>
          </w:p>
        </w:tc>
      </w:tr>
      <w:tr>
        <w:trPr>
          <w:trHeight w:val="354"/>
        </w:trPr>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ind w:left="140"/>
              <w:spacing w:after="0"/>
              <w:rPr>
                <w:sz w:val="20"/>
                <w:szCs w:val="20"/>
                <w:color w:val="auto"/>
              </w:rPr>
            </w:pPr>
            <w:r>
              <w:rPr>
                <w:rFonts w:ascii="Arial" w:cs="Arial" w:eastAsia="Arial" w:hAnsi="Arial"/>
                <w:sz w:val="14"/>
                <w:szCs w:val="14"/>
                <w:b w:val="1"/>
                <w:bCs w:val="1"/>
                <w:color w:val="auto"/>
              </w:rPr>
              <w:t>Quarters Ended</w:t>
            </w:r>
          </w:p>
        </w:tc>
      </w:t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ind w:left="22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2"/>
                <w:szCs w:val="12"/>
                <w:color w:val="auto"/>
              </w:rPr>
            </w:pPr>
          </w:p>
        </w:tc>
      </w:tr>
      <w:tr>
        <w:trPr>
          <w:trHeight w:val="196"/>
        </w:trPr>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4"/>
              </w:rPr>
              <w:t>Adjusted SG&amp;A Expenses and Adjusted SG&amp;A Expenses as a Percent of Revenues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 revenues</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3,522</w:t>
            </w:r>
          </w:p>
        </w:tc>
        <w:tc>
          <w:tcPr>
            <w:tcW w:w="240" w:type="dxa"/>
            <w:vAlign w:val="bottom"/>
            <w:shd w:val="clear" w:color="auto" w:fill="CCEEFF"/>
          </w:tcPr>
          <w:p>
            <w:pPr>
              <w:spacing w:after="0"/>
              <w:rPr>
                <w:sz w:val="18"/>
                <w:szCs w:val="18"/>
                <w:color w:val="auto"/>
              </w:rPr>
            </w:pPr>
          </w:p>
        </w:tc>
      </w:tr>
      <w:tr>
        <w:trPr>
          <w:trHeight w:val="222"/>
        </w:trPr>
        <w:tc>
          <w:tcPr>
            <w:tcW w:w="6740" w:type="dxa"/>
            <w:vAlign w:val="bottom"/>
          </w:tcPr>
          <w:p>
            <w:pPr>
              <w:ind w:left="860"/>
              <w:spacing w:after="0"/>
              <w:rPr>
                <w:sz w:val="20"/>
                <w:szCs w:val="20"/>
                <w:color w:val="auto"/>
              </w:rPr>
            </w:pPr>
            <w:r>
              <w:rPr>
                <w:rFonts w:ascii="Arial" w:cs="Arial" w:eastAsia="Arial" w:hAnsi="Arial"/>
                <w:sz w:val="18"/>
                <w:szCs w:val="18"/>
                <w:color w:val="auto"/>
              </w:rPr>
              <w:t>SG&amp;A expenses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r>
      <w:tr>
        <w:trPr>
          <w:trHeight w:val="102"/>
        </w:trPr>
        <w:tc>
          <w:tcPr>
            <w:tcW w:w="6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 to SG&amp;A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22"/>
        </w:trPr>
        <w:tc>
          <w:tcPr>
            <w:tcW w:w="6740" w:type="dxa"/>
            <w:vAlign w:val="bottom"/>
          </w:tcPr>
          <w:p>
            <w:pPr>
              <w:ind w:left="860"/>
              <w:spacing w:after="0"/>
              <w:rPr>
                <w:sz w:val="20"/>
                <w:szCs w:val="20"/>
                <w:color w:val="auto"/>
              </w:rPr>
            </w:pPr>
            <w:r>
              <w:rPr>
                <w:rFonts w:ascii="Arial" w:cs="Arial" w:eastAsia="Arial" w:hAnsi="Arial"/>
                <w:sz w:val="18"/>
                <w:szCs w:val="18"/>
                <w:color w:val="auto"/>
              </w:rPr>
              <w:t>Oakleaf related integration costs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r>
      <w:tr>
        <w:trPr>
          <w:trHeight w:val="102"/>
        </w:trPr>
        <w:tc>
          <w:tcPr>
            <w:tcW w:w="6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As adjusted SG&amp;A expenses (b)</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w:t>
            </w:r>
          </w:p>
        </w:tc>
        <w:tc>
          <w:tcPr>
            <w:tcW w:w="240" w:type="dxa"/>
            <w:vAlign w:val="bottom"/>
            <w:shd w:val="clear" w:color="auto" w:fill="CCEEFF"/>
          </w:tcPr>
          <w:p>
            <w:pPr>
              <w:spacing w:after="0"/>
              <w:rPr>
                <w:sz w:val="18"/>
                <w:szCs w:val="18"/>
                <w:color w:val="auto"/>
              </w:rPr>
            </w:pPr>
          </w:p>
        </w:tc>
      </w:tr>
      <w:tr>
        <w:trPr>
          <w:trHeight w:val="322"/>
        </w:trPr>
        <w:tc>
          <w:tcPr>
            <w:tcW w:w="6740" w:type="dxa"/>
            <w:vAlign w:val="bottom"/>
          </w:tcPr>
          <w:p>
            <w:pPr>
              <w:ind w:left="440"/>
              <w:spacing w:after="0"/>
              <w:rPr>
                <w:sz w:val="20"/>
                <w:szCs w:val="20"/>
                <w:color w:val="auto"/>
              </w:rPr>
            </w:pPr>
            <w:r>
              <w:rPr>
                <w:rFonts w:ascii="Arial" w:cs="Arial" w:eastAsia="Arial" w:hAnsi="Arial"/>
                <w:sz w:val="18"/>
                <w:szCs w:val="18"/>
                <w:b w:val="1"/>
                <w:bCs w:val="1"/>
                <w:color w:val="auto"/>
              </w:rPr>
              <w:t>Adjusted SG&amp;A expenses as a percent of revenues (a), (c)</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52" w:hanging="452"/>
        <w:spacing w:after="0" w:line="305" w:lineRule="auto"/>
        <w:tabs>
          <w:tab w:leader="none" w:pos="452" w:val="left"/>
        </w:tabs>
        <w:numPr>
          <w:ilvl w:val="0"/>
          <w:numId w:val="2"/>
        </w:numPr>
        <w:rPr>
          <w:rFonts w:ascii="Arial" w:cs="Arial" w:eastAsia="Arial" w:hAnsi="Arial"/>
          <w:sz w:val="15"/>
          <w:szCs w:val="15"/>
          <w:b w:val="1"/>
          <w:bCs w:val="1"/>
          <w:color w:val="auto"/>
        </w:rPr>
      </w:pPr>
      <w:r>
        <w:rPr>
          <w:rFonts w:ascii="Arial" w:cs="Arial" w:eastAsia="Arial" w:hAnsi="Arial"/>
          <w:sz w:val="15"/>
          <w:szCs w:val="15"/>
          <w:color w:val="auto"/>
        </w:rPr>
        <w:t>Our financial results released at the conclusion of the third quarter of 2011 were adjusted to exclude the impact of our then recently acquired Oakleaf operations. However, for purposes of this year-over-year comparison, we have included the impact of the Oakleaf operations in the results of both quarters.</w:t>
      </w:r>
    </w:p>
    <w:p>
      <w:pPr>
        <w:ind w:left="452" w:hanging="452"/>
        <w:spacing w:after="0"/>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SG&amp;A expenses improved $48 million as compared with the third quarter of 2011.</w:t>
      </w:r>
    </w:p>
    <w:p>
      <w:pPr>
        <w:spacing w:after="0" w:line="9" w:lineRule="exact"/>
        <w:rPr>
          <w:rFonts w:ascii="Arial" w:cs="Arial" w:eastAsia="Arial" w:hAnsi="Arial"/>
          <w:sz w:val="18"/>
          <w:szCs w:val="18"/>
          <w:b w:val="1"/>
          <w:bCs w:val="1"/>
          <w:color w:val="auto"/>
        </w:rPr>
      </w:pPr>
    </w:p>
    <w:p>
      <w:pPr>
        <w:ind w:left="452" w:hanging="452"/>
        <w:spacing w:after="0"/>
        <w:tabs>
          <w:tab w:leader="none" w:pos="452"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SG&amp;A expenses as a percent of revenues improved 120 basis points as compared with the third quarter of 2011.</w:t>
      </w:r>
    </w:p>
    <w:p>
      <w:pPr>
        <w:spacing w:after="0" w:line="15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7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October 31, 2012</w:t>
      </w:r>
    </w:p>
    <w:p>
      <w:pPr>
        <w:spacing w:after="0" w:line="15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4" w:right="1440" w:bottom="1440" w:gutter="0" w:footer="0" w:header="0"/>
        </w:sectPr>
      </w:pPr>
    </w:p>
    <w:bookmarkStart w:id="4" w:name="page5"/>
    <w:bookmarkEnd w:id="4"/>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October 31, 2012</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240" w:top="274" w:right="5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5"/>
                <w:szCs w:val="15"/>
                <w:color w:val="auto"/>
              </w:rPr>
            </w:pPr>
          </w:p>
        </w:tc>
        <w:tc>
          <w:tcPr>
            <w:tcW w:w="9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09"/>
        </w:trPr>
        <w:tc>
          <w:tcPr>
            <w:tcW w:w="720" w:type="dxa"/>
            <w:vAlign w:val="bottom"/>
          </w:tcPr>
          <w:p>
            <w:pPr>
              <w:spacing w:after="0" w:line="202" w:lineRule="exact"/>
              <w:rPr>
                <w:sz w:val="20"/>
                <w:szCs w:val="20"/>
                <w:color w:val="auto"/>
              </w:rPr>
            </w:pPr>
            <w:r>
              <w:rPr>
                <w:rFonts w:ascii="Arial" w:cs="Arial" w:eastAsia="Arial" w:hAnsi="Arial"/>
                <w:sz w:val="18"/>
                <w:szCs w:val="18"/>
                <w:color w:val="auto"/>
              </w:rPr>
              <w:t>99.1</w:t>
            </w:r>
          </w:p>
        </w:tc>
        <w:tc>
          <w:tcPr>
            <w:tcW w:w="76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Press Release dated October 31, 2012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93"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FOR MORE INFORMATION</w:t>
      </w:r>
    </w:p>
    <w:p>
      <w:pPr>
        <w:spacing w:after="0" w:line="90"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Waste Management</w:t>
      </w:r>
    </w:p>
    <w:p>
      <w:pPr>
        <w:spacing w:after="0" w:line="90"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Website</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b w:val="1"/>
          <w:bCs w:val="1"/>
          <w:u w:val="single" w:color="auto"/>
          <w:color w:val="auto"/>
        </w:rPr>
        <w:t>www.wm.com</w:t>
      </w:r>
    </w:p>
    <w:p>
      <w:pPr>
        <w:spacing w:after="0" w:line="199"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u w:val="single" w:color="auto"/>
          <w:color w:val="auto"/>
        </w:rPr>
        <w:t>eegl@wm.com</w:t>
      </w:r>
    </w:p>
    <w:p>
      <w:pPr>
        <w:spacing w:after="0" w:line="199"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u w:val="single" w:color="auto"/>
          <w:color w:val="auto"/>
        </w:rPr>
        <w:t>lynnbrown@wm.com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Announces Third Quarter Earnings</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Company Sees Improving Trends Heading into 2013</w:t>
      </w:r>
    </w:p>
    <w:p>
      <w:pPr>
        <w:spacing w:after="0" w:line="16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HOUSTON – October 31, 2012 – </w:t>
      </w:r>
      <w:r>
        <w:rPr>
          <w:rFonts w:ascii="Arial" w:cs="Arial" w:eastAsia="Arial" w:hAnsi="Arial"/>
          <w:sz w:val="18"/>
          <w:szCs w:val="18"/>
          <w:color w:val="auto"/>
        </w:rPr>
        <w:t>Waste Management, Inc. (NYSE: WM) today announced financial results for its quarter ended September 30, 2012. Revenues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third quarter of 2012 were $3.46 billion compared with $3.52 billion for the same 2011 period. The Company was negatively impacted by a decline in recycling commodity prices, which decreased revenues by $176 million. Net income </w:t>
      </w:r>
      <w:r>
        <w:rPr>
          <w:rFonts w:ascii="Arial" w:cs="Arial" w:eastAsia="Arial" w:hAnsi="Arial"/>
          <w:sz w:val="11"/>
          <w:szCs w:val="11"/>
          <w:color w:val="auto"/>
        </w:rPr>
        <w:t>(a)</w:t>
      </w:r>
      <w:r>
        <w:rPr>
          <w:rFonts w:ascii="Arial" w:cs="Arial" w:eastAsia="Arial" w:hAnsi="Arial"/>
          <w:sz w:val="18"/>
          <w:szCs w:val="18"/>
          <w:color w:val="auto"/>
        </w:rPr>
        <w:t xml:space="preserve"> for the quarter was $214 million, or $0.46 per diluted share, compared with $272 million, or $0.58 per diluted share, for the third quarter of 2011.</w:t>
      </w:r>
    </w:p>
    <w:p>
      <w:pPr>
        <w:spacing w:after="0" w:line="1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income would have been $285 million, or $0.61 per diluted share, in the third quarter of 2012 compared with $295 million, or $0.63 per diluted share, in the third quarter of 2011</w:t>
      </w:r>
      <w:r>
        <w:rPr>
          <w:rFonts w:ascii="Arial" w:cs="Arial" w:eastAsia="Arial" w:hAnsi="Arial"/>
          <w:sz w:val="11"/>
          <w:szCs w:val="11"/>
          <w:color w:val="auto"/>
        </w:rPr>
        <w:t>(b)</w:t>
      </w:r>
      <w:r>
        <w:rPr>
          <w:rFonts w:ascii="Arial" w:cs="Arial" w:eastAsia="Arial" w:hAnsi="Arial"/>
          <w:sz w:val="18"/>
          <w:szCs w:val="18"/>
          <w:color w:val="auto"/>
        </w:rPr>
        <w:t>, if not for the following after-tax charges:</w:t>
      </w:r>
    </w:p>
    <w:p>
      <w:pPr>
        <w:spacing w:after="0" w:line="51"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$32 million, or $0.07 per diluted share, related to the previously announced organizational restructuring and a labor union dispute; and</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 million, or $0.08 per diluted share, from impairments of investments in unconsolidated entities and related assets.</w:t>
      </w:r>
    </w:p>
    <w:p>
      <w:pPr>
        <w:spacing w:after="0" w:line="171" w:lineRule="exact"/>
        <w:rPr>
          <w:sz w:val="20"/>
          <w:szCs w:val="20"/>
          <w:color w:val="auto"/>
        </w:rPr>
      </w:pPr>
    </w:p>
    <w:p>
      <w:pPr>
        <w:ind w:right="320"/>
        <w:spacing w:after="0" w:line="323" w:lineRule="auto"/>
        <w:rPr>
          <w:sz w:val="20"/>
          <w:szCs w:val="20"/>
          <w:color w:val="auto"/>
        </w:rPr>
      </w:pPr>
      <w:r>
        <w:rPr>
          <w:rFonts w:ascii="Arial" w:cs="Arial" w:eastAsia="Arial" w:hAnsi="Arial"/>
          <w:sz w:val="15"/>
          <w:szCs w:val="15"/>
          <w:color w:val="auto"/>
        </w:rPr>
        <w:t>David P. Steiner, President and Chief Executive Officer of Waste Management, commented, “The third quarter saw some good and improving trends. We saw improvement in both our internal revenue growth from collection and disposal yield and work-day adjusted volumes. Collection and disposal yield improved sequentially for the first time in six quarters, and we saw positive internal revenue growth from both yield and volume in our MSW, C&amp;D and special waste landfill operations. Our overall income from operations margin, as adjusted, improved by 30 basis points despite a significant decline in commodity prices.</w:t>
      </w:r>
      <w:r>
        <w:rPr>
          <w:rFonts w:ascii="Arial" w:cs="Arial" w:eastAsia="Arial" w:hAnsi="Arial"/>
          <w:sz w:val="10"/>
          <w:szCs w:val="10"/>
          <w:color w:val="auto"/>
        </w:rPr>
        <w:t>(b)</w:t>
      </w:r>
    </w:p>
    <w:p>
      <w:pPr>
        <w:spacing w:after="0" w:line="9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“Commodity price declines in our recycling and waste-to-energy operations led to a $0.10 year-over-year earnings per share negative impact in the third quarter. We anticipate another $0.04 per share of headwinds in the fourth quarter. So, the total headwinds for the second half of the year related to commodities are estimated to be $0.14 per diluted share, or $0.07 higher than we previously anticipated at the end of the second quarter. I am pleased that we were able to produce strong quarterly results in the face of these headwinds.”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2012</w:t>
      </w:r>
    </w:p>
    <w:p>
      <w:pPr>
        <w:spacing w:after="0" w:line="96" w:lineRule="exact"/>
        <w:rPr>
          <w:sz w:val="20"/>
          <w:szCs w:val="20"/>
          <w:color w:val="auto"/>
        </w:rPr>
      </w:pPr>
    </w:p>
    <w:p>
      <w:pPr>
        <w:ind w:left="900" w:right="16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from solid waste collection and disposal operations increased $115 million or 3.3%, excluding the impact of commodity prices. That revenue increase, however, was more than offset by a $176 million revenue decline from commodities prices, resulting in total revenue being down by 1.7%, or $61 million.</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Internal revenue growth from yield for collection and disposal operations was 0.8%. Adjusting for contract changes related to the Company’s South Florida waste-to-energy plants, internal revenue growth from yield for collection and disposal operations was 1.0%.</w:t>
      </w:r>
    </w:p>
    <w:p>
      <w:pPr>
        <w:sectPr>
          <w:pgSz w:w="11900" w:h="16838" w:orient="portrait"/>
          <w:cols w:equalWidth="0" w:num="1">
            <w:col w:w="11420"/>
          </w:cols>
          <w:pgMar w:left="240" w:top="125" w:right="239" w:bottom="1440" w:gutter="0" w:footer="0" w:header="0"/>
        </w:sectPr>
      </w:pPr>
    </w:p>
    <w:bookmarkStart w:id="7" w:name="page8"/>
    <w:bookmarkEnd w:id="7"/>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Core price increases, which consist of price increases and fees (other than the Company’s fuel surcharge), net of rollbacks, were 2.6%, consistent with the first half of 2012.</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Work-day adjusted volumes were positive 0.5% for the quarter. Non-work-day adjusted volumes were negative 0.1%. There was one less work day in the quarter.</w:t>
      </w:r>
    </w:p>
    <w:p>
      <w:pPr>
        <w:spacing w:after="0" w:line="50"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recycling commodity prices were approximately 40% lower in the third quarter of 2012 compared with the prior year period. Recycling operations had a negative $0.08 effect on the current year quarter diluted earnings per share compared with the same quarter last year.</w:t>
      </w:r>
    </w:p>
    <w:p>
      <w:pPr>
        <w:spacing w:after="0" w:line="4" w:lineRule="exact"/>
        <w:rPr>
          <w:rFonts w:ascii="Arial" w:cs="Arial" w:eastAsia="Arial" w:hAnsi="Arial"/>
          <w:sz w:val="16"/>
          <w:szCs w:val="16"/>
          <w:color w:val="auto"/>
        </w:rPr>
      </w:pPr>
    </w:p>
    <w:p>
      <w:pPr>
        <w:ind w:left="900" w:right="3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Electricity prices, which affect the Company’s waste-to-energy plants, averaged 12% lower in the quarter compared with the prior year period. Waste-to-energy operations had a negative $0.02 effect on the current year quarter diluted earnings per share compared with the same quarter last year.</w:t>
      </w:r>
    </w:p>
    <w:p>
      <w:pPr>
        <w:spacing w:after="0" w:line="59"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improved by $32 million. Higher expenses for third party haulers and maintenance were more than offset by reductions in commodity rebates and landfill operating costs.</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expenses decreased by $45 million compared with the third quarter of 2011 primarily from incentive compensation accrual reversals and reorganization savings. As a percent of revenue, SG&amp;A expenses improved 110 basis points to 9.7%.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cash provided by operating activities was $574 million; capital expenditures were $402 million; and free cash flow was $180 million.</w:t>
      </w:r>
      <w:r>
        <w:rPr>
          <w:rFonts w:ascii="Arial" w:cs="Arial" w:eastAsia="Arial" w:hAnsi="Arial"/>
          <w:sz w:val="10"/>
          <w:szCs w:val="10"/>
          <w:color w:val="auto"/>
        </w:rPr>
        <w:t>(c)</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returned $164 million to shareholders in the form of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effective tax rate was 36.1%, compared to 32.3% in the same quarter last year, which had a negative $0.01 effect on diluted earnings per share.</w:t>
      </w:r>
    </w:p>
    <w:p>
      <w:pPr>
        <w:spacing w:after="0" w:line="20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Steiner added, “Our 2012 full-year earnings guidance of $2.15 to $2.20 per share was based upon commodity prices causing a second half reduction in earnings of $0.07 per share. We now expect a second half reduction in earnings of $0.14 per share, which is $0.07 more than our previous prediction. The additional $0.07 impact from lower commodity prices would adjust our guidance to a range of $2.08 to $2.13 per diluted share. </w:t>
      </w:r>
      <w:r>
        <w:rPr>
          <w:rFonts w:ascii="Arial" w:cs="Arial" w:eastAsia="Arial" w:hAnsi="Arial"/>
          <w:sz w:val="10"/>
          <w:szCs w:val="10"/>
          <w:color w:val="auto"/>
        </w:rPr>
        <w:t>(b)</w:t>
      </w:r>
      <w:r>
        <w:rPr>
          <w:rFonts w:ascii="Arial" w:cs="Arial" w:eastAsia="Arial" w:hAnsi="Arial"/>
          <w:sz w:val="16"/>
          <w:szCs w:val="16"/>
          <w:color w:val="auto"/>
        </w:rPr>
        <w:t xml:space="preserve"> Our solid waste collection and disposal business continues to operate as expected, and we are seeing some favorable trends moving into 2013 on both pricing and SG&amp;A costs.</w:t>
      </w:r>
    </w:p>
    <w:p>
      <w:pPr>
        <w:spacing w:after="0" w:line="11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full year cash flow guidance of $1.1 to $1.2 billion has three parts: cash from operations, capital expenditures, and sales of assets. We are on track to meet or exceed the cash from operations and capital expenditure components of our 2012 free cash flow, which would generate between $800 million and $850 million of cash for the full year. As discussed after the second quarter, our full-year free cash flow range assumed the sale of selected assets. We are in the process of evaluating opportunities to sell these assets. If we decide not to sell these assets at this time, or we do not complete the sales before year end, it will reduce the proceeds from divestitures component of our free cash flow, but will not affect cash flow from operations.”</w:t>
      </w:r>
      <w:r>
        <w:rPr>
          <w:rFonts w:ascii="Arial" w:cs="Arial" w:eastAsia="Arial" w:hAnsi="Arial"/>
          <w:sz w:val="10"/>
          <w:szCs w:val="10"/>
          <w:color w:val="auto"/>
        </w:rPr>
        <w:t>(c)</w:t>
      </w:r>
    </w:p>
    <w:p>
      <w:pPr>
        <w:spacing w:after="0" w:line="1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Steiner concluded, “Recycling commodity prices and natural gas prices have stabilized recently, with recycling commodity prices actually up modestly in the last few weeks. Given our current outlook for relatively stable commodity prices for full-year 2013, we do not expect significant headwinds from commodity prices for the full year 2013. With our recent restructuring anticipated to reduce costs by $130 million in 2013, our other cost programs picking up steam, and our focus on pricing to improve yield over our 2012 results, we expect to see earnings and cash flows strengthen in 2013. We will give further guidance with respect to 2013 when we release our fourth quarter 2012 results.”</w:t>
      </w:r>
    </w:p>
    <w:p>
      <w:pPr>
        <w:sectPr>
          <w:pgSz w:w="11900" w:h="16838" w:orient="portrait"/>
          <w:cols w:equalWidth="0" w:num="1">
            <w:col w:w="11400"/>
          </w:cols>
          <w:pgMar w:left="240" w:top="280" w:right="259" w:bottom="1440" w:gutter="0" w:footer="0" w:header="0"/>
        </w:sectPr>
      </w:pPr>
    </w:p>
    <w:bookmarkStart w:id="8" w:name="page9"/>
    <w:bookmarkEnd w:id="8"/>
    <w:p>
      <w:pPr>
        <w:ind w:left="452" w:right="120" w:hanging="452"/>
        <w:spacing w:after="0" w:line="254" w:lineRule="auto"/>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t>For purposes of this press release, all references to “Net income” refer to the financial statement line item “Net income attributable to Waste Management, Inc.”</w:t>
      </w:r>
    </w:p>
    <w:p>
      <w:pPr>
        <w:ind w:left="452" w:right="180" w:hanging="452"/>
        <w:spacing w:after="0" w:line="281" w:lineRule="auto"/>
        <w:tabs>
          <w:tab w:leader="none" w:pos="45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spacing w:after="0" w:line="1" w:lineRule="exact"/>
        <w:rPr>
          <w:rFonts w:ascii="Arial" w:cs="Arial" w:eastAsia="Arial" w:hAnsi="Arial"/>
          <w:sz w:val="16"/>
          <w:szCs w:val="16"/>
          <w:color w:val="auto"/>
        </w:rPr>
      </w:pPr>
    </w:p>
    <w:p>
      <w:pPr>
        <w:ind w:left="452" w:right="120"/>
        <w:spacing w:after="0" w:line="253"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net income, earnings per diluted share and income from operations margin have been presented in certain instances excluding special items noted in this press release. The quantitative reconciliation of these non-GAAP measures to the most comparable GAAP measures is included in the accompanying schedules.</w:t>
      </w:r>
    </w:p>
    <w:p>
      <w:pPr>
        <w:spacing w:after="0" w:line="64" w:lineRule="exact"/>
        <w:rPr>
          <w:sz w:val="20"/>
          <w:szCs w:val="20"/>
          <w:color w:val="auto"/>
        </w:rPr>
      </w:pPr>
    </w:p>
    <w:p>
      <w:pPr>
        <w:ind w:left="452" w:right="140"/>
        <w:spacing w:after="0" w:line="283" w:lineRule="auto"/>
        <w:rPr>
          <w:sz w:val="20"/>
          <w:szCs w:val="20"/>
          <w:color w:val="auto"/>
        </w:rPr>
      </w:pPr>
      <w:r>
        <w:rPr>
          <w:rFonts w:ascii="Arial" w:cs="Arial" w:eastAsia="Arial" w:hAnsi="Arial"/>
          <w:sz w:val="16"/>
          <w:szCs w:val="16"/>
          <w:color w:val="auto"/>
        </w:rPr>
        <w:t>The Company’s projected full year 2012 earnings per diluted share are not GAAP net earnings per diluted share and are anticipated to be adjusted to exclude the effects of events or circumstances in 2012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1" w:lineRule="exact"/>
        <w:rPr>
          <w:sz w:val="20"/>
          <w:szCs w:val="20"/>
          <w:color w:val="auto"/>
        </w:rPr>
      </w:pPr>
    </w:p>
    <w:p>
      <w:pPr>
        <w:ind w:left="452" w:hanging="452"/>
        <w:spacing w:after="0" w:line="290" w:lineRule="auto"/>
        <w:tabs>
          <w:tab w:leader="none" w:pos="4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also discusses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Nonetheless,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37" w:lineRule="exact"/>
        <w:rPr>
          <w:rFonts w:ascii="Arial" w:cs="Arial" w:eastAsia="Arial" w:hAnsi="Arial"/>
          <w:sz w:val="16"/>
          <w:szCs w:val="16"/>
          <w:color w:val="auto"/>
        </w:rPr>
      </w:pPr>
    </w:p>
    <w:p>
      <w:pPr>
        <w:ind w:left="892" w:hanging="325"/>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90" w:lineRule="exact"/>
        <w:rPr>
          <w:rFonts w:ascii="Arial" w:cs="Arial" w:eastAsia="Arial" w:hAnsi="Arial"/>
          <w:sz w:val="18"/>
          <w:szCs w:val="18"/>
          <w:color w:val="auto"/>
        </w:rPr>
      </w:pPr>
    </w:p>
    <w:p>
      <w:pPr>
        <w:ind w:left="892" w:hanging="325"/>
        <w:spacing w:after="0"/>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90" w:lineRule="exact"/>
        <w:rPr>
          <w:sz w:val="20"/>
          <w:szCs w:val="20"/>
          <w:color w:val="auto"/>
        </w:rPr>
      </w:pPr>
    </w:p>
    <w:p>
      <w:pPr>
        <w:ind w:left="452" w:right="100"/>
        <w:spacing w:after="0" w:line="298" w:lineRule="auto"/>
        <w:rPr>
          <w:sz w:val="20"/>
          <w:szCs w:val="20"/>
          <w:color w:val="auto"/>
        </w:rPr>
      </w:pPr>
      <w:r>
        <w:rPr>
          <w:rFonts w:ascii="Arial" w:cs="Arial" w:eastAsia="Arial" w:hAnsi="Arial"/>
          <w:sz w:val="16"/>
          <w:szCs w:val="16"/>
          <w:color w:val="auto"/>
        </w:rPr>
        <w:t>The Company’s definition of free cash flow may not be comparable to similarly titled measures presented by other companies, and therefore is not subject to comparison. The quantitative reconciliation of free cash flow for the quarter to the most comparable GAAP measure is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32" w:lineRule="exact"/>
        <w:rPr>
          <w:sz w:val="20"/>
          <w:szCs w:val="20"/>
          <w:color w:val="auto"/>
        </w:rPr>
      </w:pPr>
    </w:p>
    <w:p>
      <w:pPr>
        <w:ind w:left="452" w:right="40"/>
        <w:spacing w:after="0" w:line="259" w:lineRule="auto"/>
        <w:rPr>
          <w:sz w:val="20"/>
          <w:szCs w:val="20"/>
          <w:color w:val="auto"/>
        </w:rPr>
      </w:pPr>
      <w:r>
        <w:rPr>
          <w:rFonts w:ascii="Arial" w:cs="Arial" w:eastAsia="Arial" w:hAnsi="Arial"/>
          <w:sz w:val="18"/>
          <w:szCs w:val="18"/>
          <w:color w:val="auto"/>
        </w:rPr>
        <w:t>After the second quarter, the Company provided the following reconciliation that presents two scenarios that illustrate projected free cash flow for 2012. The amounts used in this reconciliation are subject to many variables, some of which are not under our control and, therefore, are not necessarily indicative of results.</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(Dollars in millions)</w:t>
      </w:r>
    </w:p>
    <w:p>
      <w:pPr>
        <w:spacing w:after="0" w:line="302"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640" w:type="dxa"/>
            <w:vAlign w:val="bottom"/>
            <w:gridSpan w:val="4"/>
          </w:tcPr>
          <w:p>
            <w:pPr>
              <w:ind w:left="1680"/>
              <w:spacing w:after="0"/>
              <w:rPr>
                <w:sz w:val="20"/>
                <w:szCs w:val="20"/>
                <w:color w:val="auto"/>
              </w:rPr>
            </w:pPr>
            <w:r>
              <w:rPr>
                <w:rFonts w:ascii="Arial" w:cs="Arial" w:eastAsia="Arial" w:hAnsi="Arial"/>
                <w:sz w:val="14"/>
                <w:szCs w:val="14"/>
                <w:color w:val="auto"/>
              </w:rPr>
              <w:t>Scenario 1</w:t>
            </w:r>
          </w:p>
        </w:tc>
        <w:tc>
          <w:tcPr>
            <w:tcW w:w="1000" w:type="dxa"/>
            <w:vAlign w:val="bottom"/>
            <w:gridSpan w:val="4"/>
          </w:tcPr>
          <w:p>
            <w:pPr>
              <w:ind w:left="300"/>
              <w:spacing w:after="0"/>
              <w:rPr>
                <w:sz w:val="20"/>
                <w:szCs w:val="20"/>
                <w:color w:val="auto"/>
              </w:rPr>
            </w:pPr>
            <w:r>
              <w:rPr>
                <w:rFonts w:ascii="Arial" w:cs="Arial" w:eastAsia="Arial" w:hAnsi="Arial"/>
                <w:sz w:val="14"/>
                <w:szCs w:val="14"/>
                <w:color w:val="auto"/>
              </w:rPr>
              <w:t>Scenario 2</w:t>
            </w: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Capital expenditures</w:t>
            </w:r>
          </w:p>
        </w:tc>
        <w:tc>
          <w:tcPr>
            <w:tcW w:w="2640" w:type="dxa"/>
            <w:vAlign w:val="bottom"/>
            <w:gridSpan w:val="4"/>
          </w:tcPr>
          <w:p>
            <w:pPr>
              <w:jc w:val="right"/>
              <w:ind w:right="280"/>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(1,600)</w:t>
            </w:r>
          </w:p>
        </w:tc>
      </w:tr>
      <w:tr>
        <w:trPr>
          <w:trHeight w:val="216"/>
        </w:trPr>
        <w:tc>
          <w:tcPr>
            <w:tcW w:w="50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r>
      <w:tr>
        <w:trPr>
          <w:trHeight w:val="202"/>
        </w:trPr>
        <w:tc>
          <w:tcPr>
            <w:tcW w:w="5040" w:type="dxa"/>
            <w:vAlign w:val="bottom"/>
          </w:tcPr>
          <w:p>
            <w:pPr>
              <w:spacing w:after="0" w:line="201" w:lineRule="exact"/>
              <w:rPr>
                <w:sz w:val="20"/>
                <w:szCs w:val="20"/>
                <w:color w:val="auto"/>
              </w:rPr>
            </w:pPr>
            <w:r>
              <w:rPr>
                <w:rFonts w:ascii="Arial" w:cs="Arial" w:eastAsia="Arial" w:hAnsi="Arial"/>
                <w:sz w:val="18"/>
                <w:szCs w:val="18"/>
                <w:color w:val="auto"/>
              </w:rPr>
              <w:t>Proceeds from divestitures of businesses (net of</w:t>
            </w: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7"/>
        </w:trPr>
        <w:tc>
          <w:tcPr>
            <w:tcW w:w="5040" w:type="dxa"/>
            <w:vAlign w:val="bottom"/>
          </w:tcPr>
          <w:p>
            <w:pPr>
              <w:ind w:left="220"/>
              <w:spacing w:after="0"/>
              <w:rPr>
                <w:sz w:val="20"/>
                <w:szCs w:val="20"/>
                <w:color w:val="auto"/>
              </w:rPr>
            </w:pPr>
            <w:r>
              <w:rPr>
                <w:rFonts w:ascii="Arial" w:cs="Arial" w:eastAsia="Arial" w:hAnsi="Arial"/>
                <w:sz w:val="18"/>
                <w:szCs w:val="18"/>
                <w:color w:val="auto"/>
              </w:rPr>
              <w:t xml:space="preserve">cash divested) and other sales of assets </w:t>
            </w:r>
            <w:r>
              <w:rPr>
                <w:rFonts w:ascii="Arial" w:cs="Arial" w:eastAsia="Arial" w:hAnsi="Arial"/>
                <w:sz w:val="18"/>
                <w:szCs w:val="18"/>
                <w:b w:val="1"/>
                <w:bCs w:val="1"/>
                <w:color w:val="auto"/>
              </w:rPr>
              <w:t>(*)</w:t>
            </w:r>
          </w:p>
        </w:tc>
        <w:tc>
          <w:tcPr>
            <w:tcW w:w="1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r>
      <w:tr>
        <w:trPr>
          <w:trHeight w:val="216"/>
        </w:trPr>
        <w:tc>
          <w:tcPr>
            <w:tcW w:w="50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52" w:right="360" w:hanging="452"/>
        <w:spacing w:after="0" w:line="332" w:lineRule="auto"/>
        <w:tabs>
          <w:tab w:leader="none" w:pos="452"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As discussed in this press release, these projected free cash flow scenarios assume the sale of selected assets. If we decide not to sell these assets at this time, or we do not complete the sales before year end, it will reduce the proceeds from divestitures component of our free cash flow.</w:t>
      </w:r>
    </w:p>
    <w:p>
      <w:pPr>
        <w:sectPr>
          <w:pgSz w:w="11900" w:h="16838" w:orient="portrait"/>
          <w:cols w:equalWidth="0" w:num="1">
            <w:col w:w="11412"/>
          </w:cols>
          <w:pgMar w:left="248" w:top="428" w:right="239" w:bottom="1440" w:gutter="0" w:footer="0" w:header="0"/>
        </w:sectPr>
      </w:pPr>
    </w:p>
    <w:bookmarkStart w:id="9" w:name="page10"/>
    <w:bookmarkEnd w:id="9"/>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third quarter 2012 results. Information contained within this press release will be referenced and should be considered in conjunction with the call.</w:t>
      </w:r>
    </w:p>
    <w:p>
      <w:pPr>
        <w:spacing w:after="0" w:line="132"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 xml:space="preserve">The conference call will be webcast live from the Investor Relations section of Waste Management’s website </w:t>
      </w:r>
      <w:r>
        <w:rPr>
          <w:rFonts w:ascii="Arial" w:cs="Arial" w:eastAsia="Arial" w:hAnsi="Arial"/>
          <w:sz w:val="16"/>
          <w:szCs w:val="16"/>
          <w:u w:val="single" w:color="auto"/>
          <w:color w:val="auto"/>
        </w:rPr>
        <w:t>www.wm.com</w:t>
      </w:r>
      <w:r>
        <w:rPr>
          <w:rFonts w:ascii="Arial" w:cs="Arial" w:eastAsia="Arial" w:hAnsi="Arial"/>
          <w:sz w:val="16"/>
          <w:szCs w:val="16"/>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30012751 when prompted by the conference call operator.</w:t>
      </w:r>
    </w:p>
    <w:p>
      <w:pPr>
        <w:spacing w:after="0" w:line="10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A replay of the conference call will be available on the Company’s website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and by telephone from approximately 1:00 PM (Eastern) Wednesday, October 31, 2012 through 5:00 PM (Eastern) on Wednesday, November 14, 2012. To access the replay telephonically, please dial (855) 859-2056, or from outside of the United States or Canada dial (404) 537-3406, and use the replay conference ID number 30012751.</w:t>
      </w:r>
    </w:p>
    <w:p>
      <w:pPr>
        <w:spacing w:after="0" w:line="10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2012 earnings per diluted share; 2012 free cash flow and its individual components; 2013 earnings and free cash flow; 2013 restructuring cost savings, and statements regarding the results from recycling and waste-to-energy operations and related commodity prices; results for core solid waste operations; sales of non-core assets; results from pricing initiatives; overall results of operations and business prospects; and general market and industry conditions.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commodity price fluctuations; increased competition; pricing actions; failure to implement our optimization and growth initiatives and overall business strategy; failure to successfully implement our restructuring actions and/or failure of those actions to achieve the goals and cost savings intended; business disruption and employee distraction resulting from our restructuring; changes in our organizational structure and workforce and resulting restructuring or impairment charges; environmental and other regulations;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380"/>
          </w:cols>
          <w:pgMar w:left="240" w:top="280"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8"/>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214</w:t>
            </w: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464.9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0.355</w:t>
            </w:r>
          </w:p>
        </w:tc>
        <w:tc>
          <w:tcPr>
            <w:tcW w:w="4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560" w:type="dxa"/>
            <w:vAlign w:val="bottom"/>
            <w:vMerge w:val="restart"/>
          </w:tcPr>
          <w:p>
            <w:pPr>
              <w:jc w:val="right"/>
              <w:ind w:right="3252"/>
              <w:spacing w:after="0"/>
              <w:rPr>
                <w:sz w:val="20"/>
                <w:szCs w:val="20"/>
                <w:color w:val="auto"/>
              </w:rPr>
            </w:pPr>
            <w:r>
              <w:rPr>
                <w:rFonts w:ascii="Arial" w:cs="Arial" w:eastAsia="Arial" w:hAnsi="Arial"/>
                <w:sz w:val="18"/>
                <w:szCs w:val="18"/>
                <w:color w:val="auto"/>
                <w:w w:val="90"/>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60"/>
              <w:spacing w:after="0"/>
              <w:rPr>
                <w:sz w:val="20"/>
                <w:szCs w:val="20"/>
                <w:color w:val="auto"/>
              </w:rPr>
            </w:pPr>
            <w:r>
              <w:rPr>
                <w:rFonts w:ascii="Arial" w:cs="Arial" w:eastAsia="Arial" w:hAnsi="Arial"/>
                <w:sz w:val="14"/>
                <w:szCs w:val="14"/>
                <w:b w:val="1"/>
                <w:bCs w:val="1"/>
                <w:color w:val="auto"/>
              </w:rPr>
              <w:t>Quarters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2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jc w:val="right"/>
              <w:ind w:right="3212"/>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88"/>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5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8,848</w:t>
            </w: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625</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 Net income attributable to noncontrolling interests</w:t>
            </w:r>
          </w:p>
        </w:tc>
        <w:tc>
          <w:tcPr>
            <w:tcW w:w="3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58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5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464.2</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340" w:type="dxa"/>
            <w:vAlign w:val="bottom"/>
            <w:vMerge w:val="restart"/>
          </w:tcPr>
          <w:p>
            <w:pPr>
              <w:jc w:val="right"/>
              <w:ind w:right="3032"/>
              <w:spacing w:after="0"/>
              <w:rPr>
                <w:sz w:val="20"/>
                <w:szCs w:val="20"/>
                <w:color w:val="auto"/>
              </w:rPr>
            </w:pPr>
            <w:r>
              <w:rPr>
                <w:rFonts w:ascii="Arial" w:cs="Arial" w:eastAsia="Arial" w:hAnsi="Arial"/>
                <w:sz w:val="18"/>
                <w:szCs w:val="18"/>
                <w:color w:val="auto"/>
                <w:w w:val="90"/>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6"/>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82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593</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9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9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1.28</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jc w:val="right"/>
              <w:ind w:right="1912"/>
              <w:spacing w:after="0"/>
              <w:rPr>
                <w:sz w:val="20"/>
                <w:szCs w:val="20"/>
                <w:color w:val="auto"/>
              </w:rPr>
            </w:pPr>
            <w:r>
              <w:rPr>
                <w:rFonts w:ascii="Arial" w:cs="Arial" w:eastAsia="Arial" w:hAnsi="Arial"/>
                <w:sz w:val="18"/>
                <w:szCs w:val="18"/>
                <w:color w:val="auto"/>
              </w:rPr>
              <w:t>(4)</w:t>
            </w: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2,659</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6,259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3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120" w:type="dxa"/>
            <w:vAlign w:val="bottom"/>
            <w:gridSpan w:val="2"/>
          </w:tcPr>
          <w:p>
            <w:pPr>
              <w:ind w:left="3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2,361</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3,187</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16,461</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3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3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3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tcPr>
          <w:p>
            <w:pPr>
              <w:ind w:left="860"/>
              <w:spacing w:after="0"/>
              <w:rPr>
                <w:sz w:val="20"/>
                <w:szCs w:val="20"/>
                <w:color w:val="auto"/>
              </w:rPr>
            </w:pPr>
            <w:r>
              <w:rPr>
                <w:rFonts w:ascii="Arial" w:cs="Arial" w:eastAsia="Arial" w:hAnsi="Arial"/>
                <w:sz w:val="18"/>
                <w:szCs w:val="18"/>
                <w:color w:val="auto"/>
              </w:rPr>
              <w:t>Total liabilities and equity</w:t>
            </w:r>
          </w:p>
        </w:tc>
        <w:tc>
          <w:tcPr>
            <w:tcW w:w="4120" w:type="dxa"/>
            <w:vAlign w:val="bottom"/>
            <w:gridSpan w:val="2"/>
          </w:tcPr>
          <w:p>
            <w:pPr>
              <w:ind w:left="39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23,073</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940" w:type="dxa"/>
            <w:vAlign w:val="bottom"/>
            <w:vMerge w:val="restart"/>
          </w:tcPr>
          <w:p>
            <w:pPr>
              <w:ind w:left="480"/>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7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c>
          <w:tcPr>
            <w:tcW w:w="74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0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(1,361)</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Common stock repurchases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420"/>
              <w:spacing w:after="0"/>
              <w:rPr>
                <w:sz w:val="20"/>
                <w:szCs w:val="20"/>
                <w:color w:val="auto"/>
              </w:rPr>
            </w:pPr>
            <w:r>
              <w:rPr>
                <w:rFonts w:ascii="Arial" w:cs="Arial" w:eastAsia="Arial" w:hAnsi="Arial"/>
                <w:sz w:val="18"/>
                <w:szCs w:val="18"/>
                <w:color w:val="auto"/>
              </w:rPr>
              <w:t>Exercise of common stock options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74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562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8"/>
          </w:tcPr>
          <w:p>
            <w:pPr>
              <w:jc w:val="center"/>
              <w:ind w:right="312"/>
              <w:spacing w:after="0"/>
              <w:rPr>
                <w:sz w:val="20"/>
                <w:szCs w:val="20"/>
                <w:color w:val="auto"/>
              </w:rPr>
            </w:pPr>
            <w:r>
              <w:rPr>
                <w:rFonts w:ascii="Arial" w:cs="Arial" w:eastAsia="Arial" w:hAnsi="Arial"/>
                <w:sz w:val="14"/>
                <w:szCs w:val="14"/>
                <w:b w:val="1"/>
                <w:bCs w:val="1"/>
                <w:color w:val="auto"/>
                <w:w w:val="89"/>
              </w:rPr>
              <w:t>Quarters Ended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June 30,</w:t>
            </w:r>
          </w:p>
        </w:tc>
        <w:tc>
          <w:tcPr>
            <w:tcW w:w="34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Operating Revenues by Lines of Business</w:t>
            </w:r>
          </w:p>
        </w:tc>
        <w:tc>
          <w:tcPr>
            <w:tcW w:w="2300" w:type="dxa"/>
            <w:vAlign w:val="bottom"/>
            <w:tcBorders>
              <w:bottom w:val="single" w:sz="8" w:color="CCEEFF"/>
            </w:tcBorders>
            <w:gridSpan w:val="2"/>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Collection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Commercial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851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860"/>
              <w:spacing w:after="0"/>
              <w:rPr>
                <w:sz w:val="20"/>
                <w:szCs w:val="20"/>
                <w:color w:val="auto"/>
              </w:rPr>
            </w:pPr>
            <w:r>
              <w:rPr>
                <w:rFonts w:ascii="Arial" w:cs="Arial" w:eastAsia="Arial" w:hAnsi="Arial"/>
                <w:sz w:val="18"/>
                <w:szCs w:val="18"/>
                <w:color w:val="auto"/>
              </w:rPr>
              <w:t>Residential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Collection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Wheelabrator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Recycling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316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ind w:left="38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4"/>
            <w:vMerge w:val="restart"/>
          </w:tcPr>
          <w:p>
            <w:pPr>
              <w:ind w:left="860"/>
              <w:spacing w:after="0"/>
              <w:rPr>
                <w:sz w:val="20"/>
                <w:szCs w:val="20"/>
                <w:color w:val="auto"/>
              </w:rPr>
            </w:pPr>
            <w:r>
              <w:rPr>
                <w:rFonts w:ascii="Arial" w:cs="Arial" w:eastAsia="Arial" w:hAnsi="Arial"/>
                <w:sz w:val="18"/>
                <w:szCs w:val="18"/>
                <w:color w:val="auto"/>
              </w:rPr>
              <w:t>Operating revenues</w:t>
            </w: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w w:val="87"/>
              </w:rPr>
              <w:t>Quarters Ended</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80" w:type="dxa"/>
            <w:vAlign w:val="bottom"/>
            <w:gridSpan w:val="4"/>
          </w:tcPr>
          <w:p>
            <w:pPr>
              <w:jc w:val="right"/>
              <w:ind w:right="672"/>
              <w:spacing w:after="0" w:line="142" w:lineRule="exact"/>
              <w:rPr>
                <w:sz w:val="20"/>
                <w:szCs w:val="20"/>
                <w:color w:val="auto"/>
              </w:rPr>
            </w:pPr>
            <w:r>
              <w:rPr>
                <w:rFonts w:ascii="Arial" w:cs="Arial" w:eastAsia="Arial" w:hAnsi="Arial"/>
                <w:sz w:val="14"/>
                <w:szCs w:val="14"/>
                <w:b w:val="1"/>
                <w:bCs w:val="1"/>
                <w:color w:val="auto"/>
                <w:w w:val="85"/>
              </w:rPr>
              <w:t>September 30, 2012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7"/>
          </w:tcPr>
          <w:p>
            <w:pPr>
              <w:jc w:val="center"/>
              <w:ind w:right="172"/>
              <w:spacing w:after="0" w:line="142" w:lineRule="exact"/>
              <w:rPr>
                <w:sz w:val="20"/>
                <w:szCs w:val="20"/>
                <w:color w:val="auto"/>
              </w:rPr>
            </w:pPr>
            <w:r>
              <w:rPr>
                <w:rFonts w:ascii="Arial" w:cs="Arial" w:eastAsia="Arial" w:hAnsi="Arial"/>
                <w:sz w:val="14"/>
                <w:szCs w:val="14"/>
                <w:b w:val="1"/>
                <w:bCs w:val="1"/>
                <w:color w:val="auto"/>
                <w:w w:val="85"/>
              </w:rPr>
              <w:t>September 30, 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As a %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13"/>
              <w:spacing w:after="0" w:line="131" w:lineRule="exact"/>
              <w:rPr>
                <w:sz w:val="20"/>
                <w:szCs w:val="20"/>
                <w:color w:val="auto"/>
              </w:rPr>
            </w:pPr>
            <w:r>
              <w:rPr>
                <w:rFonts w:ascii="Arial" w:cs="Arial" w:eastAsia="Arial" w:hAnsi="Arial"/>
                <w:sz w:val="14"/>
                <w:szCs w:val="14"/>
                <w:color w:val="auto"/>
                <w:w w:val="90"/>
              </w:rPr>
              <w:t>As a %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4"/>
          </w:tcPr>
          <w:p>
            <w:pPr>
              <w:jc w:val="center"/>
              <w:ind w:right="60"/>
              <w:spacing w:after="0" w:line="159" w:lineRule="exact"/>
              <w:rPr>
                <w:sz w:val="20"/>
                <w:szCs w:val="20"/>
                <w:color w:val="auto"/>
              </w:rPr>
            </w:pPr>
            <w:r>
              <w:rPr>
                <w:rFonts w:ascii="Arial" w:cs="Arial" w:eastAsia="Arial" w:hAnsi="Arial"/>
                <w:sz w:val="14"/>
                <w:szCs w:val="14"/>
                <w:color w:val="auto"/>
                <w:w w:val="91"/>
              </w:rPr>
              <w:t>Amount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92"/>
              <w:spacing w:after="0" w:line="159" w:lineRule="exact"/>
              <w:rPr>
                <w:sz w:val="20"/>
                <w:szCs w:val="20"/>
                <w:color w:val="auto"/>
              </w:rPr>
            </w:pPr>
            <w:r>
              <w:rPr>
                <w:rFonts w:ascii="Arial" w:cs="Arial" w:eastAsia="Arial" w:hAnsi="Arial"/>
                <w:sz w:val="14"/>
                <w:szCs w:val="14"/>
                <w:color w:val="auto"/>
                <w:w w:val="90"/>
              </w:rPr>
              <w:t>Total Company</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5"/>
          </w:tcPr>
          <w:p>
            <w:pPr>
              <w:jc w:val="center"/>
              <w:ind w:right="112"/>
              <w:spacing w:after="0" w:line="159"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center"/>
              <w:ind w:right="300"/>
              <w:spacing w:after="0" w:line="159" w:lineRule="exact"/>
              <w:rPr>
                <w:sz w:val="20"/>
                <w:szCs w:val="20"/>
                <w:color w:val="auto"/>
              </w:rPr>
            </w:pPr>
            <w:r>
              <w:rPr>
                <w:rFonts w:ascii="Arial" w:cs="Arial" w:eastAsia="Arial" w:hAnsi="Arial"/>
                <w:sz w:val="14"/>
                <w:szCs w:val="14"/>
                <w:color w:val="auto"/>
                <w:w w:val="90"/>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6"/>
              </w:rPr>
              <w:t>Analysis of Change in Year Over Year Revenues</w:t>
            </w:r>
          </w:p>
        </w:tc>
        <w:tc>
          <w:tcPr>
            <w:tcW w:w="17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Volume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4"/>
            <w:vMerge w:val="restart"/>
          </w:tcPr>
          <w:p>
            <w:pPr>
              <w:ind w:left="420"/>
              <w:spacing w:after="0"/>
              <w:rPr>
                <w:sz w:val="20"/>
                <w:szCs w:val="20"/>
                <w:color w:val="auto"/>
              </w:rPr>
            </w:pPr>
            <w:r>
              <w:rPr>
                <w:rFonts w:ascii="Arial" w:cs="Arial" w:eastAsia="Arial" w:hAnsi="Arial"/>
                <w:sz w:val="18"/>
                <w:szCs w:val="18"/>
                <w:color w:val="auto"/>
              </w:rPr>
              <w:t>Internal revenue growth</w:t>
            </w: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4"/>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Acquisition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Divestitures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287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192"/>
              <w:spacing w:after="0"/>
              <w:rPr>
                <w:sz w:val="20"/>
                <w:szCs w:val="20"/>
                <w:color w:val="auto"/>
              </w:rPr>
            </w:pPr>
            <w:r>
              <w:rPr>
                <w:rFonts w:ascii="Arial" w:cs="Arial" w:eastAsia="Arial" w:hAnsi="Arial"/>
                <w:sz w:val="14"/>
                <w:szCs w:val="14"/>
                <w:color w:val="auto"/>
                <w:w w:val="90"/>
              </w:rPr>
              <w:t>As a % of</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5"/>
          </w:tcPr>
          <w:p>
            <w:pPr>
              <w:jc w:val="center"/>
              <w:ind w:right="300"/>
              <w:spacing w:after="0"/>
              <w:rPr>
                <w:sz w:val="20"/>
                <w:szCs w:val="20"/>
                <w:color w:val="auto"/>
              </w:rPr>
            </w:pPr>
            <w:r>
              <w:rPr>
                <w:rFonts w:ascii="Arial" w:cs="Arial" w:eastAsia="Arial" w:hAnsi="Arial"/>
                <w:sz w:val="14"/>
                <w:szCs w:val="14"/>
                <w:color w:val="auto"/>
                <w:w w:val="90"/>
              </w:rPr>
              <w:t>As a % of</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4"/>
          </w:tcPr>
          <w:p>
            <w:pPr>
              <w:jc w:val="center"/>
              <w:ind w:right="60"/>
              <w:spacing w:after="0" w:line="159" w:lineRule="exact"/>
              <w:rPr>
                <w:sz w:val="20"/>
                <w:szCs w:val="20"/>
                <w:color w:val="auto"/>
              </w:rPr>
            </w:pPr>
            <w:r>
              <w:rPr>
                <w:rFonts w:ascii="Arial" w:cs="Arial" w:eastAsia="Arial" w:hAnsi="Arial"/>
                <w:sz w:val="14"/>
                <w:szCs w:val="14"/>
                <w:color w:val="auto"/>
                <w:w w:val="91"/>
              </w:rPr>
              <w:t>Amount</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92"/>
              <w:spacing w:after="0" w:line="159" w:lineRule="exact"/>
              <w:rPr>
                <w:sz w:val="20"/>
                <w:szCs w:val="20"/>
                <w:color w:val="auto"/>
              </w:rPr>
            </w:pPr>
            <w:r>
              <w:rPr>
                <w:rFonts w:ascii="Arial" w:cs="Arial" w:eastAsia="Arial" w:hAnsi="Arial"/>
                <w:sz w:val="14"/>
                <w:szCs w:val="14"/>
                <w:color w:val="auto"/>
                <w:w w:val="86"/>
              </w:rPr>
              <w:t>Related Business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gridSpan w:val="5"/>
          </w:tcPr>
          <w:p>
            <w:pPr>
              <w:jc w:val="center"/>
              <w:ind w:right="112"/>
              <w:spacing w:after="0" w:line="159" w:lineRule="exact"/>
              <w:rPr>
                <w:sz w:val="20"/>
                <w:szCs w:val="20"/>
                <w:color w:val="auto"/>
              </w:rPr>
            </w:pPr>
            <w:r>
              <w:rPr>
                <w:rFonts w:ascii="Arial" w:cs="Arial" w:eastAsia="Arial" w:hAnsi="Arial"/>
                <w:sz w:val="14"/>
                <w:szCs w:val="14"/>
                <w:color w:val="auto"/>
                <w:w w:val="91"/>
              </w:rPr>
              <w:t>Amount</w:t>
            </w: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5"/>
          </w:tcPr>
          <w:p>
            <w:pPr>
              <w:jc w:val="center"/>
              <w:ind w:right="300"/>
              <w:spacing w:after="0" w:line="159" w:lineRule="exact"/>
              <w:rPr>
                <w:sz w:val="20"/>
                <w:szCs w:val="20"/>
                <w:color w:val="auto"/>
              </w:rPr>
            </w:pPr>
            <w:r>
              <w:rPr>
                <w:rFonts w:ascii="Arial" w:cs="Arial" w:eastAsia="Arial" w:hAnsi="Arial"/>
                <w:sz w:val="14"/>
                <w:szCs w:val="14"/>
                <w:color w:val="auto"/>
                <w:w w:val="86"/>
              </w:rPr>
              <w:t>Related 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tcBorders>
              <w:top w:val="single" w:sz="8" w:color="CCEEFF"/>
            </w:tcBorders>
            <w:gridSpan w:val="4"/>
            <w:shd w:val="clear" w:color="auto" w:fill="CCEEFF"/>
          </w:tcPr>
          <w:p>
            <w:pPr>
              <w:ind w:left="200"/>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1280"/>
              <w:spacing w:after="0"/>
              <w:rPr>
                <w:sz w:val="20"/>
                <w:szCs w:val="20"/>
                <w:color w:val="auto"/>
              </w:rPr>
            </w:pPr>
            <w:r>
              <w:rPr>
                <w:rFonts w:ascii="Arial" w:cs="Arial" w:eastAsia="Arial" w:hAnsi="Arial"/>
                <w:sz w:val="18"/>
                <w:szCs w:val="18"/>
                <w:color w:val="auto"/>
              </w:rPr>
              <w:t>Collection, landfill and transfer</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Waste-to-energy disposal</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4"/>
          </w:tcPr>
          <w:p>
            <w:pPr>
              <w:ind w:left="860"/>
              <w:spacing w:after="0"/>
              <w:rPr>
                <w:sz w:val="20"/>
                <w:szCs w:val="20"/>
                <w:color w:val="auto"/>
              </w:rPr>
            </w:pPr>
            <w:r>
              <w:rPr>
                <w:rFonts w:ascii="Arial" w:cs="Arial" w:eastAsia="Arial" w:hAnsi="Arial"/>
                <w:sz w:val="18"/>
                <w:szCs w:val="18"/>
                <w:color w:val="auto"/>
              </w:rPr>
              <w:t>Collection and disposal</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Recycling commodities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tcPr>
          <w:p>
            <w:pPr>
              <w:ind w:left="860"/>
              <w:spacing w:after="0"/>
              <w:rPr>
                <w:sz w:val="20"/>
                <w:szCs w:val="20"/>
                <w:color w:val="auto"/>
              </w:rPr>
            </w:pPr>
            <w:r>
              <w:rPr>
                <w:rFonts w:ascii="Arial" w:cs="Arial" w:eastAsia="Arial" w:hAnsi="Arial"/>
                <w:sz w:val="18"/>
                <w:szCs w:val="18"/>
                <w:color w:val="auto"/>
              </w:rPr>
              <w:t>Electricity</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Fuel surcharges and mandated fees</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8"/>
                <w:szCs w:val="18"/>
                <w:color w:val="auto"/>
                <w:w w:val="99"/>
              </w:rPr>
              <w:t>191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7"/>
          </w:tcPr>
          <w:p>
            <w:pPr>
              <w:jc w:val="right"/>
              <w:ind w:right="352"/>
              <w:spacing w:after="0"/>
              <w:rPr>
                <w:sz w:val="20"/>
                <w:szCs w:val="20"/>
                <w:color w:val="auto"/>
              </w:rPr>
            </w:pPr>
            <w:r>
              <w:rPr>
                <w:rFonts w:ascii="Arial" w:cs="Arial" w:eastAsia="Arial" w:hAnsi="Arial"/>
                <w:sz w:val="14"/>
                <w:szCs w:val="14"/>
                <w:b w:val="1"/>
                <w:bCs w:val="1"/>
                <w:color w:val="auto"/>
                <w:w w:val="92"/>
              </w:rPr>
              <w:t>Quarters Ended 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gridSpan w:val="13"/>
          </w:tcPr>
          <w:p>
            <w:pPr>
              <w:jc w:val="center"/>
              <w:ind w:right="20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9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center"/>
              <w:ind w:left="287"/>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(b)</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00" w:type="dxa"/>
            <w:vAlign w:val="bottom"/>
            <w:tcBorders>
              <w:top w:val="single" w:sz="8" w:color="auto"/>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5"/>
          </w:tcPr>
          <w:p>
            <w:pPr>
              <w:jc w:val="right"/>
              <w:ind w:right="12"/>
              <w:spacing w:after="0"/>
              <w:rPr>
                <w:sz w:val="20"/>
                <w:szCs w:val="20"/>
                <w:color w:val="auto"/>
              </w:rPr>
            </w:pPr>
            <w:r>
              <w:rPr>
                <w:rFonts w:ascii="Arial" w:cs="Arial" w:eastAsia="Arial" w:hAnsi="Arial"/>
                <w:sz w:val="18"/>
                <w:szCs w:val="18"/>
                <w:color w:val="auto"/>
              </w:rPr>
              <w:t>$  1,718</w:t>
            </w:r>
          </w:p>
        </w:tc>
        <w:tc>
          <w:tcPr>
            <w:tcW w:w="1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(313)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4"/>
          </w:tcPr>
          <w:p>
            <w:pPr>
              <w:spacing w:after="0" w:line="201" w:lineRule="exact"/>
              <w:rPr>
                <w:sz w:val="20"/>
                <w:szCs w:val="20"/>
                <w:color w:val="auto"/>
              </w:rPr>
            </w:pPr>
            <w:r>
              <w:rPr>
                <w:rFonts w:ascii="Arial" w:cs="Arial" w:eastAsia="Arial" w:hAnsi="Arial"/>
                <w:sz w:val="18"/>
                <w:szCs w:val="18"/>
                <w:color w:val="auto"/>
                <w:w w:val="91"/>
              </w:rPr>
              <w:t>Proceeds from divestitures of businesses (net of cash divested) and other</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gridSpan w:val="4"/>
          </w:tcPr>
          <w:p>
            <w:pPr>
              <w:ind w:left="200"/>
              <w:spacing w:after="0"/>
              <w:rPr>
                <w:sz w:val="20"/>
                <w:szCs w:val="20"/>
                <w:color w:val="auto"/>
              </w:rPr>
            </w:pPr>
            <w:r>
              <w:rPr>
                <w:rFonts w:ascii="Arial" w:cs="Arial" w:eastAsia="Arial" w:hAnsi="Arial"/>
                <w:sz w:val="18"/>
                <w:szCs w:val="18"/>
                <w:color w:val="auto"/>
              </w:rPr>
              <w:t xml:space="preserve">sales of assets </w:t>
            </w:r>
            <w:r>
              <w:rPr>
                <w:rFonts w:ascii="Arial" w:cs="Arial" w:eastAsia="Arial" w:hAnsi="Arial"/>
                <w:sz w:val="18"/>
                <w:szCs w:val="18"/>
                <w:b w:val="1"/>
                <w:bCs w:val="1"/>
                <w:color w:val="auto"/>
              </w:rPr>
              <w:t>(c)</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614</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8"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Proceeds for the three and nine months ended September 30, 2011 includes the repayment of a $17.0 million note receivable from a prior year divestiture. This repayment is included as a component of “Net receipts from restricted trust and escrow accounts, and other” in our Condensed Consolidated Statement of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9"/>
              </w:rPr>
              <w:t>Quarters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11"/>
                <w:szCs w:val="11"/>
                <w:color w:val="auto"/>
              </w:rPr>
            </w:pPr>
          </w:p>
        </w:tc>
        <w:tc>
          <w:tcPr>
            <w:tcW w:w="124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5"/>
              </w:rPr>
              <w:t>June 30,</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80" w:type="dxa"/>
            <w:vAlign w:val="bottom"/>
            <w:gridSpan w:val="7"/>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700" w:type="dxa"/>
            <w:vAlign w:val="bottom"/>
            <w:gridSpan w:val="8"/>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398</w:t>
            </w:r>
          </w:p>
        </w:tc>
        <w:tc>
          <w:tcPr>
            <w:tcW w:w="3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80" w:type="dxa"/>
            <w:vAlign w:val="bottom"/>
            <w:gridSpan w:val="6"/>
          </w:tcPr>
          <w:p>
            <w:pPr>
              <w:ind w:left="220"/>
              <w:spacing w:after="0"/>
              <w:rPr>
                <w:sz w:val="20"/>
                <w:szCs w:val="20"/>
                <w:color w:val="auto"/>
              </w:rPr>
            </w:pPr>
            <w:r>
              <w:rPr>
                <w:rFonts w:ascii="Arial" w:cs="Arial" w:eastAsia="Arial" w:hAnsi="Arial"/>
                <w:sz w:val="18"/>
                <w:szCs w:val="18"/>
                <w:color w:val="auto"/>
              </w:rPr>
              <w:t>Long-term indebtedness, including current portion</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9,992</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9,826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Total equity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80" w:type="dxa"/>
            <w:vAlign w:val="bottom"/>
            <w:gridSpan w:val="6"/>
            <w:vMerge w:val="restart"/>
          </w:tcPr>
          <w:p>
            <w:pPr>
              <w:ind w:left="660"/>
              <w:spacing w:after="0"/>
              <w:rPr>
                <w:sz w:val="20"/>
                <w:szCs w:val="20"/>
                <w:color w:val="auto"/>
              </w:rPr>
            </w:pPr>
            <w:r>
              <w:rPr>
                <w:rFonts w:ascii="Arial" w:cs="Arial" w:eastAsia="Arial" w:hAnsi="Arial"/>
                <w:sz w:val="18"/>
                <w:szCs w:val="18"/>
                <w:color w:val="auto"/>
              </w:rPr>
              <w:t>Total capital</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80" w:type="dxa"/>
            <w:vAlign w:val="bottom"/>
            <w:gridSpan w:val="6"/>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16,604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16,313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Debt-to-total capital</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
        </w:trPr>
        <w:tc>
          <w:tcPr>
            <w:tcW w:w="7700" w:type="dxa"/>
            <w:vAlign w:val="bottom"/>
            <w:gridSpan w:val="8"/>
            <w:vMerge w:val="restart"/>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8"/>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920" w:type="dxa"/>
            <w:vAlign w:val="bottom"/>
            <w:tcBorders>
              <w:bottom w:val="single" w:sz="8" w:color="auto"/>
            </w:tcBorders>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Acquisition Summary (a)</w:t>
            </w:r>
          </w:p>
        </w:tc>
        <w:tc>
          <w:tcPr>
            <w:tcW w:w="5760" w:type="dxa"/>
            <w:vAlign w:val="bottom"/>
            <w:tcBorders>
              <w:bottom w:val="single" w:sz="8" w:color="CCEEFF"/>
            </w:tcBorders>
            <w:gridSpan w:val="3"/>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80" w:type="dxa"/>
            <w:vAlign w:val="bottom"/>
            <w:gridSpan w:val="6"/>
          </w:tcPr>
          <w:p>
            <w:pPr>
              <w:ind w:left="220"/>
              <w:spacing w:after="0"/>
              <w:rPr>
                <w:sz w:val="20"/>
                <w:szCs w:val="20"/>
                <w:color w:val="auto"/>
              </w:rPr>
            </w:pPr>
            <w:r>
              <w:rPr>
                <w:rFonts w:ascii="Arial" w:cs="Arial" w:eastAsia="Arial" w:hAnsi="Arial"/>
                <w:sz w:val="18"/>
                <w:szCs w:val="18"/>
                <w:color w:val="auto"/>
              </w:rPr>
              <w:t>Gross annualized revenue acquired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80" w:type="dxa"/>
            <w:vAlign w:val="bottom"/>
            <w:gridSpan w:val="6"/>
            <w:vMerge w:val="restart"/>
          </w:tcPr>
          <w:p>
            <w:pPr>
              <w:ind w:left="220"/>
              <w:spacing w:after="0"/>
              <w:rPr>
                <w:sz w:val="20"/>
                <w:szCs w:val="20"/>
                <w:color w:val="auto"/>
              </w:rPr>
            </w:pPr>
            <w:r>
              <w:rPr>
                <w:rFonts w:ascii="Arial" w:cs="Arial" w:eastAsia="Arial" w:hAnsi="Arial"/>
                <w:sz w:val="18"/>
                <w:szCs w:val="18"/>
                <w:color w:val="auto"/>
              </w:rPr>
              <w:t>Cash paid for acquisitions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80" w:type="dxa"/>
            <w:vAlign w:val="bottom"/>
            <w:gridSpan w:val="6"/>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5880" w:type="dxa"/>
            <w:vAlign w:val="bottom"/>
            <w:tcBorders>
              <w:bottom w:val="single" w:sz="8" w:color="CCEEFF"/>
            </w:tcBorders>
            <w:gridSpan w:val="4"/>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700" w:type="dxa"/>
            <w:vAlign w:val="bottom"/>
            <w:gridSpan w:val="8"/>
          </w:tcPr>
          <w:p>
            <w:pPr>
              <w:spacing w:after="0"/>
              <w:rPr>
                <w:sz w:val="20"/>
                <w:szCs w:val="20"/>
                <w:color w:val="auto"/>
              </w:rPr>
            </w:pPr>
            <w:r>
              <w:rPr>
                <w:rFonts w:ascii="Arial" w:cs="Arial" w:eastAsia="Arial" w:hAnsi="Arial"/>
                <w:sz w:val="18"/>
                <w:szCs w:val="18"/>
                <w:color w:val="auto"/>
              </w:rPr>
              <w:t>Internalization of waste, based on disposal costs</w:t>
            </w:r>
          </w:p>
        </w:tc>
        <w:tc>
          <w:tcPr>
            <w:tcW w:w="1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67.3%</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7"/>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Total disposal volumes (tons in millions)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7700" w:type="dxa"/>
            <w:vAlign w:val="bottom"/>
            <w:gridSpan w:val="8"/>
            <w:vMerge w:val="restart"/>
          </w:tcPr>
          <w:p>
            <w:pPr>
              <w:spacing w:after="0"/>
              <w:rPr>
                <w:sz w:val="20"/>
                <w:szCs w:val="20"/>
                <w:color w:val="auto"/>
              </w:rPr>
            </w:pPr>
            <w:r>
              <w:rPr>
                <w:rFonts w:ascii="Arial" w:cs="Arial" w:eastAsia="Arial" w:hAnsi="Arial"/>
                <w:sz w:val="18"/>
                <w:szCs w:val="18"/>
                <w:color w:val="auto"/>
              </w:rPr>
              <w:t>Active landfills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00" w:type="dxa"/>
            <w:vAlign w:val="bottom"/>
            <w:gridSpan w:val="8"/>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770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gridSpan w:val="5"/>
          </w:tcPr>
          <w:p>
            <w:pPr>
              <w:spacing w:after="0" w:line="196" w:lineRule="exact"/>
              <w:rPr>
                <w:sz w:val="20"/>
                <w:szCs w:val="20"/>
                <w:color w:val="auto"/>
              </w:rPr>
            </w:pPr>
            <w:r>
              <w:rPr>
                <w:rFonts w:ascii="Arial" w:cs="Arial" w:eastAsia="Arial" w:hAnsi="Arial"/>
                <w:sz w:val="18"/>
                <w:szCs w:val="18"/>
                <w:b w:val="1"/>
                <w:bCs w:val="1"/>
                <w:color w:val="auto"/>
              </w:rPr>
              <w:t>Landfills Included in Operating Groups:</w:t>
            </w: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80" w:type="dxa"/>
            <w:vAlign w:val="bottom"/>
            <w:gridSpan w:val="6"/>
          </w:tcPr>
          <w:p>
            <w:pPr>
              <w:ind w:left="220"/>
              <w:spacing w:after="0"/>
              <w:rPr>
                <w:sz w:val="20"/>
                <w:szCs w:val="20"/>
                <w:color w:val="auto"/>
              </w:rPr>
            </w:pPr>
            <w:r>
              <w:rPr>
                <w:rFonts w:ascii="Arial" w:cs="Arial" w:eastAsia="Arial" w:hAnsi="Arial"/>
                <w:sz w:val="18"/>
                <w:szCs w:val="18"/>
                <w:color w:val="auto"/>
              </w:rPr>
              <w:t>Cost basis of landfill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86.7</w:t>
            </w:r>
          </w:p>
        </w:tc>
        <w:tc>
          <w:tcPr>
            <w:tcW w:w="3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80" w:type="dxa"/>
            <w:vAlign w:val="bottom"/>
            <w:gridSpan w:val="6"/>
            <w:shd w:val="clear" w:color="auto" w:fill="CCEEFF"/>
          </w:tcPr>
          <w:p>
            <w:pPr>
              <w:ind w:left="220"/>
              <w:spacing w:after="0"/>
              <w:rPr>
                <w:sz w:val="20"/>
                <w:szCs w:val="20"/>
                <w:color w:val="auto"/>
              </w:rPr>
            </w:pPr>
            <w:r>
              <w:rPr>
                <w:rFonts w:ascii="Arial" w:cs="Arial" w:eastAsia="Arial" w:hAnsi="Arial"/>
                <w:sz w:val="18"/>
                <w:szCs w:val="18"/>
                <w:color w:val="auto"/>
              </w:rPr>
              <w:t>Asset retirement costs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80" w:type="dxa"/>
            <w:vAlign w:val="bottom"/>
            <w:gridSpan w:val="6"/>
            <w:vMerge w:val="restart"/>
          </w:tcPr>
          <w:p>
            <w:pPr>
              <w:ind w:left="660"/>
              <w:spacing w:after="0"/>
              <w:rPr>
                <w:sz w:val="20"/>
                <w:szCs w:val="20"/>
                <w:color w:val="auto"/>
              </w:rPr>
            </w:pPr>
            <w:r>
              <w:rPr>
                <w:rFonts w:ascii="Arial" w:cs="Arial" w:eastAsia="Arial" w:hAnsi="Arial"/>
                <w:sz w:val="18"/>
                <w:szCs w:val="18"/>
                <w:color w:val="auto"/>
              </w:rPr>
              <w:t>Total landfill amortization expense (b)(c)</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80" w:type="dxa"/>
            <w:vAlign w:val="bottom"/>
            <w:gridSpan w:val="6"/>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105.8</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97.1</w:t>
            </w:r>
          </w:p>
        </w:tc>
        <w:tc>
          <w:tcPr>
            <w:tcW w:w="18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8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80" w:type="dxa"/>
            <w:vAlign w:val="bottom"/>
            <w:gridSpan w:val="6"/>
            <w:vMerge w:val="restart"/>
          </w:tcPr>
          <w:p>
            <w:pPr>
              <w:ind w:left="220"/>
              <w:spacing w:after="0"/>
              <w:rPr>
                <w:sz w:val="20"/>
                <w:szCs w:val="20"/>
                <w:color w:val="auto"/>
              </w:rPr>
            </w:pPr>
            <w:r>
              <w:rPr>
                <w:rFonts w:ascii="Arial" w:cs="Arial" w:eastAsia="Arial" w:hAnsi="Arial"/>
                <w:sz w:val="18"/>
                <w:szCs w:val="18"/>
                <w:color w:val="auto"/>
              </w:rPr>
              <w:t>Landfill amortization, accretion and other related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80" w:type="dxa"/>
            <w:vAlign w:val="bottom"/>
            <w:gridSpan w:val="6"/>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113.9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14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 ended September 30, 2012 as compared to the quarter ended June 30, 2012 reflects an increase in amortization expense of approximately $8.7 million. $5.1 million of this change is driven by an increase in landfill volumes due to seasonality, coupled with a $3.6 million increase primarily due to changes in landfill estimates identified in both quarters.</w:t>
      </w:r>
    </w:p>
    <w:p>
      <w:pPr>
        <w:spacing w:after="0" w:line="1" w:lineRule="exact"/>
        <w:rPr>
          <w:rFonts w:ascii="Arial" w:cs="Arial" w:eastAsia="Arial" w:hAnsi="Arial"/>
          <w:sz w:val="18"/>
          <w:szCs w:val="18"/>
          <w:color w:val="auto"/>
        </w:rPr>
      </w:pPr>
    </w:p>
    <w:p>
      <w:pPr>
        <w:ind w:left="460" w:right="20" w:hanging="452"/>
        <w:spacing w:after="0" w:line="32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quarter ended September 30, 2012 as compared to the quarter ended September 30, 2011, reflects an increase in amortization expense of approximately $3.6 million, primarily due to changes in landfill estimates identified in both quarters, as volumes remained consistent year-over-year.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9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Quarter Ended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September 30, 2012</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Tax</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After-tax</w:t>
            </w:r>
          </w:p>
        </w:tc>
        <w:tc>
          <w:tcPr>
            <w:tcW w:w="1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w:t>
            </w: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Benefit</w:t>
            </w:r>
          </w:p>
        </w:tc>
        <w:tc>
          <w:tcPr>
            <w:tcW w:w="2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180" w:type="dxa"/>
            <w:vAlign w:val="bottom"/>
          </w:tcPr>
          <w:p>
            <w:pPr>
              <w:ind w:left="440"/>
              <w:spacing w:after="0"/>
              <w:rPr>
                <w:sz w:val="20"/>
                <w:szCs w:val="20"/>
                <w:color w:val="auto"/>
              </w:rPr>
            </w:pPr>
            <w:r>
              <w:rPr>
                <w:rFonts w:ascii="Arial" w:cs="Arial" w:eastAsia="Arial" w:hAnsi="Arial"/>
                <w:sz w:val="18"/>
                <w:szCs w:val="18"/>
                <w:b w:val="1"/>
                <w:bCs w:val="1"/>
                <w:color w:val="auto"/>
              </w:rPr>
              <w:t>Net income and Diluted EPS, as reported</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214</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Adjustments to Net income and Diluted EPS: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8"/>
                <w:szCs w:val="18"/>
                <w:b w:val="1"/>
                <w:bCs w:val="1"/>
                <w:color w:val="auto"/>
              </w:rPr>
              <w:t>(a)</w:t>
            </w:r>
          </w:p>
        </w:tc>
        <w:tc>
          <w:tcPr>
            <w:tcW w:w="1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(b)</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Restructuring charges and Oakleaf related integration activities</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880"/>
              <w:spacing w:after="0"/>
              <w:rPr>
                <w:sz w:val="20"/>
                <w:szCs w:val="20"/>
                <w:color w:val="auto"/>
              </w:rPr>
            </w:pPr>
            <w:r>
              <w:rPr>
                <w:rFonts w:ascii="Arial" w:cs="Arial" w:eastAsia="Arial" w:hAnsi="Arial"/>
                <w:sz w:val="18"/>
                <w:szCs w:val="18"/>
                <w:color w:val="auto"/>
              </w:rPr>
              <w:t>Labor dispute</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 and Diluted EPS, as adjusted</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285</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Quarter Ended</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 2011</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2"/>
              </w:rPr>
              <w:t>Tax</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After-tax</w:t>
            </w:r>
          </w:p>
        </w:tc>
        <w:tc>
          <w:tcPr>
            <w:tcW w:w="15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(Expense) /</w:t>
            </w:r>
          </w:p>
        </w:tc>
        <w:tc>
          <w:tcPr>
            <w:tcW w:w="20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1"/>
        </w:trPr>
        <w:tc>
          <w:tcPr>
            <w:tcW w:w="818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Benefit</w:t>
            </w:r>
          </w:p>
        </w:tc>
        <w:tc>
          <w:tcPr>
            <w:tcW w:w="20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8180" w:type="dxa"/>
            <w:vAlign w:val="bottom"/>
          </w:tcPr>
          <w:p>
            <w:pPr>
              <w:ind w:left="440"/>
              <w:spacing w:after="0"/>
              <w:rPr>
                <w:sz w:val="20"/>
                <w:szCs w:val="20"/>
                <w:color w:val="auto"/>
              </w:rPr>
            </w:pPr>
            <w:r>
              <w:rPr>
                <w:rFonts w:ascii="Arial" w:cs="Arial" w:eastAsia="Arial" w:hAnsi="Arial"/>
                <w:sz w:val="18"/>
                <w:szCs w:val="18"/>
                <w:b w:val="1"/>
                <w:bCs w:val="1"/>
                <w:color w:val="auto"/>
              </w:rPr>
              <w:t>Net income and Diluted EPS, as reported</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272</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8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Adjustments to Net income and Diluted EPS:</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880"/>
              <w:spacing w:after="0"/>
              <w:rPr>
                <w:sz w:val="20"/>
                <w:szCs w:val="20"/>
                <w:color w:val="auto"/>
              </w:rPr>
            </w:pPr>
            <w:r>
              <w:rPr>
                <w:rFonts w:ascii="Arial" w:cs="Arial" w:eastAsia="Arial" w:hAnsi="Arial"/>
                <w:sz w:val="18"/>
                <w:szCs w:val="18"/>
                <w:color w:val="auto"/>
              </w:rPr>
              <w:t>Restructuring charges and asset impairments</w:t>
            </w:r>
          </w:p>
        </w:tc>
        <w:tc>
          <w:tcPr>
            <w:tcW w:w="18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Closed site adjustments and changes in risk-free interest rate</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880"/>
              <w:spacing w:after="0"/>
              <w:rPr>
                <w:sz w:val="20"/>
                <w:szCs w:val="20"/>
                <w:color w:val="auto"/>
              </w:rPr>
            </w:pPr>
            <w:r>
              <w:rPr>
                <w:rFonts w:ascii="Arial" w:cs="Arial" w:eastAsia="Arial" w:hAnsi="Arial"/>
                <w:sz w:val="18"/>
                <w:szCs w:val="18"/>
                <w:color w:val="auto"/>
              </w:rPr>
              <w:t>Oakleaf acquisition and related integration activities</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income and Diluted EPS, as adjusted</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295</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40" w:hanging="452"/>
        <w:spacing w:after="0" w:line="253"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Includes impairment charges associated with certain of our investments in unconsolidated entities that are included in the “Equity in Earnings/Losses of Unconsolidated Entities” and “Other, net” financial captions, as well as impairment charges associated with assets in the “Asset Impairments and Unusual Items” financial caption.</w:t>
      </w:r>
    </w:p>
    <w:p>
      <w:pPr>
        <w:ind w:left="460" w:right="120" w:hanging="452"/>
        <w:spacing w:after="0" w:line="361" w:lineRule="auto"/>
        <w:tabs>
          <w:tab w:leader="none" w:pos="460" w:val="left"/>
        </w:tabs>
        <w:numPr>
          <w:ilvl w:val="0"/>
          <w:numId w:val="11"/>
        </w:numPr>
        <w:rPr>
          <w:rFonts w:ascii="Arial" w:cs="Arial" w:eastAsia="Arial" w:hAnsi="Arial"/>
          <w:sz w:val="15"/>
          <w:szCs w:val="15"/>
          <w:b w:val="1"/>
          <w:bCs w:val="1"/>
          <w:color w:val="auto"/>
        </w:rPr>
      </w:pPr>
      <w:r>
        <w:rPr>
          <w:rFonts w:ascii="Arial" w:cs="Arial" w:eastAsia="Arial" w:hAnsi="Arial"/>
          <w:sz w:val="15"/>
          <w:szCs w:val="15"/>
          <w:color w:val="auto"/>
        </w:rPr>
        <w:t>Represents tax benefit resulting from the $22 million of pre-tax impairment charges included in the “Asset Impairments and Unusual Items” financial caption. There is no tax impact corresponding to the $23 million of pre-tax impairment charges associated with our investments in unconsolidated entities.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9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5"/>
              </w:rPr>
              <w:t>September 30, 2012</w:t>
            </w:r>
          </w:p>
        </w:tc>
      </w:tr>
      <w:tr>
        <w:trPr>
          <w:trHeight w:val="129"/>
        </w:trPr>
        <w:tc>
          <w:tcPr>
            <w:tcW w:w="9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As a % of</w:t>
            </w:r>
          </w:p>
        </w:tc>
        <w:tc>
          <w:tcPr>
            <w:tcW w:w="420" w:type="dxa"/>
            <w:vAlign w:val="bottom"/>
          </w:tcPr>
          <w:p>
            <w:pPr>
              <w:spacing w:after="0"/>
              <w:rPr>
                <w:sz w:val="11"/>
                <w:szCs w:val="11"/>
                <w:color w:val="auto"/>
              </w:rPr>
            </w:pPr>
          </w:p>
        </w:tc>
      </w:tr>
      <w:tr>
        <w:trPr>
          <w:trHeight w:val="161"/>
        </w:trPr>
        <w:tc>
          <w:tcPr>
            <w:tcW w:w="9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9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r>
      <w:tr>
        <w:trPr>
          <w:trHeight w:val="322"/>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Operating revenues, as reported</w:t>
            </w:r>
          </w:p>
        </w:tc>
        <w:tc>
          <w:tcPr>
            <w:tcW w:w="10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86"/>
              </w:rPr>
              <w:t>$ 3,461</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0"/>
        </w:trPr>
        <w:tc>
          <w:tcPr>
            <w:tcW w:w="9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500</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14.4%</w:t>
            </w:r>
          </w:p>
        </w:tc>
      </w:tr>
      <w:tr>
        <w:trPr>
          <w:trHeight w:val="323"/>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Adjustments to Income from operations: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7"/>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Asset impairments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9400" w:type="dxa"/>
            <w:vAlign w:val="bottom"/>
          </w:tcPr>
          <w:p>
            <w:pPr>
              <w:ind w:left="880"/>
              <w:spacing w:after="0"/>
              <w:rPr>
                <w:sz w:val="20"/>
                <w:szCs w:val="20"/>
                <w:color w:val="auto"/>
              </w:rPr>
            </w:pPr>
            <w:r>
              <w:rPr>
                <w:rFonts w:ascii="Arial" w:cs="Arial" w:eastAsia="Arial" w:hAnsi="Arial"/>
                <w:sz w:val="18"/>
                <w:szCs w:val="18"/>
                <w:color w:val="auto"/>
              </w:rPr>
              <w:t>Restructuring charges and Oakleaf related integration activities</w:t>
            </w:r>
          </w:p>
        </w:tc>
        <w:tc>
          <w:tcPr>
            <w:tcW w:w="1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Labor dispute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9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adjusted</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5"/>
              </w:rPr>
              <w:t>16.6%(c)</w:t>
            </w: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32"/>
        </w:trPr>
        <w:tc>
          <w:tcPr>
            <w:tcW w:w="9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0"/>
              </w:rPr>
              <w:t>Quarter Ended</w:t>
            </w:r>
          </w:p>
        </w:tc>
      </w:tr>
      <w:tr>
        <w:trPr>
          <w:trHeight w:val="161"/>
        </w:trPr>
        <w:tc>
          <w:tcPr>
            <w:tcW w:w="9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85"/>
              </w:rPr>
              <w:t>September 30, 2011</w:t>
            </w:r>
          </w:p>
        </w:tc>
      </w:tr>
      <w:tr>
        <w:trPr>
          <w:trHeight w:val="129"/>
        </w:trPr>
        <w:tc>
          <w:tcPr>
            <w:tcW w:w="9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As a % of</w:t>
            </w:r>
          </w:p>
        </w:tc>
        <w:tc>
          <w:tcPr>
            <w:tcW w:w="420" w:type="dxa"/>
            <w:vAlign w:val="bottom"/>
          </w:tcPr>
          <w:p>
            <w:pPr>
              <w:spacing w:after="0"/>
              <w:rPr>
                <w:sz w:val="11"/>
                <w:szCs w:val="11"/>
                <w:color w:val="auto"/>
              </w:rPr>
            </w:pPr>
          </w:p>
        </w:tc>
      </w:tr>
      <w:tr>
        <w:trPr>
          <w:trHeight w:val="161"/>
        </w:trPr>
        <w:tc>
          <w:tcPr>
            <w:tcW w:w="9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r>
      <w:tr>
        <w:trPr>
          <w:trHeight w:val="196"/>
        </w:trPr>
        <w:tc>
          <w:tcPr>
            <w:tcW w:w="9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r>
      <w:tr>
        <w:trPr>
          <w:trHeight w:val="322"/>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Operating revenues, as reported</w:t>
            </w:r>
          </w:p>
        </w:tc>
        <w:tc>
          <w:tcPr>
            <w:tcW w:w="10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86"/>
              </w:rPr>
              <w:t>$ 3,522</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0"/>
        </w:trPr>
        <w:tc>
          <w:tcPr>
            <w:tcW w:w="9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980" w:type="dxa"/>
            <w:vAlign w:val="bottom"/>
            <w:gridSpan w:val="2"/>
          </w:tcPr>
          <w:p>
            <w:pPr>
              <w:spacing w:after="0"/>
              <w:rPr>
                <w:sz w:val="9"/>
                <w:szCs w:val="9"/>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reported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543</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15.4%</w:t>
            </w:r>
          </w:p>
        </w:tc>
      </w:tr>
      <w:tr>
        <w:trPr>
          <w:trHeight w:val="323"/>
        </w:trPr>
        <w:tc>
          <w:tcPr>
            <w:tcW w:w="9400" w:type="dxa"/>
            <w:vAlign w:val="bottom"/>
          </w:tcPr>
          <w:p>
            <w:pPr>
              <w:ind w:left="440"/>
              <w:spacing w:after="0"/>
              <w:rPr>
                <w:sz w:val="20"/>
                <w:szCs w:val="20"/>
                <w:color w:val="auto"/>
              </w:rPr>
            </w:pPr>
            <w:r>
              <w:rPr>
                <w:rFonts w:ascii="Arial" w:cs="Arial" w:eastAsia="Arial" w:hAnsi="Arial"/>
                <w:sz w:val="18"/>
                <w:szCs w:val="18"/>
                <w:b w:val="1"/>
                <w:bCs w:val="1"/>
                <w:color w:val="auto"/>
              </w:rPr>
              <w:t>Adjustments to Income from operations: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7"/>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Restructuring charges and asset impairments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9400" w:type="dxa"/>
            <w:vAlign w:val="bottom"/>
          </w:tcPr>
          <w:p>
            <w:pPr>
              <w:ind w:left="880"/>
              <w:spacing w:after="0"/>
              <w:rPr>
                <w:sz w:val="20"/>
                <w:szCs w:val="20"/>
                <w:color w:val="auto"/>
              </w:rPr>
            </w:pPr>
            <w:r>
              <w:rPr>
                <w:rFonts w:ascii="Arial" w:cs="Arial" w:eastAsia="Arial" w:hAnsi="Arial"/>
                <w:sz w:val="18"/>
                <w:szCs w:val="18"/>
                <w:color w:val="auto"/>
              </w:rPr>
              <w:t>Closed site adjustments and changes in risk-free interest rate</w:t>
            </w:r>
          </w:p>
        </w:tc>
        <w:tc>
          <w:tcPr>
            <w:tcW w:w="16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Oakleaf related integration activities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30"/>
        </w:trPr>
        <w:tc>
          <w:tcPr>
            <w:tcW w:w="9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adjusted (d)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575</w:t>
            </w:r>
          </w:p>
        </w:tc>
        <w:tc>
          <w:tcPr>
            <w:tcW w:w="9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5"/>
              </w:rPr>
              <w:t>16.3%(c)</w:t>
            </w:r>
          </w:p>
        </w:tc>
      </w:tr>
      <w:tr>
        <w:trPr>
          <w:trHeight w:val="20"/>
        </w:trPr>
        <w:tc>
          <w:tcPr>
            <w:tcW w:w="9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Increase of 30 basis points in income from operations as a percent of revenues, as adjusted.</w:t>
      </w:r>
    </w:p>
    <w:p>
      <w:pPr>
        <w:spacing w:after="0" w:line="15" w:lineRule="exact"/>
        <w:rPr>
          <w:rFonts w:ascii="Arial" w:cs="Arial" w:eastAsia="Arial" w:hAnsi="Arial"/>
          <w:sz w:val="18"/>
          <w:szCs w:val="18"/>
          <w:b w:val="1"/>
          <w:bCs w:val="1"/>
          <w:color w:val="auto"/>
        </w:rPr>
      </w:pPr>
    </w:p>
    <w:p>
      <w:pPr>
        <w:ind w:left="460" w:right="60" w:hanging="452"/>
        <w:spacing w:after="0" w:line="361" w:lineRule="auto"/>
        <w:tabs>
          <w:tab w:leader="none" w:pos="46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Our financial results released at the conclusion of the third quarter of 2011 were adjusted to exclude the impact of our then recently acquired Oakleaf operations. However, for purposes of this year-over-year comparison, we have included the impact of the Oakleaf operations in the results of both quarters.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49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3"/>
    </w:lvl>
    <w:lvl w:ilvl="1">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2019-12-09T09:32:51Z</dcterms:created>
  <dcterms:modified xsi:type="dcterms:W3CDTF">2019-12-09T09:32:51Z</dcterms:modified>
</cp:coreProperties>
</file>