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February 8, 2023 relating to the</w:t>
            </w:r>
          </w:p>
        </w:tc>
      </w:t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February 8, 2023</w:t>
            </w:r>
          </w:p>
        </w:tc>
      </w:tr>
      <w:tr>
        <w:trPr>
          <w:trHeight w:val="216"/>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Prospectus dated April 26, 2022</w:t>
            </w:r>
          </w:p>
        </w:tc>
      </w:tr>
      <w:tr>
        <w:trPr>
          <w:trHeight w:val="234"/>
        </w:trPr>
        <w:tc>
          <w:tcPr>
            <w:tcW w:w="3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Statement No. 333-264493</w:t>
            </w:r>
          </w:p>
        </w:tc>
      </w:tr>
      <w:tr>
        <w:trPr>
          <w:trHeight w:val="432"/>
        </w:trPr>
        <w:tc>
          <w:tcPr>
            <w:tcW w:w="3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60" w:type="dxa"/>
            <w:vAlign w:val="bottom"/>
          </w:tcPr>
          <w:p>
            <w:pPr>
              <w:jc w:val="center"/>
              <w:ind w:right="479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410"/>
        </w:trPr>
        <w:tc>
          <w:tcPr>
            <w:tcW w:w="3320" w:type="dxa"/>
            <w:vAlign w:val="bottom"/>
          </w:tcPr>
          <w:p>
            <w:pPr>
              <w:spacing w:after="0"/>
              <w:rPr>
                <w:sz w:val="24"/>
                <w:szCs w:val="24"/>
                <w:color w:val="auto"/>
              </w:rPr>
            </w:pPr>
          </w:p>
        </w:tc>
        <w:tc>
          <w:tcPr>
            <w:tcW w:w="7920" w:type="dxa"/>
            <w:vAlign w:val="bottom"/>
            <w:gridSpan w:val="2"/>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$750,000,000 4.625% Senior Notes due 2030</w:t>
            </w:r>
          </w:p>
        </w:tc>
      </w:tr>
      <w:tr>
        <w:trPr>
          <w:trHeight w:val="238"/>
        </w:trPr>
        <w:tc>
          <w:tcPr>
            <w:tcW w:w="3320" w:type="dxa"/>
            <w:vAlign w:val="bottom"/>
          </w:tcPr>
          <w:p>
            <w:pPr>
              <w:spacing w:after="0"/>
              <w:rPr>
                <w:sz w:val="20"/>
                <w:szCs w:val="20"/>
                <w:color w:val="auto"/>
              </w:rPr>
            </w:pPr>
          </w:p>
        </w:tc>
        <w:tc>
          <w:tcPr>
            <w:tcW w:w="7920" w:type="dxa"/>
            <w:vAlign w:val="bottom"/>
            <w:gridSpan w:val="2"/>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$500,000,000 4.625% Senior Notes due 2033</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Waste Management Holdings, Inc.</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Moody’s: Baa1</w:t>
            </w:r>
          </w:p>
        </w:tc>
      </w:tr>
      <w:tr>
        <w:trPr>
          <w:trHeight w:val="216"/>
        </w:trPr>
        <w:tc>
          <w:tcPr>
            <w:tcW w:w="3320" w:type="dxa"/>
            <w:vAlign w:val="bottom"/>
          </w:tcPr>
          <w:p>
            <w:pPr>
              <w:spacing w:after="0"/>
              <w:rPr>
                <w:sz w:val="18"/>
                <w:szCs w:val="18"/>
                <w:color w:val="auto"/>
              </w:rPr>
            </w:pP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S&amp;P: A-</w:t>
            </w:r>
          </w:p>
        </w:tc>
      </w:tr>
      <w:tr>
        <w:trPr>
          <w:trHeight w:val="234"/>
        </w:trPr>
        <w:tc>
          <w:tcPr>
            <w:tcW w:w="3320" w:type="dxa"/>
            <w:vAlign w:val="bottom"/>
          </w:tcPr>
          <w:p>
            <w:pPr>
              <w:spacing w:after="0"/>
              <w:rPr>
                <w:sz w:val="20"/>
                <w:szCs w:val="20"/>
                <w:color w:val="auto"/>
              </w:rPr>
            </w:pP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Fitch: BBB+</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February 8, 2023</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T+5; February 15, 2023</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$750,000,000</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$500,000,000</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February 15, 2030</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February 15, 2033</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4.625%</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4.625%</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3.500% due January 31, 2030</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4.125% due November 15, 2032</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98-15+ / 3.749%</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103-28+ / 3.647%</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+90 basis points</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+100 basis points</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4.649%</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4.647%</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99.858% of face amount</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99.826% of face amount</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(before expenses):</w:t>
            </w:r>
          </w:p>
        </w:tc>
        <w:tc>
          <w:tcPr>
            <w:tcW w:w="7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$1,241,815,000</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2030</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Semi-annually on February 15 and August 15, commencing on August 15, 2023</w:t>
            </w:r>
          </w:p>
        </w:tc>
      </w:tr>
      <w:tr>
        <w:trPr>
          <w:trHeight w:val="234"/>
        </w:trPr>
        <w:tc>
          <w:tcPr>
            <w:tcW w:w="3320" w:type="dxa"/>
            <w:vAlign w:val="bottom"/>
          </w:tcPr>
          <w:p>
            <w:pPr>
              <w:spacing w:after="0"/>
              <w:rPr>
                <w:sz w:val="20"/>
                <w:szCs w:val="20"/>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2033</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Semi-annually on February 15 and August 15, commencing on August 15, 2023</w:t>
            </w:r>
          </w:p>
        </w:tc>
      </w:tr>
      <w:tr>
        <w:trPr>
          <w:trHeight w:val="675"/>
        </w:trPr>
        <w:tc>
          <w:tcPr>
            <w:tcW w:w="3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2030 Notes: Prior to December 15, 2029 (two months prior to the maturity date), the 2030</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Notes are redeemable at the option of the issuer, in whole or in part, at any time and from</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time to time, at a redemption price equal to the greater of: (1) (a) the sum of the present</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redemption date (assuming the 2030 Notes matured on December 15, 2029) on a semi-</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annual basis (assuming a 360-day year consisting of twelve 30-day months) at the Treasury</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Rate plus 15 basis points, less (b) interest accrued to the redemption date, and (2) 100% of</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principal amount of the 2030 Notes to be redeemed, plus, in either case, accrued and</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unpaid interest thereon to the redemption date.</w:t>
            </w:r>
          </w:p>
        </w:tc>
      </w:tr>
      <w:tr>
        <w:trPr>
          <w:trHeight w:val="414"/>
        </w:trPr>
        <w:tc>
          <w:tcPr>
            <w:tcW w:w="3060" w:type="dxa"/>
            <w:vAlign w:val="bottom"/>
          </w:tcPr>
          <w:p>
            <w:pPr>
              <w:spacing w:after="0"/>
              <w:rPr>
                <w:sz w:val="24"/>
                <w:szCs w:val="24"/>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On or after December 15, 2029 (two months prior to the maturity date), the 2030 Notes are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of the 2030 Notes to be</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redeemed, plus accrued and unpaid interest thereon to the redemption date.</w:t>
            </w:r>
          </w:p>
        </w:tc>
      </w:tr>
      <w:tr>
        <w:trPr>
          <w:trHeight w:val="414"/>
        </w:trPr>
        <w:tc>
          <w:tcPr>
            <w:tcW w:w="3060" w:type="dxa"/>
            <w:vAlign w:val="bottom"/>
          </w:tcPr>
          <w:p>
            <w:pPr>
              <w:spacing w:after="0"/>
              <w:rPr>
                <w:sz w:val="24"/>
                <w:szCs w:val="24"/>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2033 Notes: Prior to November 15, 2032 (three months prior to the maturity date), the 2033</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Notes are redeemable at the option of the issuer, in whole or in part, at any time and from</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time to time, at a redemption price equal to the greater of: (1) (a) the sum of the present</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redemption date (assuming the 2033 Notes matured on November 15, 2032) on a semi-</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annual basis (assuming a 360-day year consisting of twelve 30-day months) at the Treasury</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Rate plus 15 basis points, less (b) interest accrued to the redemption date, and (2) 100% of</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principal amount of the 2033 Notes to be redeemed, plus, in either case, accrued and</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unpaid interest thereon to the redemption date.</w:t>
            </w:r>
          </w:p>
        </w:tc>
      </w:tr>
      <w:tr>
        <w:trPr>
          <w:trHeight w:val="414"/>
        </w:trPr>
        <w:tc>
          <w:tcPr>
            <w:tcW w:w="3060" w:type="dxa"/>
            <w:vAlign w:val="bottom"/>
          </w:tcPr>
          <w:p>
            <w:pPr>
              <w:spacing w:after="0"/>
              <w:rPr>
                <w:sz w:val="24"/>
                <w:szCs w:val="24"/>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On or after November 15, 2032 (three months prior to the maturity date), the 2033 Notes are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 time,</w:t>
            </w:r>
          </w:p>
        </w:tc>
      </w:tr>
      <w:tr>
        <w:trPr>
          <w:trHeight w:val="216"/>
        </w:trPr>
        <w:tc>
          <w:tcPr>
            <w:tcW w:w="3060" w:type="dxa"/>
            <w:vAlign w:val="bottom"/>
          </w:tcPr>
          <w:p>
            <w:pPr>
              <w:spacing w:after="0"/>
              <w:rPr>
                <w:sz w:val="18"/>
                <w:szCs w:val="18"/>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at a redemption price equal to 100% of the principal amount of the 2033 Notes to be</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redeemed, plus accrued and unpaid interest thereon to the redemption date.</w:t>
            </w:r>
          </w:p>
        </w:tc>
      </w:tr>
      <w:tr>
        <w:trPr>
          <w:trHeight w:val="4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2030 Notes: 94106L BT5 / US94106LBT52</w:t>
            </w:r>
          </w:p>
        </w:tc>
      </w:tr>
      <w:tr>
        <w:trPr>
          <w:trHeight w:val="234"/>
        </w:trPr>
        <w:tc>
          <w:tcPr>
            <w:tcW w:w="3060" w:type="dxa"/>
            <w:vAlign w:val="bottom"/>
          </w:tcPr>
          <w:p>
            <w:pPr>
              <w:spacing w:after="0"/>
              <w:rPr>
                <w:sz w:val="20"/>
                <w:szCs w:val="20"/>
                <w:color w:val="auto"/>
              </w:rPr>
            </w:pPr>
          </w:p>
        </w:tc>
        <w:tc>
          <w:tcPr>
            <w:tcW w:w="81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2033 Notes: 94106L BU2 / US94106LBU26</w:t>
            </w:r>
          </w:p>
        </w:tc>
      </w:tr>
      <w:tr>
        <w:trPr>
          <w:trHeight w:val="675"/>
        </w:trPr>
        <w:tc>
          <w:tcPr>
            <w:tcW w:w="306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00" w:lineRule="exact"/>
        <w:rPr>
          <w:sz w:val="20"/>
          <w:szCs w:val="20"/>
          <w:color w:val="auto"/>
        </w:rPr>
      </w:pPr>
    </w:p>
    <w:p>
      <w:pPr>
        <w:sectPr>
          <w:pgSz w:w="11900" w:h="16838" w:orient="portrait"/>
          <w:cols w:equalWidth="0" w:num="2">
            <w:col w:w="3780" w:space="720"/>
            <w:col w:w="6700"/>
          </w:cols>
          <w:pgMar w:left="320" w:top="931" w:right="37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Siebert Williams Shank &amp; Co., LLC</w:t>
      </w:r>
    </w:p>
    <w:p>
      <w:pPr>
        <w:spacing w:after="0" w:line="200" w:lineRule="exact"/>
        <w:rPr>
          <w:sz w:val="20"/>
          <w:szCs w:val="20"/>
          <w:color w:val="auto"/>
        </w:rPr>
      </w:pPr>
    </w:p>
    <w:p>
      <w:pPr>
        <w:sectPr>
          <w:pgSz w:w="11900" w:h="16838" w:orient="portrait"/>
          <w:cols w:equalWidth="0" w:num="2">
            <w:col w:w="3780" w:space="720"/>
            <w:col w:w="6700"/>
          </w:cols>
          <w:pgMar w:left="320" w:top="931" w:right="37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review or withdrawal at any time.</w:t>
      </w:r>
    </w:p>
    <w:p>
      <w:pPr>
        <w:spacing w:after="0" w:line="225" w:lineRule="exact"/>
        <w:rPr>
          <w:sz w:val="20"/>
          <w:szCs w:val="20"/>
          <w:color w:val="auto"/>
        </w:rPr>
      </w:pPr>
    </w:p>
    <w:p>
      <w:pPr>
        <w:ind w:right="40" w:firstLine="8"/>
        <w:spacing w:after="0" w:line="258" w:lineRule="auto"/>
        <w:tabs>
          <w:tab w:leader="none" w:pos="2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delivery of the notes will be made against payment therefor on or about February 15, 2023, which is the fifth business day following the date of pricing of the notes (such settlement being referred to as “T+5”).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two business days will be required, by virtue of the fact that the notes initially will settle in T+5, to specify an alternate settlement cycle at the time of any such trade to prevent failed settlement and should consult their own advisers.</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MiFID II professionals/ECPs-only/No PRIIPs KID – in the European Economic Area (EEA), the manufacturer target market (MiFID II product governance) is eligible counterparties and professional clients only (all distribution channels). No PRIIPs key information document (KID) has been prepared as not available to retail in the EEA.</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this term sheet supplements the information provided in the preliminary prospectus supplement dated February 8, 2023. To the extent information in this term sheet conflicts with information in the preliminary prospectus supplement, this term sheet controls. All capitalized terms used in this term sheet shall have the meaning ascribed to them in the preliminary prospectus supplement.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J.P. Morgan Securities LLC at 1-212-834-4533; (2) Mizuho Securities USA LLC at 1-866-271-7403; (3) SMBC Nikko Securities America, Inc. at 1-888-868-6856; or (4) Wells Fargo Securities, LLC at 1-800-645-3751.</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3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2023-02-08T16:32:07Z</dcterms:created>
  <dcterms:modified xsi:type="dcterms:W3CDTF">2023-02-08T16:32:07Z</dcterms:modified>
</cp:coreProperties>
</file>