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25, 2018</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544" w:right="35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2940"/>
          </w:cols>
          <w:pgMar w:left="240" w:top="544" w:right="35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300"/>
          </w:cols>
          <w:pgMar w:left="240" w:top="544" w:right="359" w:bottom="1440" w:gutter="0" w:footer="0" w:header="0"/>
          <w:type w:val="continuous"/>
        </w:sectPr>
      </w:pPr>
    </w:p>
    <w:p>
      <w:pPr>
        <w:spacing w:after="0" w:line="2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28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2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080"/>
          </w:cols>
          <w:pgMar w:left="240" w:top="544" w:right="359" w:bottom="1440" w:gutter="0" w:footer="0" w:header="0"/>
          <w:type w:val="continuous"/>
        </w:sectPr>
      </w:pP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12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20" w:firstLine="44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54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Waste Management, Inc. (the “Company”) issued a press release this morning announcing its financial results for the third quarter of 2018, a copy of which is attached hereto as Exhibit 99.1. The Company is holding a conference call to discuss these results beginning at 9:00 a.m. Central Time this morning. The call will be webcast live and may be heard by accessing the Investor Relations section of the Company’s website at www.wm.com. The call may also be heard by dialing (877) 710-6139 and entering access code 6079618. A replay of the call will be available on the Company’s website and by telephone until November 15, 2018. To access a replay telephonically, please dial (855) 859-2056 and use the replay conference ID number 6079618.</w:t>
      </w:r>
    </w:p>
    <w:p>
      <w:pPr>
        <w:spacing w:after="0" w:line="158"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40" w:type="dxa"/>
            <w:vAlign w:val="bottom"/>
            <w:gridSpan w:val="2"/>
          </w:tcPr>
          <w:p>
            <w:pPr>
              <w:jc w:val="center"/>
              <w:ind w:right="5180"/>
              <w:spacing w:after="0"/>
              <w:rPr>
                <w:sz w:val="20"/>
                <w:szCs w:val="20"/>
                <w:color w:val="auto"/>
              </w:rPr>
            </w:pPr>
            <w:r>
              <w:rPr>
                <w:rFonts w:ascii="Arial" w:cs="Arial" w:eastAsia="Arial" w:hAnsi="Arial"/>
                <w:sz w:val="18"/>
                <w:szCs w:val="18"/>
                <w:b w:val="1"/>
                <w:bCs w:val="1"/>
                <w:color w:val="auto"/>
                <w:w w:val="94"/>
              </w:rPr>
              <w:t>Exhibit Index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4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24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5"/>
          </w:tcPr>
          <w:p>
            <w:pPr>
              <w:ind w:left="34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October 25, 2018</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tcBorders>
              <w:top w:val="single" w:sz="8" w:color="0000EE"/>
            </w:tcBorders>
          </w:tcPr>
          <w:p>
            <w:pPr>
              <w:spacing w:after="0"/>
              <w:rPr>
                <w:sz w:val="24"/>
                <w:szCs w:val="24"/>
                <w:color w:val="auto"/>
              </w:rPr>
            </w:pPr>
          </w:p>
        </w:tc>
        <w:tc>
          <w:tcPr>
            <w:tcW w:w="2020" w:type="dxa"/>
            <w:vAlign w:val="bottom"/>
            <w:gridSpan w:val="2"/>
          </w:tcPr>
          <w:p>
            <w:pPr>
              <w:jc w:val="right"/>
              <w:ind w:right="399"/>
              <w:spacing w:after="0"/>
              <w:rPr>
                <w:sz w:val="20"/>
                <w:szCs w:val="20"/>
                <w:color w:val="auto"/>
              </w:rPr>
            </w:pPr>
            <w:r>
              <w:rPr>
                <w:rFonts w:ascii="Arial" w:cs="Arial" w:eastAsia="Arial" w:hAnsi="Arial"/>
                <w:sz w:val="18"/>
                <w:szCs w:val="18"/>
                <w:color w:val="auto"/>
              </w:rPr>
              <w:t>2</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5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WASTE MANAGEMENT, INC.</w:t>
            </w:r>
          </w:p>
        </w:tc>
        <w:tc>
          <w:tcPr>
            <w:tcW w:w="40" w:type="dxa"/>
            <w:vAlign w:val="bottom"/>
          </w:tcPr>
          <w:p>
            <w:pPr>
              <w:spacing w:after="0"/>
              <w:rPr>
                <w:sz w:val="20"/>
                <w:szCs w:val="20"/>
                <w:color w:val="auto"/>
              </w:rPr>
            </w:pPr>
          </w:p>
        </w:tc>
      </w:tr>
      <w:tr>
        <w:trPr>
          <w:trHeight w:val="648"/>
        </w:trPr>
        <w:tc>
          <w:tcPr>
            <w:tcW w:w="3780" w:type="dxa"/>
            <w:vAlign w:val="bottom"/>
          </w:tcPr>
          <w:p>
            <w:pPr>
              <w:spacing w:after="0"/>
              <w:rPr>
                <w:sz w:val="20"/>
                <w:szCs w:val="20"/>
                <w:color w:val="auto"/>
              </w:rPr>
            </w:pPr>
            <w:r>
              <w:rPr>
                <w:rFonts w:ascii="Arial" w:cs="Arial" w:eastAsia="Arial" w:hAnsi="Arial"/>
                <w:sz w:val="18"/>
                <w:szCs w:val="18"/>
                <w:color w:val="auto"/>
              </w:rPr>
              <w:t>Date:   October 25, 2018</w:t>
            </w: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c>
          <w:tcPr>
            <w:tcW w:w="40" w:type="dxa"/>
            <w:vAlign w:val="bottom"/>
          </w:tcPr>
          <w:p>
            <w:pPr>
              <w:spacing w:after="0"/>
              <w:rPr>
                <w:sz w:val="24"/>
                <w:szCs w:val="24"/>
                <w:color w:val="auto"/>
              </w:rPr>
            </w:pPr>
          </w:p>
        </w:tc>
      </w:tr>
      <w:tr>
        <w:trPr>
          <w:trHeight w:val="195"/>
        </w:trPr>
        <w:tc>
          <w:tcPr>
            <w:tcW w:w="37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c>
          <w:tcPr>
            <w:tcW w:w="40" w:type="dxa"/>
            <w:vAlign w:val="bottom"/>
          </w:tcPr>
          <w:p>
            <w:pPr>
              <w:spacing w:after="0"/>
              <w:rPr>
                <w:sz w:val="16"/>
                <w:szCs w:val="16"/>
                <w:color w:val="auto"/>
              </w:rPr>
            </w:pPr>
          </w:p>
        </w:tc>
      </w:tr>
      <w:tr>
        <w:trPr>
          <w:trHeight w:val="230"/>
        </w:trPr>
        <w:tc>
          <w:tcPr>
            <w:tcW w:w="37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Senior Vice President and Chief Legal Officer</w:t>
            </w:r>
          </w:p>
        </w:tc>
        <w:tc>
          <w:tcPr>
            <w:tcW w:w="40" w:type="dxa"/>
            <w:vAlign w:val="bottom"/>
          </w:tcPr>
          <w:p>
            <w:pPr>
              <w:spacing w:after="0"/>
              <w:rPr>
                <w:sz w:val="20"/>
                <w:szCs w:val="20"/>
                <w:color w:val="auto"/>
              </w:rPr>
            </w:pPr>
          </w:p>
        </w:tc>
      </w:tr>
      <w:tr>
        <w:trPr>
          <w:trHeight w:val="432"/>
        </w:trPr>
        <w:tc>
          <w:tcPr>
            <w:tcW w:w="3780" w:type="dxa"/>
            <w:vAlign w:val="bottom"/>
          </w:tcPr>
          <w:p>
            <w:pPr>
              <w:spacing w:after="0"/>
              <w:rPr>
                <w:sz w:val="24"/>
                <w:szCs w:val="24"/>
                <w:color w:val="auto"/>
              </w:rPr>
            </w:pPr>
          </w:p>
        </w:tc>
        <w:tc>
          <w:tcPr>
            <w:tcW w:w="242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80" w:type="dxa"/>
            <w:vAlign w:val="bottom"/>
            <w:tcBorders>
              <w:bottom w:val="single" w:sz="8" w:color="808080"/>
            </w:tcBorders>
          </w:tcPr>
          <w:p>
            <w:pPr>
              <w:spacing w:after="0"/>
              <w:rPr>
                <w:sz w:val="11"/>
                <w:szCs w:val="11"/>
                <w:color w:val="auto"/>
              </w:rPr>
            </w:pPr>
          </w:p>
        </w:tc>
        <w:tc>
          <w:tcPr>
            <w:tcW w:w="242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ind w:right="840"/>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IMMEDIATE RELEASE</w:t>
      </w:r>
    </w:p>
    <w:p>
      <w:pPr>
        <w:sectPr>
          <w:pgSz w:w="11900" w:h="16838" w:orient="portrait"/>
          <w:cols w:equalWidth="0" w:num="1">
            <w:col w:w="11020"/>
          </w:cols>
          <w:pgMar w:left="240" w:top="112" w:right="6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line="248" w:lineRule="auto"/>
        <w:rPr>
          <w:sz w:val="20"/>
          <w:szCs w:val="20"/>
          <w:color w:val="auto"/>
        </w:rPr>
      </w:pPr>
      <w:r>
        <w:rPr>
          <w:rFonts w:ascii="Arial" w:cs="Arial" w:eastAsia="Arial" w:hAnsi="Arial"/>
          <w:sz w:val="40"/>
          <w:szCs w:val="40"/>
          <w:color w:val="7AB800"/>
        </w:rPr>
        <w:t>Waste Management Announces Third Quarter Earnings</w:t>
      </w:r>
    </w:p>
    <w:p>
      <w:pPr>
        <w:spacing w:after="0" w:line="266" w:lineRule="exact"/>
        <w:rPr>
          <w:sz w:val="20"/>
          <w:szCs w:val="20"/>
          <w:color w:val="auto"/>
        </w:rPr>
      </w:pPr>
    </w:p>
    <w:p>
      <w:pPr>
        <w:ind w:left="620"/>
        <w:spacing w:after="0"/>
        <w:rPr>
          <w:sz w:val="20"/>
          <w:szCs w:val="20"/>
          <w:color w:val="auto"/>
        </w:rPr>
      </w:pPr>
      <w:r>
        <w:rPr>
          <w:rFonts w:ascii="Arial" w:cs="Arial" w:eastAsia="Arial" w:hAnsi="Arial"/>
          <w:sz w:val="22"/>
          <w:szCs w:val="22"/>
          <w:color w:val="57584F"/>
        </w:rPr>
        <w:t>Strong Organic Revenue Growth Produced Robust Earnings and Cash Generation</w:t>
      </w:r>
    </w:p>
    <w:p>
      <w:pPr>
        <w:spacing w:after="0" w:line="200" w:lineRule="exact"/>
        <w:rPr>
          <w:sz w:val="20"/>
          <w:szCs w:val="20"/>
          <w:color w:val="auto"/>
        </w:rPr>
      </w:pPr>
    </w:p>
    <w:p>
      <w:pPr>
        <w:spacing w:after="0" w:line="300"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color w:val="auto"/>
        </w:rPr>
        <w:t xml:space="preserve">HOUSTON </w:t>
      </w:r>
      <w:r>
        <w:rPr>
          <w:rFonts w:ascii="Arial" w:cs="Arial" w:eastAsia="Arial" w:hAnsi="Arial"/>
          <w:sz w:val="18"/>
          <w:szCs w:val="18"/>
          <w:b w:val="1"/>
          <w:bCs w:val="1"/>
          <w:color w:val="auto"/>
        </w:rPr>
        <w:t>— October 25, 2018</w:t>
      </w:r>
      <w:r>
        <w:rPr>
          <w:rFonts w:ascii="Arial" w:cs="Arial" w:eastAsia="Arial" w:hAnsi="Arial"/>
          <w:sz w:val="16"/>
          <w:szCs w:val="16"/>
          <w:b w:val="1"/>
          <w:bCs w:val="1"/>
          <w:color w:val="auto"/>
        </w:rPr>
        <w:t xml:space="preserve"> </w:t>
      </w:r>
      <w:r>
        <w:rPr>
          <w:rFonts w:ascii="Arial" w:cs="Arial" w:eastAsia="Arial" w:hAnsi="Arial"/>
          <w:sz w:val="18"/>
          <w:szCs w:val="18"/>
          <w:color w:val="auto"/>
        </w:rPr>
        <w:t>—</w:t>
      </w:r>
      <w:r>
        <w:rPr>
          <w:rFonts w:ascii="Arial" w:cs="Arial" w:eastAsia="Arial" w:hAnsi="Arial"/>
          <w:sz w:val="16"/>
          <w:szCs w:val="16"/>
          <w:b w:val="1"/>
          <w:bCs w:val="1"/>
          <w:color w:val="auto"/>
        </w:rPr>
        <w:t xml:space="preserve"> </w:t>
      </w:r>
      <w:r>
        <w:rPr>
          <w:rFonts w:ascii="Arial" w:cs="Arial" w:eastAsia="Arial" w:hAnsi="Arial"/>
          <w:sz w:val="18"/>
          <w:szCs w:val="18"/>
          <w:color w:val="57584F"/>
        </w:rPr>
        <w:t>Waste Management, Inc. (NYSE: WM) today announced financial results for its</w:t>
      </w:r>
      <w:r>
        <w:rPr>
          <w:rFonts w:ascii="Arial" w:cs="Arial" w:eastAsia="Arial" w:hAnsi="Arial"/>
          <w:sz w:val="16"/>
          <w:szCs w:val="16"/>
          <w:b w:val="1"/>
          <w:bCs w:val="1"/>
          <w:color w:val="auto"/>
        </w:rPr>
        <w:t xml:space="preserve"> </w:t>
      </w:r>
      <w:r>
        <w:rPr>
          <w:rFonts w:ascii="Arial" w:cs="Arial" w:eastAsia="Arial" w:hAnsi="Arial"/>
          <w:sz w:val="18"/>
          <w:szCs w:val="18"/>
          <w:color w:val="57584F"/>
        </w:rPr>
        <w:t>quarter ended September 30, 2018. Revenues for the third quarter of 2018 were $ 3.82 billion, compared with $3.72 billion for the same 2017 period. Net income for the quarter was $499 million, or $1.16 per diluted share, compared with $386 million, or $0.87 per diluted share, for the third quarter of 2017.</w:t>
      </w:r>
      <w:r>
        <w:rPr>
          <w:rFonts w:ascii="Arial" w:cs="Arial" w:eastAsia="Arial" w:hAnsi="Arial"/>
          <w:sz w:val="23"/>
          <w:szCs w:val="23"/>
          <w:color w:val="57584F"/>
          <w:vertAlign w:val="superscript"/>
        </w:rPr>
        <w:t>(a)</w:t>
      </w:r>
      <w:r>
        <w:rPr>
          <w:rFonts w:ascii="Arial" w:cs="Arial" w:eastAsia="Arial" w:hAnsi="Arial"/>
          <w:sz w:val="18"/>
          <w:szCs w:val="18"/>
          <w:color w:val="57584F"/>
        </w:rPr>
        <w:t xml:space="preserve"> On an as-adjusted basis, excluding certain items, net income was $496 million, or $1.15 per diluted share, in the third quarter of 2018, compared with $398 million, or $0.90 per diluted share, in the third quarter of 2017.</w:t>
      </w:r>
      <w:r>
        <w:rPr>
          <w:rFonts w:ascii="Arial" w:cs="Arial" w:eastAsia="Arial" w:hAnsi="Arial"/>
          <w:sz w:val="23"/>
          <w:szCs w:val="23"/>
          <w:color w:val="57584F"/>
          <w:vertAlign w:val="superscript"/>
        </w:rPr>
        <w:t>(b)</w:t>
      </w:r>
    </w:p>
    <w:p>
      <w:pPr>
        <w:spacing w:after="0" w:line="146" w:lineRule="exact"/>
        <w:rPr>
          <w:sz w:val="20"/>
          <w:szCs w:val="20"/>
          <w:color w:val="auto"/>
        </w:rPr>
      </w:pPr>
    </w:p>
    <w:p>
      <w:pPr>
        <w:jc w:val="both"/>
        <w:spacing w:after="0"/>
        <w:rPr>
          <w:sz w:val="20"/>
          <w:szCs w:val="20"/>
          <w:color w:val="auto"/>
        </w:rPr>
      </w:pPr>
      <w:r>
        <w:rPr>
          <w:rFonts w:ascii="Arial" w:cs="Arial" w:eastAsia="Arial" w:hAnsi="Arial"/>
          <w:sz w:val="18"/>
          <w:szCs w:val="18"/>
          <w:color w:val="57584F"/>
        </w:rPr>
        <w:t>The Company’s as-adjusted third quarter 2018 results exclude a $0.06 per diluted share benefit primarily resulting from favorable adjustments related to tax reform and changes in state tax laws and non-cash charges of $0.05 per diluted share primarily related to the impairment of a disposal asset.</w:t>
      </w:r>
    </w:p>
    <w:p>
      <w:pPr>
        <w:spacing w:after="0" w:line="230" w:lineRule="exact"/>
        <w:rPr>
          <w:sz w:val="20"/>
          <w:szCs w:val="20"/>
          <w:color w:val="auto"/>
        </w:rPr>
      </w:pPr>
    </w:p>
    <w:p>
      <w:pPr>
        <w:jc w:val="both"/>
        <w:ind w:right="20"/>
        <w:spacing w:after="0" w:line="219" w:lineRule="auto"/>
        <w:rPr>
          <w:sz w:val="20"/>
          <w:szCs w:val="20"/>
          <w:color w:val="auto"/>
        </w:rPr>
      </w:pPr>
      <w:r>
        <w:rPr>
          <w:rFonts w:ascii="Arial" w:cs="Arial" w:eastAsia="Arial" w:hAnsi="Arial"/>
          <w:sz w:val="18"/>
          <w:szCs w:val="18"/>
          <w:color w:val="57584F"/>
        </w:rPr>
        <w:t>“The recurring theme for the first two quarters of 2018 was one of historically strong solid waste performance more than overcoming a weak recycling market,” said Jim Fish, President and Chief Executive Officer of Waste Management. “In the third quarter, we generated strong operating EBITDA growth, and we expect that growth to accelerate in the fourth quarter and into 2019.</w:t>
      </w:r>
      <w:r>
        <w:rPr>
          <w:rFonts w:ascii="Arial" w:cs="Arial" w:eastAsia="Arial" w:hAnsi="Arial"/>
          <w:sz w:val="23"/>
          <w:szCs w:val="23"/>
          <w:color w:val="57584F"/>
          <w:vertAlign w:val="superscript"/>
        </w:rPr>
        <w:t>(c)</w:t>
      </w:r>
      <w:r>
        <w:rPr>
          <w:rFonts w:ascii="Arial" w:cs="Arial" w:eastAsia="Arial" w:hAnsi="Arial"/>
          <w:sz w:val="18"/>
          <w:szCs w:val="18"/>
          <w:color w:val="57584F"/>
        </w:rPr>
        <w:t xml:space="preserve"> Our collection and disposal business generated strong organic revenue growth of 6.4% as a result of our strengthening core price and volume.</w:t>
      </w:r>
      <w:r>
        <w:rPr>
          <w:rFonts w:ascii="Arial" w:cs="Arial" w:eastAsia="Arial" w:hAnsi="Arial"/>
          <w:sz w:val="23"/>
          <w:szCs w:val="23"/>
          <w:color w:val="57584F"/>
          <w:vertAlign w:val="superscript"/>
        </w:rPr>
        <w:t>(d)</w:t>
      </w:r>
      <w:r>
        <w:rPr>
          <w:rFonts w:ascii="Arial" w:cs="Arial" w:eastAsia="Arial" w:hAnsi="Arial"/>
          <w:sz w:val="18"/>
          <w:szCs w:val="18"/>
          <w:color w:val="57584F"/>
        </w:rPr>
        <w:t xml:space="preserve"> Additionally, we demonstrated disciplined cost control, particularly on the SG&amp;A line. We executed very well on our plans to refine our recycling pricing model, and we saw tangible benefits from the investments we are making in our employees.”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HIGHLIGHTS FOR THE THIRD QUARTER 2018</w:t>
      </w:r>
    </w:p>
    <w:p>
      <w:pPr>
        <w:spacing w:after="0" w:line="216" w:lineRule="exact"/>
        <w:rPr>
          <w:sz w:val="20"/>
          <w:szCs w:val="20"/>
          <w:color w:val="auto"/>
        </w:rPr>
      </w:pPr>
    </w:p>
    <w:p>
      <w:pPr>
        <w:ind w:left="720"/>
        <w:spacing w:after="0"/>
        <w:rPr>
          <w:sz w:val="20"/>
          <w:szCs w:val="20"/>
          <w:color w:val="auto"/>
        </w:rPr>
      </w:pPr>
      <w:r>
        <w:rPr>
          <w:rFonts w:ascii="Arial" w:cs="Arial" w:eastAsia="Arial" w:hAnsi="Arial"/>
          <w:sz w:val="18"/>
          <w:szCs w:val="18"/>
          <w:b w:val="1"/>
          <w:bCs w:val="1"/>
          <w:u w:val="single" w:color="auto"/>
          <w:color w:val="57584F"/>
        </w:rPr>
        <w:t>Revenue Growth</w:t>
      </w:r>
    </w:p>
    <w:p>
      <w:pPr>
        <w:spacing w:after="0" w:line="234" w:lineRule="exact"/>
        <w:rPr>
          <w:sz w:val="20"/>
          <w:szCs w:val="20"/>
          <w:color w:val="auto"/>
        </w:rPr>
      </w:pPr>
    </w:p>
    <w:p>
      <w:pPr>
        <w:jc w:val="both"/>
        <w:ind w:left="720" w:right="20" w:hanging="377"/>
        <w:spacing w:after="0" w:line="234" w:lineRule="auto"/>
        <w:tabs>
          <w:tab w:leader="none" w:pos="720"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In the third quarter, revenue growth was driven by strong yield and volume growth in the Company’s collection and disposal business, which contributed $200 million of incremental revenue. This was partially offset by a decline in revenue from the Company’s recycling line of business, which fell by $52 million year-over-year in the third quarter of 2018.</w:t>
      </w:r>
    </w:p>
    <w:p>
      <w:pPr>
        <w:spacing w:after="0" w:line="3" w:lineRule="exact"/>
        <w:rPr>
          <w:rFonts w:ascii="Arial" w:cs="Arial" w:eastAsia="Arial" w:hAnsi="Arial"/>
          <w:sz w:val="18"/>
          <w:szCs w:val="18"/>
          <w:color w:val="57584F"/>
        </w:rPr>
      </w:pPr>
    </w:p>
    <w:p>
      <w:pPr>
        <w:ind w:left="720" w:right="20" w:hanging="377"/>
        <w:spacing w:after="0" w:line="206" w:lineRule="auto"/>
        <w:tabs>
          <w:tab w:leader="none" w:pos="720"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Core price, which consists of price increases net of rollbacks and fees, excluding the Company’s fuel surcharge, was 5.4%, compared to 4.7% in the third quarter of 2017.</w:t>
      </w:r>
      <w:r>
        <w:rPr>
          <w:rFonts w:ascii="Arial" w:cs="Arial" w:eastAsia="Arial" w:hAnsi="Arial"/>
          <w:sz w:val="23"/>
          <w:szCs w:val="23"/>
          <w:color w:val="57584F"/>
          <w:vertAlign w:val="superscript"/>
        </w:rPr>
        <w:t>(c)</w:t>
      </w:r>
    </w:p>
    <w:p>
      <w:pPr>
        <w:ind w:left="720" w:hanging="377"/>
        <w:spacing w:after="0" w:line="234" w:lineRule="auto"/>
        <w:tabs>
          <w:tab w:leader="none" w:pos="720"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Internal revenue growth from yield for collection and disposal operations was 2.5% for the third quarter of 2018 versus 2.0% in the third quarter of 2017.</w:t>
      </w:r>
    </w:p>
    <w:p>
      <w:pPr>
        <w:spacing w:after="0" w:line="1" w:lineRule="exact"/>
        <w:rPr>
          <w:rFonts w:ascii="Arial" w:cs="Arial" w:eastAsia="Arial" w:hAnsi="Arial"/>
          <w:sz w:val="18"/>
          <w:szCs w:val="18"/>
          <w:color w:val="57584F"/>
        </w:rPr>
      </w:pPr>
    </w:p>
    <w:p>
      <w:pPr>
        <w:jc w:val="both"/>
        <w:ind w:left="720" w:hanging="377"/>
        <w:spacing w:after="0" w:line="239" w:lineRule="auto"/>
        <w:tabs>
          <w:tab w:leader="none" w:pos="720"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Traditional solid waste internal revenue growth from volume was 3.2%, or 3.4% on a workday adjusted basis, in the third quarter of 2018. Total Company internal revenue growth from volume, which includes our recycling and other ancillary businesses, was 4.2%, or 4.4% on a workday adjusted basis, in the 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b w:val="1"/>
          <w:bCs w:val="1"/>
          <w:color w:val="00693C"/>
        </w:rPr>
        <w:t>FOR MORE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 site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www.wm.com</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57584F"/>
        </w:rPr>
        <w:t>Ed Egl</w:t>
      </w:r>
    </w:p>
    <w:p>
      <w:pPr>
        <w:ind w:right="360"/>
        <w:spacing w:after="0" w:line="246" w:lineRule="auto"/>
        <w:rPr>
          <w:sz w:val="20"/>
          <w:szCs w:val="20"/>
          <w:color w:val="auto"/>
        </w:rPr>
      </w:pPr>
      <w:r>
        <w:rPr>
          <w:rFonts w:ascii="Arial" w:cs="Arial" w:eastAsia="Arial" w:hAnsi="Arial"/>
          <w:sz w:val="18"/>
          <w:szCs w:val="18"/>
          <w:color w:val="57584F"/>
        </w:rPr>
        <w:t xml:space="preserve">713.265.1656 </w:t>
      </w:r>
      <w:r>
        <w:rPr>
          <w:rFonts w:ascii="Arial" w:cs="Arial" w:eastAsia="Arial" w:hAnsi="Arial"/>
          <w:sz w:val="18"/>
          <w:szCs w:val="18"/>
          <w:u w:val="single" w:color="auto"/>
          <w:color w:val="0000FF"/>
        </w:rPr>
        <w:t>eegl@wm.com</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57584F"/>
        </w:rPr>
        <w:t xml:space="preserve">Tiffiany Moehring 720.346.5372 </w:t>
      </w:r>
      <w:r>
        <w:rPr>
          <w:rFonts w:ascii="Arial" w:cs="Arial" w:eastAsia="Arial" w:hAnsi="Arial"/>
          <w:sz w:val="18"/>
          <w:szCs w:val="18"/>
          <w:u w:val="single" w:color="auto"/>
          <w:color w:val="0000FF"/>
        </w:rPr>
        <w:t>tmoehrin@wm.com</w:t>
      </w:r>
    </w:p>
    <w:p>
      <w:pPr>
        <w:sectPr>
          <w:pgSz w:w="11900" w:h="16838" w:orient="portrait"/>
          <w:cols w:equalWidth="0" w:num="2">
            <w:col w:w="9140" w:space="320"/>
            <w:col w:w="1560"/>
          </w:cols>
          <w:pgMar w:left="240" w:top="112" w:right="639" w:bottom="1440" w:gutter="0" w:footer="0" w:header="0"/>
          <w:type w:val="continuous"/>
        </w:sectPr>
      </w:pPr>
    </w:p>
    <w:bookmarkStart w:id="4" w:name="page5"/>
    <w:bookmarkEnd w:id="4"/>
    <w:p>
      <w:pPr>
        <w:ind w:left="720"/>
        <w:spacing w:after="0"/>
        <w:rPr>
          <w:sz w:val="20"/>
          <w:szCs w:val="20"/>
          <w:color w:val="auto"/>
        </w:rPr>
      </w:pPr>
      <w:r>
        <w:rPr>
          <w:rFonts w:ascii="Arial" w:cs="Arial" w:eastAsia="Arial" w:hAnsi="Arial"/>
          <w:sz w:val="18"/>
          <w:szCs w:val="18"/>
          <w:b w:val="1"/>
          <w:bCs w:val="1"/>
          <w:u w:val="single" w:color="auto"/>
          <w:color w:val="57584F"/>
        </w:rPr>
        <w:t>Recycling</w:t>
      </w:r>
    </w:p>
    <w:p>
      <w:pPr>
        <w:spacing w:after="0" w:line="234" w:lineRule="exact"/>
        <w:rPr>
          <w:sz w:val="20"/>
          <w:szCs w:val="20"/>
          <w:color w:val="auto"/>
        </w:rPr>
      </w:pPr>
    </w:p>
    <w:p>
      <w:pPr>
        <w:jc w:val="both"/>
        <w:ind w:left="720" w:right="1079" w:hanging="377"/>
        <w:spacing w:after="0" w:line="238" w:lineRule="auto"/>
        <w:tabs>
          <w:tab w:leader="none" w:pos="72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Average recycling commodity prices at the Company’s facilities were approximately 47% lower in the third quarter of 2018 compared to the prior year period. Results for the Company’s recycling line of business declined by approximately $0.04 per diluted share when compared to the third quarter of 2017. The Company continues to expect the full-year impact from recycling to be a negative $0.17 to $0.20 per diluted share.</w:t>
      </w:r>
    </w:p>
    <w:p>
      <w:pPr>
        <w:spacing w:after="0" w:line="180" w:lineRule="exact"/>
        <w:rPr>
          <w:rFonts w:ascii="Arial" w:cs="Arial" w:eastAsia="Arial" w:hAnsi="Arial"/>
          <w:sz w:val="18"/>
          <w:szCs w:val="18"/>
          <w:color w:val="57584F"/>
        </w:rPr>
      </w:pPr>
    </w:p>
    <w:p>
      <w:pPr>
        <w:ind w:left="720"/>
        <w:spacing w:after="0"/>
        <w:rPr>
          <w:rFonts w:ascii="Arial" w:cs="Arial" w:eastAsia="Arial" w:hAnsi="Arial"/>
          <w:sz w:val="18"/>
          <w:szCs w:val="18"/>
          <w:color w:val="57584F"/>
        </w:rPr>
      </w:pPr>
      <w:r>
        <w:rPr>
          <w:rFonts w:ascii="Arial" w:cs="Arial" w:eastAsia="Arial" w:hAnsi="Arial"/>
          <w:sz w:val="18"/>
          <w:szCs w:val="18"/>
          <w:b w:val="1"/>
          <w:bCs w:val="1"/>
          <w:u w:val="single" w:color="auto"/>
          <w:color w:val="57584F"/>
        </w:rPr>
        <w:t>Cost Management &amp; Profitability</w:t>
      </w:r>
    </w:p>
    <w:p>
      <w:pPr>
        <w:spacing w:after="0" w:line="233" w:lineRule="exact"/>
        <w:rPr>
          <w:rFonts w:ascii="Arial" w:cs="Arial" w:eastAsia="Arial" w:hAnsi="Arial"/>
          <w:sz w:val="18"/>
          <w:szCs w:val="18"/>
          <w:color w:val="57584F"/>
        </w:rPr>
      </w:pPr>
    </w:p>
    <w:p>
      <w:pPr>
        <w:jc w:val="both"/>
        <w:ind w:left="720" w:right="1079" w:hanging="377"/>
        <w:spacing w:after="0" w:line="234" w:lineRule="auto"/>
        <w:tabs>
          <w:tab w:leader="none" w:pos="72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As a percentage of revenue, total Company operating expenses were 62.1% in the third quarter of 2018 compared to 61.9% in the third quarter of 2017. The increase in operating expense is primarily driven by core solid waste volume growth, acquisitions, inflationary cost pressures and investment being made in the Company’s employees.</w:t>
      </w:r>
    </w:p>
    <w:p>
      <w:pPr>
        <w:spacing w:after="0" w:line="3" w:lineRule="exact"/>
        <w:rPr>
          <w:rFonts w:ascii="Arial" w:cs="Arial" w:eastAsia="Arial" w:hAnsi="Arial"/>
          <w:sz w:val="18"/>
          <w:szCs w:val="18"/>
          <w:color w:val="57584F"/>
        </w:rPr>
      </w:pPr>
    </w:p>
    <w:p>
      <w:pPr>
        <w:ind w:left="720" w:right="1079" w:hanging="377"/>
        <w:spacing w:after="0" w:line="234" w:lineRule="auto"/>
        <w:tabs>
          <w:tab w:leader="none" w:pos="72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As a percentage of revenue, SG&amp;A expenses were 9.0% in the third quarter of 2018 compared to 9.6% in the third quarter of 2017.</w:t>
      </w:r>
    </w:p>
    <w:p>
      <w:pPr>
        <w:spacing w:after="0" w:line="1" w:lineRule="exact"/>
        <w:rPr>
          <w:rFonts w:ascii="Arial" w:cs="Arial" w:eastAsia="Arial" w:hAnsi="Arial"/>
          <w:sz w:val="18"/>
          <w:szCs w:val="18"/>
          <w:color w:val="57584F"/>
        </w:rPr>
      </w:pPr>
    </w:p>
    <w:p>
      <w:pPr>
        <w:ind w:left="720" w:right="1079" w:hanging="377"/>
        <w:spacing w:after="0" w:line="228" w:lineRule="auto"/>
        <w:tabs>
          <w:tab w:leader="none" w:pos="72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Operating EBITDA was $1.08 billion for the third quarter.</w:t>
      </w:r>
      <w:r>
        <w:rPr>
          <w:rFonts w:ascii="Arial" w:cs="Arial" w:eastAsia="Arial" w:hAnsi="Arial"/>
          <w:sz w:val="23"/>
          <w:szCs w:val="23"/>
          <w:color w:val="57584F"/>
          <w:vertAlign w:val="superscript"/>
        </w:rPr>
        <w:t>(d)</w:t>
      </w:r>
      <w:r>
        <w:rPr>
          <w:rFonts w:ascii="Arial" w:cs="Arial" w:eastAsia="Arial" w:hAnsi="Arial"/>
          <w:sz w:val="18"/>
          <w:szCs w:val="18"/>
          <w:color w:val="57584F"/>
        </w:rPr>
        <w:t xml:space="preserve"> Adjusted operating EBITDA was $1.11 billion for the third quarter of 2018, an increase of $36 million, or 3.4%, from the third quarter of 2017.</w:t>
      </w:r>
      <w:r>
        <w:rPr>
          <w:rFonts w:ascii="Arial" w:cs="Arial" w:eastAsia="Arial" w:hAnsi="Arial"/>
          <w:sz w:val="23"/>
          <w:szCs w:val="23"/>
          <w:color w:val="57584F"/>
          <w:vertAlign w:val="superscript"/>
        </w:rPr>
        <w:t>(b)</w:t>
      </w:r>
    </w:p>
    <w:p>
      <w:pPr>
        <w:spacing w:after="0" w:line="96" w:lineRule="exact"/>
        <w:rPr>
          <w:rFonts w:ascii="Arial" w:cs="Arial" w:eastAsia="Arial" w:hAnsi="Arial"/>
          <w:sz w:val="18"/>
          <w:szCs w:val="18"/>
          <w:color w:val="57584F"/>
        </w:rPr>
      </w:pPr>
    </w:p>
    <w:p>
      <w:pPr>
        <w:ind w:left="720"/>
        <w:spacing w:after="0"/>
        <w:rPr>
          <w:rFonts w:ascii="Arial" w:cs="Arial" w:eastAsia="Arial" w:hAnsi="Arial"/>
          <w:sz w:val="18"/>
          <w:szCs w:val="18"/>
          <w:color w:val="57584F"/>
        </w:rPr>
      </w:pPr>
      <w:r>
        <w:rPr>
          <w:rFonts w:ascii="Arial" w:cs="Arial" w:eastAsia="Arial" w:hAnsi="Arial"/>
          <w:sz w:val="18"/>
          <w:szCs w:val="18"/>
          <w:b w:val="1"/>
          <w:bCs w:val="1"/>
          <w:u w:val="single" w:color="auto"/>
          <w:color w:val="57584F"/>
        </w:rPr>
        <w:t>Free Cash Flow &amp; Capital Allocation</w:t>
      </w:r>
    </w:p>
    <w:p>
      <w:pPr>
        <w:spacing w:after="0" w:line="233" w:lineRule="exact"/>
        <w:rPr>
          <w:rFonts w:ascii="Arial" w:cs="Arial" w:eastAsia="Arial" w:hAnsi="Arial"/>
          <w:sz w:val="18"/>
          <w:szCs w:val="18"/>
          <w:color w:val="57584F"/>
        </w:rPr>
      </w:pPr>
    </w:p>
    <w:p>
      <w:pPr>
        <w:ind w:left="720" w:right="1099" w:hanging="377"/>
        <w:spacing w:after="0" w:line="234" w:lineRule="auto"/>
        <w:tabs>
          <w:tab w:leader="none" w:pos="72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Net cash provided by operating activities was $874 million in the third quarter of 2018, compared to $853 million in the third quarter of 2017.</w:t>
      </w:r>
    </w:p>
    <w:p>
      <w:pPr>
        <w:spacing w:after="0" w:line="1" w:lineRule="exact"/>
        <w:rPr>
          <w:rFonts w:ascii="Arial" w:cs="Arial" w:eastAsia="Arial" w:hAnsi="Arial"/>
          <w:sz w:val="18"/>
          <w:szCs w:val="18"/>
          <w:color w:val="57584F"/>
        </w:rPr>
      </w:pPr>
    </w:p>
    <w:p>
      <w:pPr>
        <w:ind w:left="720" w:right="1079" w:hanging="377"/>
        <w:spacing w:after="0" w:line="234" w:lineRule="auto"/>
        <w:tabs>
          <w:tab w:leader="none" w:pos="72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Capital expenditures were $404 million in the third quarter of 2018, a $54 million increase from the third quarter of 2017.</w:t>
      </w:r>
    </w:p>
    <w:p>
      <w:pPr>
        <w:spacing w:after="0" w:line="1" w:lineRule="exact"/>
        <w:rPr>
          <w:rFonts w:ascii="Arial" w:cs="Arial" w:eastAsia="Arial" w:hAnsi="Arial"/>
          <w:sz w:val="18"/>
          <w:szCs w:val="18"/>
          <w:color w:val="57584F"/>
        </w:rPr>
      </w:pPr>
    </w:p>
    <w:p>
      <w:pPr>
        <w:jc w:val="both"/>
        <w:ind w:left="720" w:right="1079" w:hanging="377"/>
        <w:spacing w:after="0" w:line="214" w:lineRule="auto"/>
        <w:tabs>
          <w:tab w:leader="none" w:pos="72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Free cash flow was $480 million in the third quarter of 2018, compared to $509 million in the third quarter of 2017.</w:t>
      </w:r>
      <w:r>
        <w:rPr>
          <w:rFonts w:ascii="Arial" w:cs="Arial" w:eastAsia="Arial" w:hAnsi="Arial"/>
          <w:sz w:val="23"/>
          <w:szCs w:val="23"/>
          <w:color w:val="57584F"/>
          <w:vertAlign w:val="superscript"/>
        </w:rPr>
        <w:t>(b)</w:t>
      </w:r>
      <w:r>
        <w:rPr>
          <w:rFonts w:ascii="Arial" w:cs="Arial" w:eastAsia="Arial" w:hAnsi="Arial"/>
          <w:sz w:val="18"/>
          <w:szCs w:val="18"/>
          <w:color w:val="57584F"/>
        </w:rPr>
        <w:t xml:space="preserve"> The decrease in the current quarter free cash flow was driven by increased capital spending as the Company continues to invest in its fleet and disposal network to support growth.</w:t>
      </w:r>
    </w:p>
    <w:p>
      <w:pPr>
        <w:spacing w:after="0" w:line="2" w:lineRule="exact"/>
        <w:rPr>
          <w:rFonts w:ascii="Arial" w:cs="Arial" w:eastAsia="Arial" w:hAnsi="Arial"/>
          <w:sz w:val="18"/>
          <w:szCs w:val="18"/>
          <w:color w:val="57584F"/>
        </w:rPr>
      </w:pPr>
    </w:p>
    <w:p>
      <w:pPr>
        <w:ind w:left="720" w:right="1099" w:hanging="377"/>
        <w:spacing w:after="0" w:line="234" w:lineRule="auto"/>
        <w:tabs>
          <w:tab w:leader="none" w:pos="72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The Company paid $199 million in dividends to shareholders and spent $200 million to repurchase shares in the third quarter of 2018.</w:t>
      </w:r>
    </w:p>
    <w:p>
      <w:pPr>
        <w:spacing w:after="0" w:line="1" w:lineRule="exact"/>
        <w:rPr>
          <w:rFonts w:ascii="Arial" w:cs="Arial" w:eastAsia="Arial" w:hAnsi="Arial"/>
          <w:sz w:val="18"/>
          <w:szCs w:val="18"/>
          <w:color w:val="57584F"/>
        </w:rPr>
      </w:pPr>
    </w:p>
    <w:p>
      <w:pPr>
        <w:ind w:left="720" w:right="1099" w:hanging="377"/>
        <w:spacing w:after="0" w:line="246" w:lineRule="auto"/>
        <w:tabs>
          <w:tab w:leader="none" w:pos="72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The Company spent $79 million on acquisitions of traditional solid waste businesses during the third quarter of 2018.</w:t>
      </w:r>
    </w:p>
    <w:p>
      <w:pPr>
        <w:spacing w:after="0" w:line="174" w:lineRule="exact"/>
        <w:rPr>
          <w:rFonts w:ascii="Arial" w:cs="Arial" w:eastAsia="Arial" w:hAnsi="Arial"/>
          <w:sz w:val="18"/>
          <w:szCs w:val="18"/>
          <w:color w:val="57584F"/>
        </w:rPr>
      </w:pPr>
    </w:p>
    <w:p>
      <w:pPr>
        <w:ind w:left="720"/>
        <w:spacing w:after="0"/>
        <w:rPr>
          <w:rFonts w:ascii="Arial" w:cs="Arial" w:eastAsia="Arial" w:hAnsi="Arial"/>
          <w:sz w:val="18"/>
          <w:szCs w:val="18"/>
          <w:color w:val="57584F"/>
        </w:rPr>
      </w:pPr>
      <w:r>
        <w:rPr>
          <w:rFonts w:ascii="Arial" w:cs="Arial" w:eastAsia="Arial" w:hAnsi="Arial"/>
          <w:sz w:val="18"/>
          <w:szCs w:val="18"/>
          <w:b w:val="1"/>
          <w:bCs w:val="1"/>
          <w:u w:val="single" w:color="auto"/>
          <w:color w:val="57584F"/>
        </w:rPr>
        <w:t>Taxes</w:t>
      </w:r>
    </w:p>
    <w:p>
      <w:pPr>
        <w:spacing w:after="0" w:line="233" w:lineRule="exact"/>
        <w:rPr>
          <w:rFonts w:ascii="Arial" w:cs="Arial" w:eastAsia="Arial" w:hAnsi="Arial"/>
          <w:sz w:val="18"/>
          <w:szCs w:val="18"/>
          <w:color w:val="57584F"/>
        </w:rPr>
      </w:pPr>
    </w:p>
    <w:p>
      <w:pPr>
        <w:ind w:left="720" w:right="1099" w:hanging="377"/>
        <w:spacing w:after="0" w:line="269" w:lineRule="auto"/>
        <w:tabs>
          <w:tab w:leader="none" w:pos="72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The Company’s effective tax rate for the third quarter of 2018 was approximately 16.6%. Adjusting for items excluded from the Company’s as-adjusted results, the tax rate was 21.3%.</w:t>
      </w:r>
      <w:r>
        <w:rPr>
          <w:rFonts w:ascii="Arial" w:cs="Arial" w:eastAsia="Arial" w:hAnsi="Arial"/>
          <w:sz w:val="23"/>
          <w:szCs w:val="23"/>
          <w:color w:val="57584F"/>
          <w:vertAlign w:val="superscript"/>
        </w:rPr>
        <w:t>(b)</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UPDATED 2018 COMPANY GUIDANCE</w:t>
      </w:r>
      <w:r>
        <w:rPr>
          <w:rFonts w:ascii="Arial" w:cs="Arial" w:eastAsia="Arial" w:hAnsi="Arial"/>
          <w:sz w:val="23"/>
          <w:szCs w:val="23"/>
          <w:color w:val="auto"/>
          <w:vertAlign w:val="superscript"/>
        </w:rPr>
        <w:t>(b)</w:t>
      </w:r>
    </w:p>
    <w:p>
      <w:pPr>
        <w:spacing w:after="0" w:line="158" w:lineRule="exact"/>
        <w:rPr>
          <w:sz w:val="20"/>
          <w:szCs w:val="20"/>
          <w:color w:val="auto"/>
        </w:rPr>
      </w:pPr>
    </w:p>
    <w:p>
      <w:pPr>
        <w:ind w:left="720" w:right="1099" w:hanging="377"/>
        <w:spacing w:after="0" w:line="234" w:lineRule="auto"/>
        <w:tabs>
          <w:tab w:leader="none" w:pos="720" w:val="left"/>
        </w:tabs>
        <w:numPr>
          <w:ilvl w:val="0"/>
          <w:numId w:val="3"/>
        </w:numPr>
        <w:rPr>
          <w:rFonts w:ascii="Arial" w:cs="Arial" w:eastAsia="Arial" w:hAnsi="Arial"/>
          <w:sz w:val="18"/>
          <w:szCs w:val="18"/>
          <w:color w:val="57584F"/>
        </w:rPr>
      </w:pPr>
      <w:r>
        <w:rPr>
          <w:rFonts w:ascii="Arial" w:cs="Arial" w:eastAsia="Arial" w:hAnsi="Arial"/>
          <w:sz w:val="18"/>
          <w:szCs w:val="18"/>
          <w:color w:val="57584F"/>
        </w:rPr>
        <w:t>The Company’s adjusted earnings per share guidance range increased from $4.05 to $4.10 to $4.13 to $4.15.</w:t>
      </w:r>
    </w:p>
    <w:p>
      <w:pPr>
        <w:spacing w:after="0" w:line="1" w:lineRule="exact"/>
        <w:rPr>
          <w:rFonts w:ascii="Arial" w:cs="Arial" w:eastAsia="Arial" w:hAnsi="Arial"/>
          <w:sz w:val="18"/>
          <w:szCs w:val="18"/>
          <w:color w:val="57584F"/>
        </w:rPr>
      </w:pPr>
    </w:p>
    <w:p>
      <w:pPr>
        <w:ind w:left="720" w:right="1079" w:hanging="377"/>
        <w:spacing w:after="0" w:line="234" w:lineRule="auto"/>
        <w:tabs>
          <w:tab w:leader="none" w:pos="720" w:val="left"/>
        </w:tabs>
        <w:numPr>
          <w:ilvl w:val="0"/>
          <w:numId w:val="3"/>
        </w:numPr>
        <w:rPr>
          <w:rFonts w:ascii="Arial" w:cs="Arial" w:eastAsia="Arial" w:hAnsi="Arial"/>
          <w:sz w:val="18"/>
          <w:szCs w:val="18"/>
          <w:color w:val="57584F"/>
        </w:rPr>
      </w:pPr>
      <w:r>
        <w:rPr>
          <w:rFonts w:ascii="Arial" w:cs="Arial" w:eastAsia="Arial" w:hAnsi="Arial"/>
          <w:sz w:val="18"/>
          <w:szCs w:val="18"/>
          <w:color w:val="57584F"/>
        </w:rPr>
        <w:t>The Company expects to meet or exceed analysts’ current 2018 consensus for adjusted operating EBITDA of $4.204 billion and narrows its range to $4.2 billion to $4.22 billion.</w:t>
      </w:r>
    </w:p>
    <w:p>
      <w:pPr>
        <w:spacing w:after="0" w:line="1" w:lineRule="exact"/>
        <w:rPr>
          <w:rFonts w:ascii="Arial" w:cs="Arial" w:eastAsia="Arial" w:hAnsi="Arial"/>
          <w:sz w:val="18"/>
          <w:szCs w:val="18"/>
          <w:color w:val="57584F"/>
        </w:rPr>
      </w:pPr>
    </w:p>
    <w:p>
      <w:pPr>
        <w:ind w:left="720" w:right="1079" w:hanging="377"/>
        <w:spacing w:after="0" w:line="246" w:lineRule="auto"/>
        <w:tabs>
          <w:tab w:leader="none" w:pos="720" w:val="left"/>
        </w:tabs>
        <w:numPr>
          <w:ilvl w:val="0"/>
          <w:numId w:val="3"/>
        </w:numPr>
        <w:rPr>
          <w:rFonts w:ascii="Arial" w:cs="Arial" w:eastAsia="Arial" w:hAnsi="Arial"/>
          <w:sz w:val="18"/>
          <w:szCs w:val="18"/>
          <w:color w:val="57584F"/>
        </w:rPr>
      </w:pPr>
      <w:r>
        <w:rPr>
          <w:rFonts w:ascii="Arial" w:cs="Arial" w:eastAsia="Arial" w:hAnsi="Arial"/>
          <w:sz w:val="18"/>
          <w:szCs w:val="18"/>
          <w:color w:val="57584F"/>
        </w:rPr>
        <w:t>The Company expects to meet or exceed analysts’ current 2018 consensus of $1.95 billion for free cash flow and narrows its range to $1.95 billion to $2.0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3" w:right="1440" w:bottom="1440" w:gutter="0" w:footer="0" w:header="0"/>
        </w:sectPr>
      </w:pPr>
    </w:p>
    <w:bookmarkStart w:id="5" w:name="page6"/>
    <w:bookmarkEnd w:id="5"/>
    <w:p>
      <w:pPr>
        <w:jc w:val="both"/>
        <w:ind w:right="1079"/>
        <w:spacing w:after="0" w:line="239" w:lineRule="auto"/>
        <w:rPr>
          <w:sz w:val="20"/>
          <w:szCs w:val="20"/>
          <w:color w:val="auto"/>
        </w:rPr>
      </w:pPr>
      <w:r>
        <w:rPr>
          <w:rFonts w:ascii="Arial" w:cs="Arial" w:eastAsia="Arial" w:hAnsi="Arial"/>
          <w:sz w:val="18"/>
          <w:szCs w:val="18"/>
          <w:color w:val="57584F"/>
        </w:rPr>
        <w:t>“I’m enthusiastic about the direction of the company,” Fish said. “We continue to deliver strong financial and operational performance, and we have promoted strong leaders to continue our high standard of operational excellence. With the hard work our employees have demonstrated so far, I am confident that we can achieve our goals for the remainder of this year and set the stage for an even better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564261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2610" cy="34290"/>
                    </a:xfrm>
                    <a:prstGeom prst="rect">
                      <a:avLst/>
                    </a:prstGeom>
                    <a:noFill/>
                  </pic:spPr>
                </pic:pic>
              </a:graphicData>
            </a:graphic>
          </wp:anchor>
        </w:drawing>
      </w:r>
    </w:p>
    <w:p>
      <w:pPr>
        <w:spacing w:after="0" w:line="350" w:lineRule="exact"/>
        <w:rPr>
          <w:sz w:val="20"/>
          <w:szCs w:val="20"/>
          <w:color w:val="auto"/>
        </w:rPr>
      </w:pPr>
    </w:p>
    <w:p>
      <w:pPr>
        <w:ind w:left="720" w:right="1079" w:hanging="442"/>
        <w:spacing w:after="0" w:line="258" w:lineRule="auto"/>
        <w:tabs>
          <w:tab w:leader="none" w:pos="720" w:val="left"/>
        </w:tabs>
        <w:numPr>
          <w:ilvl w:val="0"/>
          <w:numId w:val="4"/>
        </w:numPr>
        <w:rPr>
          <w:rFonts w:ascii="Arial" w:cs="Arial" w:eastAsia="Arial" w:hAnsi="Arial"/>
          <w:sz w:val="14"/>
          <w:szCs w:val="14"/>
          <w:color w:val="57584F"/>
        </w:rPr>
      </w:pPr>
      <w:r>
        <w:rPr>
          <w:rFonts w:ascii="Arial" w:cs="Arial" w:eastAsia="Arial" w:hAnsi="Arial"/>
          <w:sz w:val="14"/>
          <w:szCs w:val="14"/>
          <w:color w:val="57584F"/>
        </w:rPr>
        <w:t>For purposes of this press release, all references to “Net income” refer to the financial statement line item “Net income attributable to Waste Management, Inc.”</w:t>
      </w:r>
    </w:p>
    <w:p>
      <w:pPr>
        <w:spacing w:after="0" w:line="194" w:lineRule="exact"/>
        <w:rPr>
          <w:rFonts w:ascii="Arial" w:cs="Arial" w:eastAsia="Arial" w:hAnsi="Arial"/>
          <w:sz w:val="14"/>
          <w:szCs w:val="14"/>
          <w:color w:val="57584F"/>
        </w:rPr>
      </w:pPr>
    </w:p>
    <w:p>
      <w:pPr>
        <w:jc w:val="both"/>
        <w:ind w:left="720" w:right="1079" w:hanging="442"/>
        <w:spacing w:after="0" w:line="250" w:lineRule="auto"/>
        <w:tabs>
          <w:tab w:leader="none" w:pos="720" w:val="left"/>
        </w:tabs>
        <w:numPr>
          <w:ilvl w:val="0"/>
          <w:numId w:val="4"/>
        </w:numPr>
        <w:rPr>
          <w:rFonts w:ascii="Arial" w:cs="Arial" w:eastAsia="Arial" w:hAnsi="Arial"/>
          <w:sz w:val="14"/>
          <w:szCs w:val="14"/>
          <w:color w:val="57584F"/>
        </w:rPr>
      </w:pPr>
      <w:r>
        <w:rPr>
          <w:rFonts w:ascii="Arial" w:cs="Arial" w:eastAsia="Arial" w:hAnsi="Arial"/>
          <w:sz w:val="14"/>
          <w:szCs w:val="14"/>
          <w:color w:val="57584F"/>
        </w:rPr>
        <w:t>Adjusted earnings per diluted share, adjusted net income, adjusted operating EBITDA, adjusted tax rate, and free cash flow are non-GAAP measures. Please see “Non-GAAP Financial Measures” below and the reconciliations in the accompanying schedules for more information.</w:t>
      </w:r>
    </w:p>
    <w:p>
      <w:pPr>
        <w:spacing w:after="0" w:line="199" w:lineRule="exact"/>
        <w:rPr>
          <w:rFonts w:ascii="Arial" w:cs="Arial" w:eastAsia="Arial" w:hAnsi="Arial"/>
          <w:sz w:val="14"/>
          <w:szCs w:val="14"/>
          <w:color w:val="57584F"/>
        </w:rPr>
      </w:pPr>
    </w:p>
    <w:p>
      <w:pPr>
        <w:ind w:left="720" w:right="1099" w:hanging="438"/>
        <w:spacing w:after="0" w:line="258" w:lineRule="auto"/>
        <w:tabs>
          <w:tab w:leader="none" w:pos="720" w:val="left"/>
        </w:tabs>
        <w:numPr>
          <w:ilvl w:val="0"/>
          <w:numId w:val="4"/>
        </w:numPr>
        <w:rPr>
          <w:rFonts w:ascii="Arial" w:cs="Arial" w:eastAsia="Arial" w:hAnsi="Arial"/>
          <w:sz w:val="14"/>
          <w:szCs w:val="14"/>
          <w:color w:val="57584F"/>
        </w:rPr>
      </w:pPr>
      <w:r>
        <w:rPr>
          <w:rFonts w:ascii="Arial" w:cs="Arial" w:eastAsia="Arial" w:hAnsi="Arial"/>
          <w:sz w:val="14"/>
          <w:szCs w:val="14"/>
          <w:color w:val="57584F"/>
        </w:rPr>
        <w:t>Management defines operating EBITDA as GAAP income from operations before depreciation and amortization; this measure may not be comparable to similarly-titled measures reported by other companies.</w:t>
      </w:r>
    </w:p>
    <w:p>
      <w:pPr>
        <w:spacing w:after="0" w:line="194" w:lineRule="exact"/>
        <w:rPr>
          <w:rFonts w:ascii="Arial" w:cs="Arial" w:eastAsia="Arial" w:hAnsi="Arial"/>
          <w:sz w:val="14"/>
          <w:szCs w:val="14"/>
          <w:color w:val="57584F"/>
        </w:rPr>
      </w:pPr>
    </w:p>
    <w:p>
      <w:pPr>
        <w:jc w:val="both"/>
        <w:ind w:left="720" w:right="1079" w:hanging="442"/>
        <w:spacing w:after="0" w:line="247" w:lineRule="auto"/>
        <w:tabs>
          <w:tab w:leader="none" w:pos="720" w:val="left"/>
        </w:tabs>
        <w:numPr>
          <w:ilvl w:val="0"/>
          <w:numId w:val="4"/>
        </w:numPr>
        <w:rPr>
          <w:rFonts w:ascii="Arial" w:cs="Arial" w:eastAsia="Arial" w:hAnsi="Arial"/>
          <w:sz w:val="14"/>
          <w:szCs w:val="14"/>
          <w:color w:val="57584F"/>
        </w:rPr>
      </w:pPr>
      <w:r>
        <w:rPr>
          <w:rFonts w:ascii="Arial" w:cs="Arial" w:eastAsia="Arial" w:hAnsi="Arial"/>
          <w:sz w:val="14"/>
          <w:szCs w:val="14"/>
          <w:color w:val="57584F"/>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290" w:lineRule="exact"/>
        <w:rPr>
          <w:sz w:val="20"/>
          <w:szCs w:val="20"/>
          <w:color w:val="auto"/>
        </w:rPr>
      </w:pPr>
    </w:p>
    <w:p>
      <w:pPr>
        <w:jc w:val="both"/>
        <w:ind w:right="1079"/>
        <w:spacing w:after="0"/>
        <w:rPr>
          <w:sz w:val="20"/>
          <w:szCs w:val="20"/>
          <w:color w:val="auto"/>
        </w:rPr>
      </w:pPr>
      <w:r>
        <w:rPr>
          <w:rFonts w:ascii="Arial" w:cs="Arial" w:eastAsia="Arial" w:hAnsi="Arial"/>
          <w:sz w:val="18"/>
          <w:szCs w:val="18"/>
          <w:color w:val="57584F"/>
        </w:rPr>
        <w:t>The Company will host a conference call at 10:00 a.m. (Eastern) today to discuss the third quarter results. Information contained within this press release will be referenced and should be considered in conjunction with the call.</w:t>
      </w:r>
    </w:p>
    <w:p>
      <w:pPr>
        <w:spacing w:after="0" w:line="203" w:lineRule="exact"/>
        <w:rPr>
          <w:sz w:val="20"/>
          <w:szCs w:val="20"/>
          <w:color w:val="auto"/>
        </w:rPr>
      </w:pPr>
    </w:p>
    <w:p>
      <w:pPr>
        <w:jc w:val="both"/>
        <w:ind w:right="1079"/>
        <w:spacing w:after="0" w:line="239" w:lineRule="auto"/>
        <w:rPr>
          <w:sz w:val="20"/>
          <w:szCs w:val="20"/>
          <w:color w:val="auto"/>
        </w:rPr>
      </w:pPr>
      <w:r>
        <w:rPr>
          <w:rFonts w:ascii="Arial" w:cs="Arial" w:eastAsia="Arial" w:hAnsi="Arial"/>
          <w:sz w:val="18"/>
          <w:szCs w:val="18"/>
          <w:color w:val="57584F"/>
        </w:rPr>
        <w:t xml:space="preserve">The conference call will be webcast live from the Investor Relations section of Waste Management’s website </w:t>
      </w:r>
      <w:r>
        <w:rPr>
          <w:rFonts w:ascii="Arial" w:cs="Arial" w:eastAsia="Arial" w:hAnsi="Arial"/>
          <w:sz w:val="18"/>
          <w:szCs w:val="18"/>
          <w:u w:val="single" w:color="auto"/>
          <w:color w:val="0000FF"/>
        </w:rPr>
        <w:t>www.wm.com</w:t>
      </w:r>
      <w:r>
        <w:rPr>
          <w:rFonts w:ascii="Arial" w:cs="Arial" w:eastAsia="Arial" w:hAnsi="Arial"/>
          <w:sz w:val="18"/>
          <w:szCs w:val="18"/>
          <w:color w:val="57584F"/>
        </w:rPr>
        <w:t>. To access the conference call by telephone, please dial (877) 710-6139 approximately 10 minutes</w:t>
      </w:r>
      <w:r>
        <w:rPr>
          <w:rFonts w:ascii="Arial" w:cs="Arial" w:eastAsia="Arial" w:hAnsi="Arial"/>
          <w:sz w:val="18"/>
          <w:szCs w:val="18"/>
          <w:color w:val="0000FF"/>
        </w:rPr>
        <w:t xml:space="preserve"> </w:t>
      </w:r>
      <w:r>
        <w:rPr>
          <w:rFonts w:ascii="Arial" w:cs="Arial" w:eastAsia="Arial" w:hAnsi="Arial"/>
          <w:sz w:val="18"/>
          <w:szCs w:val="18"/>
          <w:color w:val="57584F"/>
        </w:rPr>
        <w:t>prior to the scheduled start of the call. If you are calling from outside of the United States or Canada, please dial (706) 643-7398. Please utilize conference ID number 6079618 when prompted by the conference call operator.</w:t>
      </w:r>
    </w:p>
    <w:p>
      <w:pPr>
        <w:spacing w:after="0" w:line="202" w:lineRule="exact"/>
        <w:rPr>
          <w:sz w:val="20"/>
          <w:szCs w:val="20"/>
          <w:color w:val="auto"/>
        </w:rPr>
      </w:pPr>
    </w:p>
    <w:p>
      <w:pPr>
        <w:jc w:val="both"/>
        <w:ind w:right="1079"/>
        <w:spacing w:after="0" w:line="239" w:lineRule="auto"/>
        <w:rPr>
          <w:sz w:val="20"/>
          <w:szCs w:val="20"/>
          <w:color w:val="auto"/>
        </w:rPr>
      </w:pPr>
      <w:r>
        <w:rPr>
          <w:rFonts w:ascii="Arial" w:cs="Arial" w:eastAsia="Arial" w:hAnsi="Arial"/>
          <w:sz w:val="18"/>
          <w:szCs w:val="18"/>
          <w:color w:val="57584F"/>
        </w:rPr>
        <w:t xml:space="preserve">A replay of the conference call will be available on the Company’s website </w:t>
      </w:r>
      <w:r>
        <w:rPr>
          <w:rFonts w:ascii="Arial" w:cs="Arial" w:eastAsia="Arial" w:hAnsi="Arial"/>
          <w:sz w:val="18"/>
          <w:szCs w:val="18"/>
          <w:u w:val="single" w:color="auto"/>
          <w:color w:val="0000FF"/>
        </w:rPr>
        <w:t>www.wm.com</w:t>
      </w:r>
      <w:r>
        <w:rPr>
          <w:rFonts w:ascii="Arial" w:cs="Arial" w:eastAsia="Arial" w:hAnsi="Arial"/>
          <w:sz w:val="18"/>
          <w:szCs w:val="18"/>
          <w:color w:val="57584F"/>
        </w:rPr>
        <w:t xml:space="preserve"> and by telephone from approximately 1:00 p.m. (Eastern) today through 5:00 p.m. (Eastern), on Thursday, November 15, 2018. To access the replay telephonically, please dial (855) 859-2056, or from outside of the United States or Canada dial (404) 537-3406, and use the replay conference ID number 6079618.</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WASTE MANAGEMENT</w:t>
      </w:r>
    </w:p>
    <w:p>
      <w:pPr>
        <w:spacing w:after="0" w:line="22" w:lineRule="exact"/>
        <w:rPr>
          <w:sz w:val="20"/>
          <w:szCs w:val="20"/>
          <w:color w:val="auto"/>
        </w:rPr>
      </w:pPr>
    </w:p>
    <w:p>
      <w:pPr>
        <w:jc w:val="both"/>
        <w:ind w:right="1079"/>
        <w:spacing w:after="0" w:line="237" w:lineRule="auto"/>
        <w:rPr>
          <w:sz w:val="20"/>
          <w:szCs w:val="20"/>
          <w:color w:val="auto"/>
        </w:rPr>
      </w:pPr>
      <w:r>
        <w:rPr>
          <w:rFonts w:ascii="Arial" w:cs="Arial" w:eastAsia="Arial" w:hAnsi="Arial"/>
          <w:sz w:val="18"/>
          <w:szCs w:val="18"/>
          <w:color w:val="595959"/>
        </w:rPr>
        <w:t xml:space="preserve">Waste Management, based in Houston, Texas, is the leading provider of comprehensive waste management environmental services in North America. Through its subsidiaries, the Company provides collection, transfer, disposal services, and recycling and resource recovery.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595959"/>
        </w:rPr>
        <w:t>www.wm.com</w:t>
      </w:r>
      <w:r>
        <w:rPr>
          <w:rFonts w:ascii="Arial" w:cs="Arial" w:eastAsia="Arial" w:hAnsi="Arial"/>
          <w:sz w:val="18"/>
          <w:szCs w:val="18"/>
          <w:color w:val="595959"/>
        </w:rPr>
        <w:t xml:space="preserve"> or </w:t>
      </w:r>
      <w:r>
        <w:rPr>
          <w:rFonts w:ascii="Arial" w:cs="Arial" w:eastAsia="Arial" w:hAnsi="Arial"/>
          <w:sz w:val="18"/>
          <w:szCs w:val="18"/>
          <w:u w:val="single" w:color="auto"/>
          <w:color w:val="0000FF"/>
        </w:rPr>
        <w:t>www.thinkgreen.com</w:t>
      </w:r>
      <w:r>
        <w:rPr>
          <w:rFonts w:ascii="Arial" w:cs="Arial" w:eastAsia="Arial" w:hAnsi="Arial"/>
          <w:sz w:val="18"/>
          <w:szCs w:val="18"/>
          <w:color w:val="595959"/>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2" w:lineRule="exact"/>
        <w:rPr>
          <w:sz w:val="20"/>
          <w:szCs w:val="20"/>
          <w:color w:val="auto"/>
        </w:rPr>
      </w:pPr>
    </w:p>
    <w:p>
      <w:pPr>
        <w:jc w:val="both"/>
        <w:ind w:right="1079"/>
        <w:spacing w:after="0" w:line="236" w:lineRule="auto"/>
        <w:rPr>
          <w:sz w:val="20"/>
          <w:szCs w:val="20"/>
          <w:color w:val="auto"/>
        </w:rPr>
      </w:pPr>
      <w:r>
        <w:rPr>
          <w:rFonts w:ascii="Arial" w:cs="Arial" w:eastAsia="Arial" w:hAnsi="Arial"/>
          <w:sz w:val="18"/>
          <w:szCs w:val="18"/>
          <w:color w:val="57584F"/>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statements regarding 2018 earnings per diluted share; 2018 free cash flow; 2018 operating EBITDA; future performance of the solid waste business and future performance of the recycling business, including impact to earnings per share.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6" w:name="page7"/>
    <w:bookmarkEnd w:id="6"/>
    <w:p>
      <w:pPr>
        <w:spacing w:after="0" w:line="62" w:lineRule="exact"/>
        <w:rPr>
          <w:sz w:val="20"/>
          <w:szCs w:val="20"/>
          <w:color w:val="auto"/>
        </w:rPr>
      </w:pPr>
    </w:p>
    <w:p>
      <w:pPr>
        <w:jc w:val="both"/>
        <w:ind w:right="2180"/>
        <w:spacing w:after="0" w:line="236" w:lineRule="auto"/>
        <w:rPr>
          <w:sz w:val="20"/>
          <w:szCs w:val="20"/>
          <w:color w:val="auto"/>
        </w:rPr>
      </w:pPr>
      <w:r>
        <w:rPr>
          <w:rFonts w:ascii="Arial" w:cs="Arial" w:eastAsia="Arial" w:hAnsi="Arial"/>
          <w:sz w:val="18"/>
          <w:szCs w:val="18"/>
          <w:color w:val="57584F"/>
        </w:rPr>
        <w:t>optimization, growth, and cost savings initiatives and overall business strategy; failure to identify acquisition targets and negotiate attractive terms; failure to consummate or integrate such acquisitions; failure to obtain the results anticipated from acquisitions; environmental and other regulations; commodity price fluctuations; international trade restrictions;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2" w:lineRule="exact"/>
        <w:rPr>
          <w:sz w:val="20"/>
          <w:szCs w:val="20"/>
          <w:color w:val="auto"/>
        </w:rPr>
      </w:pPr>
    </w:p>
    <w:p>
      <w:pPr>
        <w:jc w:val="both"/>
        <w:ind w:right="2180"/>
        <w:spacing w:after="0" w:line="236" w:lineRule="auto"/>
        <w:rPr>
          <w:sz w:val="20"/>
          <w:szCs w:val="20"/>
          <w:color w:val="auto"/>
        </w:rPr>
      </w:pPr>
      <w:r>
        <w:rPr>
          <w:rFonts w:ascii="Arial" w:cs="Arial" w:eastAsia="Arial" w:hAnsi="Arial"/>
          <w:sz w:val="18"/>
          <w:szCs w:val="18"/>
          <w:color w:val="57584F"/>
        </w:rPr>
        <w:t>To supplement its financial information, the Company, in some instances, has presented adjusted earnings per diluted share, adjusted net income, adjusted operating EBITDA, adjusted tax rate and free cash flow, and has also discussed projections of adjusted earnings per diluted share, adjusted operating EBITDA, and free cash flow; these are non-GAAP financial measures,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its results of operations and (ii) financial measures the Company uses in the management of its business.</w:t>
      </w:r>
    </w:p>
    <w:p>
      <w:pPr>
        <w:spacing w:after="0" w:line="194" w:lineRule="exact"/>
        <w:rPr>
          <w:sz w:val="20"/>
          <w:szCs w:val="20"/>
          <w:color w:val="auto"/>
        </w:rPr>
      </w:pPr>
    </w:p>
    <w:p>
      <w:pPr>
        <w:jc w:val="both"/>
        <w:ind w:right="2180"/>
        <w:spacing w:after="0" w:line="237" w:lineRule="auto"/>
        <w:rPr>
          <w:sz w:val="20"/>
          <w:szCs w:val="20"/>
          <w:color w:val="auto"/>
        </w:rPr>
      </w:pPr>
      <w:r>
        <w:rPr>
          <w:rFonts w:ascii="Arial" w:cs="Arial" w:eastAsia="Arial" w:hAnsi="Arial"/>
          <w:sz w:val="18"/>
          <w:szCs w:val="18"/>
          <w:color w:val="57584F"/>
        </w:rPr>
        <w:t>The Company’s projected full year 2018 earnings per diluted share and operating EBITDA are anticipated to exclude the effects of events or circumstances in 2018 that are not representative or indicative of the Company’s results of operations. Such excluded items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full-year earnings per diluted share or operating EBITDA to the comparable GAAP measures.</w:t>
      </w:r>
    </w:p>
    <w:p>
      <w:pPr>
        <w:spacing w:after="0" w:line="190" w:lineRule="exact"/>
        <w:rPr>
          <w:sz w:val="20"/>
          <w:szCs w:val="20"/>
          <w:color w:val="auto"/>
        </w:rPr>
      </w:pPr>
    </w:p>
    <w:p>
      <w:pPr>
        <w:jc w:val="both"/>
        <w:ind w:right="2180"/>
        <w:spacing w:after="0" w:line="236" w:lineRule="auto"/>
        <w:rPr>
          <w:sz w:val="20"/>
          <w:szCs w:val="20"/>
          <w:color w:val="auto"/>
        </w:rPr>
      </w:pPr>
      <w:r>
        <w:rPr>
          <w:rFonts w:ascii="Arial" w:cs="Arial" w:eastAsia="Arial" w:hAnsi="Arial"/>
          <w:sz w:val="18"/>
          <w:szCs w:val="18"/>
          <w:color w:val="57584F"/>
        </w:rPr>
        <w:t>The Company discusses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93" w:lineRule="exact"/>
        <w:rPr>
          <w:sz w:val="20"/>
          <w:szCs w:val="20"/>
          <w:color w:val="auto"/>
        </w:rPr>
      </w:pPr>
    </w:p>
    <w:p>
      <w:pPr>
        <w:jc w:val="both"/>
        <w:ind w:right="2180"/>
        <w:spacing w:after="0" w:line="234" w:lineRule="auto"/>
        <w:rPr>
          <w:sz w:val="20"/>
          <w:szCs w:val="20"/>
          <w:color w:val="auto"/>
        </w:rPr>
      </w:pPr>
      <w:r>
        <w:rPr>
          <w:rFonts w:ascii="Arial" w:cs="Arial" w:eastAsia="Arial" w:hAnsi="Arial"/>
          <w:sz w:val="18"/>
          <w:szCs w:val="18"/>
          <w:color w:val="57584F"/>
        </w:rPr>
        <w:t>The quantitative reconciliations of non-GAAP measures used herein to the most comparable GAAP measures are included in the accompanying schedules, with the exception of projected earnings per diluted share and operating EBITDA. Non-GAAP measures should not be considered a substitute for financial measures presented in accordance with GAAP.</w:t>
      </w:r>
    </w:p>
    <w:p>
      <w:pPr>
        <w:spacing w:after="0" w:line="3" w:lineRule="exact"/>
        <w:rPr>
          <w:sz w:val="20"/>
          <w:szCs w:val="20"/>
          <w:color w:val="auto"/>
        </w:rPr>
      </w:pPr>
    </w:p>
    <w:p>
      <w:pPr>
        <w:ind w:left="4420"/>
        <w:spacing w:after="0"/>
        <w:rPr>
          <w:sz w:val="20"/>
          <w:szCs w:val="20"/>
          <w:color w:val="auto"/>
        </w:rPr>
      </w:pPr>
      <w:r>
        <w:rPr>
          <w:rFonts w:ascii="Arial" w:cs="Arial" w:eastAsia="Arial" w:hAnsi="Arial"/>
          <w:sz w:val="18"/>
          <w:szCs w:val="18"/>
          <w:color w:val="5758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9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left="293"/>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293"/>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vMerge w:val="restart"/>
          </w:tcPr>
          <w:p>
            <w:pPr>
              <w:spacing w:after="0"/>
              <w:rPr>
                <w:sz w:val="20"/>
                <w:szCs w:val="20"/>
                <w:color w:val="auto"/>
              </w:rPr>
            </w:pPr>
            <w:r>
              <w:rPr>
                <w:rFonts w:ascii="Arial" w:cs="Arial" w:eastAsia="Arial" w:hAnsi="Arial"/>
                <w:sz w:val="18"/>
                <w:szCs w:val="18"/>
                <w:color w:val="auto"/>
              </w:rPr>
              <w:t>Operating revenues</w:t>
            </w:r>
          </w:p>
        </w:tc>
        <w:tc>
          <w:tcPr>
            <w:tcW w:w="8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11,072</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060" w:type="dxa"/>
            <w:vAlign w:val="bottom"/>
          </w:tcPr>
          <w:p>
            <w:pPr>
              <w:spacing w:after="0" w:line="182" w:lineRule="exact"/>
              <w:rPr>
                <w:sz w:val="20"/>
                <w:szCs w:val="20"/>
                <w:color w:val="auto"/>
              </w:rPr>
            </w:pPr>
            <w:r>
              <w:rPr>
                <w:rFonts w:ascii="Arial" w:cs="Arial" w:eastAsia="Arial" w:hAnsi="Arial"/>
                <w:sz w:val="18"/>
                <w:szCs w:val="18"/>
                <w:color w:val="auto"/>
              </w:rPr>
              <w:t>Costs and expenses:</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6,870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Pr>
          <w:p>
            <w:pPr>
              <w:ind w:left="120"/>
              <w:spacing w:after="0"/>
              <w:rPr>
                <w:sz w:val="20"/>
                <w:szCs w:val="20"/>
                <w:color w:val="auto"/>
              </w:rPr>
            </w:pPr>
            <w:r>
              <w:rPr>
                <w:rFonts w:ascii="Arial" w:cs="Arial" w:eastAsia="Arial" w:hAnsi="Arial"/>
                <w:sz w:val="18"/>
                <w:szCs w:val="18"/>
                <w:color w:val="auto"/>
              </w:rPr>
              <w:t>(Gain) loss from divestitures, asset impairments and unusual items, net</w:t>
            </w:r>
          </w:p>
        </w:tc>
        <w:tc>
          <w:tcPr>
            <w:tcW w:w="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6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060" w:type="dxa"/>
            <w:vAlign w:val="bottom"/>
          </w:tcPr>
          <w:p>
            <w:pPr>
              <w:spacing w:after="0" w:line="182" w:lineRule="exact"/>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Arial" w:cs="Arial" w:eastAsia="Arial" w:hAnsi="Arial"/>
                <w:sz w:val="18"/>
                <w:szCs w:val="18"/>
                <w:color w:val="auto"/>
              </w:rPr>
              <w:t>Equity in net losses of unconsolidated entities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606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6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6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597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603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1,717</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1,607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Income tax expense</w:t>
            </w:r>
          </w:p>
        </w:tc>
        <w:tc>
          <w:tcPr>
            <w:tcW w:w="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060" w:type="dxa"/>
            <w:vAlign w:val="bottom"/>
          </w:tcPr>
          <w:p>
            <w:pPr>
              <w:spacing w:after="0" w:line="195" w:lineRule="exact"/>
              <w:rPr>
                <w:sz w:val="20"/>
                <w:szCs w:val="20"/>
                <w:color w:val="auto"/>
              </w:rPr>
            </w:pPr>
            <w:r>
              <w:rPr>
                <w:rFonts w:ascii="Arial" w:cs="Arial" w:eastAsia="Arial" w:hAnsi="Arial"/>
                <w:sz w:val="18"/>
                <w:szCs w:val="18"/>
                <w:color w:val="auto"/>
              </w:rPr>
              <w:t>Consolidated net income</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498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388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1,392</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1,046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20"/>
              <w:spacing w:after="0"/>
              <w:rPr>
                <w:sz w:val="20"/>
                <w:szCs w:val="20"/>
                <w:color w:val="auto"/>
              </w:rPr>
            </w:pPr>
            <w:r>
              <w:rPr>
                <w:rFonts w:ascii="Arial" w:cs="Arial" w:eastAsia="Arial" w:hAnsi="Arial"/>
                <w:sz w:val="18"/>
                <w:szCs w:val="18"/>
                <w:color w:val="auto"/>
              </w:rPr>
              <w:t>Less: Net income (loss) attributable to noncontrolling interests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320"/>
          </w:cols>
          <w:pgMar w:left="240" w:top="355"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2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499</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1,394</w:t>
            </w:r>
          </w:p>
        </w:tc>
        <w:tc>
          <w:tcPr>
            <w:tcW w:w="2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1,046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Basic earnings per common share</w:t>
            </w:r>
          </w:p>
        </w:tc>
        <w:tc>
          <w:tcPr>
            <w:tcW w:w="2100" w:type="dxa"/>
            <w:vAlign w:val="bottom"/>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vMerge w:val="continue"/>
          </w:tcPr>
          <w:p>
            <w:pPr>
              <w:spacing w:after="0"/>
              <w:rPr>
                <w:sz w:val="17"/>
                <w:szCs w:val="17"/>
                <w:color w:val="auto"/>
              </w:rPr>
            </w:pPr>
          </w:p>
        </w:tc>
        <w:tc>
          <w:tcPr>
            <w:tcW w:w="21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w:t>
            </w:r>
          </w:p>
        </w:tc>
        <w:tc>
          <w:tcPr>
            <w:tcW w:w="22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0.88</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w:t>
            </w:r>
          </w:p>
        </w:tc>
        <w:tc>
          <w:tcPr>
            <w:tcW w:w="2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1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vMerge w:val="continue"/>
          </w:tcPr>
          <w:p>
            <w:pPr>
              <w:spacing w:after="0"/>
              <w:rPr>
                <w:sz w:val="17"/>
                <w:szCs w:val="17"/>
                <w:color w:val="auto"/>
              </w:rPr>
            </w:pPr>
          </w:p>
        </w:tc>
        <w:tc>
          <w:tcPr>
            <w:tcW w:w="21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w:t>
            </w:r>
          </w:p>
        </w:tc>
        <w:tc>
          <w:tcPr>
            <w:tcW w:w="22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0.87</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3.22</w:t>
            </w:r>
          </w:p>
        </w:tc>
        <w:tc>
          <w:tcPr>
            <w:tcW w:w="2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Weighted average basic common shares outstanding</w:t>
            </w:r>
          </w:p>
        </w:tc>
        <w:tc>
          <w:tcPr>
            <w:tcW w:w="2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vMerge w:val="continue"/>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427.9</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437.8</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430.3</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Weighted average diluted common shares outstanding</w:t>
            </w:r>
          </w:p>
        </w:tc>
        <w:tc>
          <w:tcPr>
            <w:tcW w:w="2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vMerge w:val="continue"/>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430.8</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440.8</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433.2</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21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vMerge w:val="continue"/>
          </w:tcPr>
          <w:p>
            <w:pPr>
              <w:spacing w:after="0"/>
              <w:rPr>
                <w:sz w:val="17"/>
                <w:szCs w:val="17"/>
                <w:color w:val="auto"/>
              </w:rPr>
            </w:pPr>
          </w:p>
        </w:tc>
        <w:tc>
          <w:tcPr>
            <w:tcW w:w="21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0.465</w:t>
            </w:r>
          </w:p>
        </w:tc>
        <w:tc>
          <w:tcPr>
            <w:tcW w:w="22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0.425</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1.395</w:t>
            </w:r>
          </w:p>
        </w:tc>
        <w:tc>
          <w:tcPr>
            <w:tcW w:w="2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100" w:type="dxa"/>
            <w:vAlign w:val="bottom"/>
            <w:vMerge w:val="restart"/>
          </w:tcPr>
          <w:p>
            <w:pPr>
              <w:jc w:val="right"/>
              <w:ind w:right="103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80" w:type="dxa"/>
            <w:vAlign w:val="bottom"/>
            <w:tcBorders>
              <w:bottom w:val="single" w:sz="8" w:color="808080"/>
            </w:tcBorders>
          </w:tcPr>
          <w:p>
            <w:pPr>
              <w:spacing w:after="0"/>
              <w:rPr>
                <w:sz w:val="11"/>
                <w:szCs w:val="11"/>
                <w:color w:val="auto"/>
              </w:rPr>
            </w:pPr>
          </w:p>
        </w:tc>
        <w:tc>
          <w:tcPr>
            <w:tcW w:w="2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WASTE MANAGEMENT, INC.</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b w:val="1"/>
                <w:bCs w:val="1"/>
                <w:color w:val="auto"/>
                <w:w w:val="93"/>
              </w:rPr>
              <w:t>September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92"/>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60" w:type="dxa"/>
            <w:vAlign w:val="bottom"/>
            <w:vMerge w:val="restart"/>
          </w:tcPr>
          <w:p>
            <w:pPr>
              <w:ind w:left="3980"/>
              <w:spacing w:after="0"/>
              <w:rPr>
                <w:sz w:val="20"/>
                <w:szCs w:val="20"/>
                <w:color w:val="auto"/>
              </w:rPr>
            </w:pPr>
            <w:r>
              <w:rPr>
                <w:rFonts w:ascii="Arial" w:cs="Arial" w:eastAsia="Arial" w:hAnsi="Arial"/>
                <w:sz w:val="18"/>
                <w:szCs w:val="18"/>
                <w:b w:val="1"/>
                <w:bCs w:val="1"/>
                <w:color w:val="auto"/>
              </w:rPr>
              <w:t>ASSETS</w:t>
            </w:r>
          </w:p>
        </w:tc>
        <w:tc>
          <w:tcPr>
            <w:tcW w:w="3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560" w:type="dxa"/>
            <w:vAlign w:val="bottom"/>
            <w:vMerge w:val="continue"/>
          </w:tcPr>
          <w:p>
            <w:pPr>
              <w:spacing w:after="0"/>
              <w:rPr>
                <w:sz w:val="15"/>
                <w:szCs w:val="15"/>
                <w:color w:val="auto"/>
              </w:rPr>
            </w:pP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Current assets: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Receivables, net</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120"/>
              <w:spacing w:after="0"/>
              <w:rPr>
                <w:sz w:val="20"/>
                <w:szCs w:val="20"/>
                <w:color w:val="auto"/>
              </w:rPr>
            </w:pPr>
            <w:r>
              <w:rPr>
                <w:rFonts w:ascii="Arial" w:cs="Arial" w:eastAsia="Arial" w:hAnsi="Arial"/>
                <w:sz w:val="18"/>
                <w:szCs w:val="18"/>
                <w:color w:val="auto"/>
              </w:rPr>
              <w:t>Other</w:t>
            </w:r>
          </w:p>
        </w:tc>
        <w:tc>
          <w:tcPr>
            <w:tcW w:w="3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560" w:type="dxa"/>
            <w:vAlign w:val="bottom"/>
          </w:tcPr>
          <w:p>
            <w:pPr>
              <w:ind w:left="240"/>
              <w:spacing w:after="0" w:line="195" w:lineRule="exact"/>
              <w:rPr>
                <w:sz w:val="20"/>
                <w:szCs w:val="20"/>
                <w:color w:val="auto"/>
              </w:rPr>
            </w:pPr>
            <w:r>
              <w:rPr>
                <w:rFonts w:ascii="Arial" w:cs="Arial" w:eastAsia="Arial" w:hAnsi="Arial"/>
                <w:sz w:val="18"/>
                <w:szCs w:val="18"/>
                <w:color w:val="auto"/>
              </w:rPr>
              <w:t>Total current assets</w:t>
            </w:r>
          </w:p>
        </w:tc>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2,675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2,624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Goodwill</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Other</w:t>
            </w:r>
          </w:p>
        </w:tc>
        <w:tc>
          <w:tcPr>
            <w:tcW w:w="3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300"/>
              <w:spacing w:after="0"/>
              <w:rPr>
                <w:sz w:val="20"/>
                <w:szCs w:val="20"/>
                <w:color w:val="auto"/>
              </w:rPr>
            </w:pPr>
            <w:r>
              <w:rPr>
                <w:rFonts w:ascii="Arial" w:cs="Arial" w:eastAsia="Arial" w:hAnsi="Arial"/>
                <w:sz w:val="18"/>
                <w:szCs w:val="18"/>
                <w:color w:val="auto"/>
              </w:rPr>
              <w:t>Total assets</w:t>
            </w:r>
          </w:p>
        </w:tc>
        <w:tc>
          <w:tcPr>
            <w:tcW w:w="3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22,591</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ind w:left="3160"/>
              <w:spacing w:after="0" w:line="195" w:lineRule="exact"/>
              <w:rPr>
                <w:sz w:val="20"/>
                <w:szCs w:val="20"/>
                <w:color w:val="auto"/>
              </w:rPr>
            </w:pPr>
            <w:r>
              <w:rPr>
                <w:rFonts w:ascii="Arial" w:cs="Arial" w:eastAsia="Arial" w:hAnsi="Arial"/>
                <w:sz w:val="18"/>
                <w:szCs w:val="18"/>
                <w:b w:val="1"/>
                <w:bCs w:val="1"/>
                <w:color w:val="auto"/>
              </w:rPr>
              <w:t>LIABILITIES AND EQUITY</w:t>
            </w:r>
          </w:p>
        </w:tc>
        <w:tc>
          <w:tcPr>
            <w:tcW w:w="3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60" w:type="dxa"/>
            <w:vAlign w:val="bottom"/>
            <w:vMerge w:val="continue"/>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Current liabilities: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Accounts payable, accrued liabilities and deferred revenues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2,623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3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560" w:type="dxa"/>
            <w:vAlign w:val="bottom"/>
          </w:tcPr>
          <w:p>
            <w:pPr>
              <w:ind w:left="240"/>
              <w:spacing w:after="0" w:line="195" w:lineRule="exact"/>
              <w:rPr>
                <w:sz w:val="20"/>
                <w:szCs w:val="20"/>
                <w:color w:val="auto"/>
              </w:rPr>
            </w:pPr>
            <w:r>
              <w:rPr>
                <w:rFonts w:ascii="Arial" w:cs="Arial" w:eastAsia="Arial" w:hAnsi="Arial"/>
                <w:sz w:val="18"/>
                <w:szCs w:val="18"/>
                <w:color w:val="auto"/>
              </w:rPr>
              <w:t>Total current liabilities</w:t>
            </w:r>
          </w:p>
        </w:tc>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3,070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3,262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Other</w:t>
            </w:r>
          </w:p>
        </w:tc>
        <w:tc>
          <w:tcPr>
            <w:tcW w:w="3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300"/>
              <w:spacing w:after="0"/>
              <w:rPr>
                <w:sz w:val="20"/>
                <w:szCs w:val="20"/>
                <w:color w:val="auto"/>
              </w:rPr>
            </w:pPr>
            <w:r>
              <w:rPr>
                <w:rFonts w:ascii="Arial" w:cs="Arial" w:eastAsia="Arial" w:hAnsi="Arial"/>
                <w:sz w:val="18"/>
                <w:szCs w:val="18"/>
                <w:color w:val="auto"/>
              </w:rPr>
              <w:t>Total liabilities</w:t>
            </w:r>
          </w:p>
        </w:tc>
        <w:tc>
          <w:tcPr>
            <w:tcW w:w="3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560" w:type="dxa"/>
            <w:vAlign w:val="bottom"/>
          </w:tcPr>
          <w:p>
            <w:pPr>
              <w:spacing w:after="0" w:line="182" w:lineRule="exact"/>
              <w:rPr>
                <w:sz w:val="20"/>
                <w:szCs w:val="20"/>
                <w:color w:val="auto"/>
              </w:rPr>
            </w:pPr>
            <w:r>
              <w:rPr>
                <w:rFonts w:ascii="Arial" w:cs="Arial" w:eastAsia="Arial" w:hAnsi="Arial"/>
                <w:sz w:val="18"/>
                <w:szCs w:val="18"/>
                <w:color w:val="auto"/>
              </w:rPr>
              <w:t>Equity:</w:t>
            </w: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Waste Management, Inc. stockholders’ equity</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120"/>
              <w:spacing w:after="0"/>
              <w:rPr>
                <w:sz w:val="20"/>
                <w:szCs w:val="20"/>
                <w:color w:val="auto"/>
              </w:rPr>
            </w:pPr>
            <w:r>
              <w:rPr>
                <w:rFonts w:ascii="Arial" w:cs="Arial" w:eastAsia="Arial" w:hAnsi="Arial"/>
                <w:sz w:val="18"/>
                <w:szCs w:val="18"/>
                <w:color w:val="auto"/>
              </w:rPr>
              <w:t>Noncontrolling interests</w:t>
            </w:r>
          </w:p>
        </w:tc>
        <w:tc>
          <w:tcPr>
            <w:tcW w:w="3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240"/>
              <w:spacing w:after="0"/>
              <w:rPr>
                <w:sz w:val="20"/>
                <w:szCs w:val="20"/>
                <w:color w:val="auto"/>
              </w:rPr>
            </w:pPr>
            <w:r>
              <w:rPr>
                <w:rFonts w:ascii="Arial" w:cs="Arial" w:eastAsia="Arial" w:hAnsi="Arial"/>
                <w:sz w:val="18"/>
                <w:szCs w:val="18"/>
                <w:color w:val="auto"/>
              </w:rPr>
              <w:t>Total equity</w:t>
            </w:r>
          </w:p>
        </w:tc>
        <w:tc>
          <w:tcPr>
            <w:tcW w:w="3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240"/>
              <w:spacing w:after="0"/>
              <w:rPr>
                <w:sz w:val="20"/>
                <w:szCs w:val="20"/>
                <w:color w:val="auto"/>
              </w:rPr>
            </w:pPr>
            <w:r>
              <w:rPr>
                <w:rFonts w:ascii="Arial" w:cs="Arial" w:eastAsia="Arial" w:hAnsi="Arial"/>
                <w:sz w:val="18"/>
                <w:szCs w:val="18"/>
                <w:color w:val="auto"/>
              </w:rPr>
              <w:t>Total liabilities and equity</w:t>
            </w:r>
          </w:p>
        </w:tc>
        <w:tc>
          <w:tcPr>
            <w:tcW w:w="3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22,591</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220" w:type="dxa"/>
            <w:vAlign w:val="bottom"/>
            <w:vMerge w:val="restart"/>
          </w:tcPr>
          <w:p>
            <w:pPr>
              <w:jc w:val="right"/>
              <w:ind w:right="29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6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560" w:type="dxa"/>
            <w:vAlign w:val="bottom"/>
            <w:tcBorders>
              <w:bottom w:val="single" w:sz="8" w:color="808080"/>
            </w:tcBorders>
          </w:tcPr>
          <w:p>
            <w:pPr>
              <w:spacing w:after="0"/>
              <w:rPr>
                <w:sz w:val="11"/>
                <w:szCs w:val="11"/>
                <w:color w:val="auto"/>
              </w:rPr>
            </w:pPr>
          </w:p>
        </w:tc>
        <w:tc>
          <w:tcPr>
            <w:tcW w:w="32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WASTE MANAGEMENT,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Nine Months Ended</w:t>
      </w:r>
    </w:p>
    <w:p>
      <w:pPr>
        <w:ind w:left="95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7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7"/>
                <w:szCs w:val="17"/>
                <w:color w:val="auto"/>
              </w:rPr>
              <w:t>Cash flows from operating activities: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40" w:type="dxa"/>
            <w:vAlign w:val="bottom"/>
          </w:tcPr>
          <w:p>
            <w:pPr>
              <w:spacing w:after="0"/>
              <w:rPr>
                <w:sz w:val="20"/>
                <w:szCs w:val="20"/>
                <w:color w:val="auto"/>
              </w:rPr>
            </w:pPr>
            <w:r>
              <w:rPr>
                <w:rFonts w:ascii="Arial" w:cs="Arial" w:eastAsia="Arial" w:hAnsi="Arial"/>
                <w:sz w:val="17"/>
                <w:szCs w:val="17"/>
                <w:color w:val="auto"/>
              </w:rPr>
              <w:t>Consolidated net income</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1,392</w:t>
            </w:r>
          </w:p>
        </w:tc>
        <w:tc>
          <w:tcPr>
            <w:tcW w:w="220" w:type="dxa"/>
            <w:vAlign w:val="bottom"/>
          </w:tcPr>
          <w:p>
            <w:pPr>
              <w:spacing w:after="0"/>
              <w:rPr>
                <w:sz w:val="21"/>
                <w:szCs w:val="21"/>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1,046</w:t>
            </w:r>
          </w:p>
        </w:tc>
        <w:tc>
          <w:tcPr>
            <w:tcW w:w="0" w:type="dxa"/>
            <w:vAlign w:val="bottom"/>
          </w:tcPr>
          <w:p>
            <w:pPr>
              <w:spacing w:after="0"/>
              <w:rPr>
                <w:sz w:val="1"/>
                <w:szCs w:val="1"/>
                <w:color w:val="auto"/>
              </w:rPr>
            </w:pPr>
          </w:p>
        </w:tc>
      </w:tr>
      <w:tr>
        <w:trPr>
          <w:trHeight w:val="243"/>
        </w:trPr>
        <w:tc>
          <w:tcPr>
            <w:tcW w:w="8740" w:type="dxa"/>
            <w:vAlign w:val="bottom"/>
          </w:tcPr>
          <w:p>
            <w:pPr>
              <w:spacing w:after="0"/>
              <w:rPr>
                <w:sz w:val="20"/>
                <w:szCs w:val="20"/>
                <w:color w:val="auto"/>
              </w:rPr>
            </w:pPr>
            <w:r>
              <w:rPr>
                <w:rFonts w:ascii="Arial" w:cs="Arial" w:eastAsia="Arial" w:hAnsi="Arial"/>
                <w:sz w:val="17"/>
                <w:szCs w:val="17"/>
                <w:color w:val="auto"/>
              </w:rPr>
              <w:t>Adjustments to reconcile consolidated net income to net cash provided by operating activities: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4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1,107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1,034</w:t>
            </w:r>
          </w:p>
        </w:tc>
        <w:tc>
          <w:tcPr>
            <w:tcW w:w="0" w:type="dxa"/>
            <w:vAlign w:val="bottom"/>
          </w:tcPr>
          <w:p>
            <w:pPr>
              <w:spacing w:after="0"/>
              <w:rPr>
                <w:sz w:val="1"/>
                <w:szCs w:val="1"/>
                <w:color w:val="auto"/>
              </w:rPr>
            </w:pPr>
          </w:p>
        </w:tc>
      </w:tr>
      <w:tr>
        <w:trPr>
          <w:trHeight w:val="243"/>
        </w:trPr>
        <w:tc>
          <w:tcPr>
            <w:tcW w:w="8740" w:type="dxa"/>
            <w:vAlign w:val="bottom"/>
          </w:tcPr>
          <w:p>
            <w:pPr>
              <w:ind w:left="140"/>
              <w:spacing w:after="0"/>
              <w:rPr>
                <w:sz w:val="20"/>
                <w:szCs w:val="20"/>
                <w:color w:val="auto"/>
              </w:rPr>
            </w:pPr>
            <w:r>
              <w:rPr>
                <w:rFonts w:ascii="Arial" w:cs="Arial" w:eastAsia="Arial" w:hAnsi="Arial"/>
                <w:sz w:val="17"/>
                <w:szCs w:val="17"/>
                <w:color w:val="auto"/>
              </w:rPr>
              <w:t>Other</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43"/>
        </w:trPr>
        <w:tc>
          <w:tcPr>
            <w:tcW w:w="8740" w:type="dxa"/>
            <w:vAlign w:val="bottom"/>
          </w:tcPr>
          <w:p>
            <w:pPr>
              <w:ind w:left="140"/>
              <w:spacing w:after="0"/>
              <w:rPr>
                <w:sz w:val="20"/>
                <w:szCs w:val="20"/>
                <w:color w:val="auto"/>
              </w:rPr>
            </w:pPr>
            <w:r>
              <w:rPr>
                <w:rFonts w:ascii="Arial" w:cs="Arial" w:eastAsia="Arial" w:hAnsi="Arial"/>
                <w:sz w:val="17"/>
                <w:szCs w:val="17"/>
                <w:color w:val="auto"/>
              </w:rPr>
              <w:t>Change in operating assets and liabilities, net of effects of acquisitions and divestitures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37"/>
        </w:trPr>
        <w:tc>
          <w:tcPr>
            <w:tcW w:w="874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2,658</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2,388</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40" w:type="dxa"/>
            <w:vAlign w:val="bottom"/>
          </w:tcPr>
          <w:p>
            <w:pPr>
              <w:ind w:left="140"/>
              <w:spacing w:after="0"/>
              <w:rPr>
                <w:sz w:val="20"/>
                <w:szCs w:val="20"/>
                <w:color w:val="auto"/>
              </w:rPr>
            </w:pPr>
            <w:r>
              <w:rPr>
                <w:rFonts w:ascii="Arial" w:cs="Arial" w:eastAsia="Arial" w:hAnsi="Arial"/>
                <w:sz w:val="17"/>
                <w:szCs w:val="17"/>
                <w:color w:val="auto"/>
              </w:rPr>
              <w:t>Acquisitions of businesses, net of cash acquired</w:t>
            </w:r>
          </w:p>
        </w:tc>
        <w:tc>
          <w:tcPr>
            <w:tcW w:w="2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(342)</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43"/>
        </w:trPr>
        <w:tc>
          <w:tcPr>
            <w:tcW w:w="8740" w:type="dxa"/>
            <w:vAlign w:val="bottom"/>
          </w:tcPr>
          <w:p>
            <w:pPr>
              <w:ind w:left="140"/>
              <w:spacing w:after="0"/>
              <w:rPr>
                <w:sz w:val="20"/>
                <w:szCs w:val="20"/>
                <w:color w:val="auto"/>
              </w:rPr>
            </w:pPr>
            <w:r>
              <w:rPr>
                <w:rFonts w:ascii="Arial" w:cs="Arial" w:eastAsia="Arial" w:hAnsi="Arial"/>
                <w:sz w:val="17"/>
                <w:szCs w:val="17"/>
                <w:color w:val="auto"/>
              </w:rPr>
              <w:t>Capital expenditures</w:t>
            </w:r>
          </w:p>
        </w:tc>
        <w:tc>
          <w:tcPr>
            <w:tcW w:w="2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(1,240)</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(981)</w:t>
            </w:r>
          </w:p>
        </w:tc>
        <w:tc>
          <w:tcPr>
            <w:tcW w:w="0" w:type="dxa"/>
            <w:vAlign w:val="bottom"/>
          </w:tcPr>
          <w:p>
            <w:pPr>
              <w:spacing w:after="0"/>
              <w:rPr>
                <w:sz w:val="1"/>
                <w:szCs w:val="1"/>
                <w:color w:val="auto"/>
              </w:rPr>
            </w:pPr>
          </w:p>
        </w:tc>
      </w:tr>
      <w:tr>
        <w:trPr>
          <w:trHeight w:val="243"/>
        </w:trPr>
        <w:tc>
          <w:tcPr>
            <w:tcW w:w="8740" w:type="dxa"/>
            <w:vAlign w:val="bottom"/>
          </w:tcPr>
          <w:p>
            <w:pPr>
              <w:ind w:left="140"/>
              <w:spacing w:after="0"/>
              <w:rPr>
                <w:sz w:val="20"/>
                <w:szCs w:val="20"/>
                <w:color w:val="auto"/>
              </w:rPr>
            </w:pPr>
            <w:r>
              <w:rPr>
                <w:rFonts w:ascii="Arial" w:cs="Arial" w:eastAsia="Arial" w:hAnsi="Arial"/>
                <w:sz w:val="17"/>
                <w:szCs w:val="17"/>
                <w:color w:val="auto"/>
              </w:rPr>
              <w:t>Proceeds from divestitures of businesses and other assets (net of cash divested)</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43"/>
        </w:trPr>
        <w:tc>
          <w:tcPr>
            <w:tcW w:w="8740" w:type="dxa"/>
            <w:vAlign w:val="bottom"/>
          </w:tcPr>
          <w:p>
            <w:pPr>
              <w:ind w:left="140"/>
              <w:spacing w:after="0"/>
              <w:rPr>
                <w:sz w:val="20"/>
                <w:szCs w:val="20"/>
                <w:color w:val="auto"/>
              </w:rPr>
            </w:pPr>
            <w:r>
              <w:rPr>
                <w:rFonts w:ascii="Arial" w:cs="Arial" w:eastAsia="Arial" w:hAnsi="Arial"/>
                <w:sz w:val="17"/>
                <w:szCs w:val="17"/>
                <w:color w:val="auto"/>
              </w:rPr>
              <w:t>Other, net</w:t>
            </w:r>
          </w:p>
        </w:tc>
        <w:tc>
          <w:tcPr>
            <w:tcW w:w="2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(30)</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7"/>
                <w:szCs w:val="17"/>
                <w:color w:val="auto"/>
              </w:rPr>
              <w:t>Net cash used in investing activities</w:t>
            </w: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(1,506)</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(1,050)</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40" w:type="dxa"/>
            <w:vAlign w:val="bottom"/>
          </w:tcPr>
          <w:p>
            <w:pPr>
              <w:ind w:left="140"/>
              <w:spacing w:after="0"/>
              <w:rPr>
                <w:sz w:val="20"/>
                <w:szCs w:val="20"/>
                <w:color w:val="auto"/>
              </w:rPr>
            </w:pPr>
            <w:r>
              <w:rPr>
                <w:rFonts w:ascii="Arial" w:cs="Arial" w:eastAsia="Arial" w:hAnsi="Arial"/>
                <w:sz w:val="17"/>
                <w:szCs w:val="17"/>
                <w:color w:val="auto"/>
              </w:rPr>
              <w:t>New borrowings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43"/>
        </w:trPr>
        <w:tc>
          <w:tcPr>
            <w:tcW w:w="8740" w:type="dxa"/>
            <w:vAlign w:val="bottom"/>
          </w:tcPr>
          <w:p>
            <w:pPr>
              <w:ind w:left="140"/>
              <w:spacing w:after="0"/>
              <w:rPr>
                <w:sz w:val="20"/>
                <w:szCs w:val="20"/>
                <w:color w:val="auto"/>
              </w:rPr>
            </w:pPr>
            <w:r>
              <w:rPr>
                <w:rFonts w:ascii="Arial" w:cs="Arial" w:eastAsia="Arial" w:hAnsi="Arial"/>
                <w:sz w:val="17"/>
                <w:szCs w:val="17"/>
                <w:color w:val="auto"/>
              </w:rPr>
              <w:t>Debt repayments</w:t>
            </w:r>
          </w:p>
        </w:tc>
        <w:tc>
          <w:tcPr>
            <w:tcW w:w="2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(338)</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(749)</w:t>
            </w:r>
          </w:p>
        </w:tc>
        <w:tc>
          <w:tcPr>
            <w:tcW w:w="0" w:type="dxa"/>
            <w:vAlign w:val="bottom"/>
          </w:tcPr>
          <w:p>
            <w:pPr>
              <w:spacing w:after="0"/>
              <w:rPr>
                <w:sz w:val="1"/>
                <w:szCs w:val="1"/>
                <w:color w:val="auto"/>
              </w:rPr>
            </w:pPr>
          </w:p>
        </w:tc>
      </w:tr>
      <w:tr>
        <w:trPr>
          <w:trHeight w:val="243"/>
        </w:trPr>
        <w:tc>
          <w:tcPr>
            <w:tcW w:w="8740" w:type="dxa"/>
            <w:vAlign w:val="bottom"/>
          </w:tcPr>
          <w:p>
            <w:pPr>
              <w:ind w:left="140"/>
              <w:spacing w:after="0"/>
              <w:rPr>
                <w:sz w:val="20"/>
                <w:szCs w:val="20"/>
                <w:color w:val="auto"/>
              </w:rPr>
            </w:pPr>
            <w:r>
              <w:rPr>
                <w:rFonts w:ascii="Arial" w:cs="Arial" w:eastAsia="Arial" w:hAnsi="Arial"/>
                <w:sz w:val="17"/>
                <w:szCs w:val="17"/>
                <w:color w:val="auto"/>
              </w:rPr>
              <w:t>Net commercial paper borrowings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523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501</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1460"/>
          </w:cols>
          <w:pgMar w:left="240" w:top="125" w:right="19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7"/>
        </w:trPr>
        <w:tc>
          <w:tcPr>
            <w:tcW w:w="8740" w:type="dxa"/>
            <w:vAlign w:val="bottom"/>
          </w:tcPr>
          <w:p>
            <w:pPr>
              <w:ind w:left="140"/>
              <w:spacing w:after="0"/>
              <w:rPr>
                <w:sz w:val="20"/>
                <w:szCs w:val="20"/>
                <w:color w:val="auto"/>
              </w:rPr>
            </w:pPr>
            <w:r>
              <w:rPr>
                <w:rFonts w:ascii="Arial" w:cs="Arial" w:eastAsia="Arial" w:hAnsi="Arial"/>
                <w:sz w:val="17"/>
                <w:szCs w:val="17"/>
                <w:color w:val="auto"/>
              </w:rPr>
              <w:t>Common stock repurchase program</w:t>
            </w:r>
          </w:p>
        </w:tc>
        <w:tc>
          <w:tcPr>
            <w:tcW w:w="3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(750)</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r>
        <w:trPr>
          <w:trHeight w:val="243"/>
        </w:trPr>
        <w:tc>
          <w:tcPr>
            <w:tcW w:w="8740" w:type="dxa"/>
            <w:vAlign w:val="bottom"/>
          </w:tcPr>
          <w:p>
            <w:pPr>
              <w:ind w:left="140"/>
              <w:spacing w:after="0"/>
              <w:rPr>
                <w:sz w:val="20"/>
                <w:szCs w:val="20"/>
                <w:color w:val="auto"/>
              </w:rPr>
            </w:pPr>
            <w:r>
              <w:rPr>
                <w:rFonts w:ascii="Arial" w:cs="Arial" w:eastAsia="Arial" w:hAnsi="Arial"/>
                <w:sz w:val="17"/>
                <w:szCs w:val="17"/>
                <w:color w:val="auto"/>
              </w:rPr>
              <w:t>Cash dividends</w:t>
            </w:r>
          </w:p>
        </w:tc>
        <w:tc>
          <w:tcPr>
            <w:tcW w:w="3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(605)</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(566)</w:t>
            </w:r>
          </w:p>
        </w:tc>
        <w:tc>
          <w:tcPr>
            <w:tcW w:w="0" w:type="dxa"/>
            <w:vAlign w:val="bottom"/>
          </w:tcPr>
          <w:p>
            <w:pPr>
              <w:spacing w:after="0"/>
              <w:rPr>
                <w:sz w:val="1"/>
                <w:szCs w:val="1"/>
                <w:color w:val="auto"/>
              </w:rPr>
            </w:pPr>
          </w:p>
        </w:tc>
      </w:tr>
      <w:tr>
        <w:trPr>
          <w:trHeight w:val="243"/>
        </w:trPr>
        <w:tc>
          <w:tcPr>
            <w:tcW w:w="8740" w:type="dxa"/>
            <w:vAlign w:val="bottom"/>
          </w:tcPr>
          <w:p>
            <w:pPr>
              <w:ind w:left="140"/>
              <w:spacing w:after="0"/>
              <w:rPr>
                <w:sz w:val="20"/>
                <w:szCs w:val="20"/>
                <w:color w:val="auto"/>
              </w:rPr>
            </w:pPr>
            <w:r>
              <w:rPr>
                <w:rFonts w:ascii="Arial" w:cs="Arial" w:eastAsia="Arial" w:hAnsi="Arial"/>
                <w:sz w:val="17"/>
                <w:szCs w:val="17"/>
                <w:color w:val="auto"/>
              </w:rPr>
              <w:t>Exercise of common stock options</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43"/>
        </w:trPr>
        <w:tc>
          <w:tcPr>
            <w:tcW w:w="8740" w:type="dxa"/>
            <w:vAlign w:val="bottom"/>
          </w:tcPr>
          <w:p>
            <w:pPr>
              <w:ind w:left="140"/>
              <w:spacing w:after="0"/>
              <w:rPr>
                <w:sz w:val="20"/>
                <w:szCs w:val="20"/>
                <w:color w:val="auto"/>
              </w:rPr>
            </w:pPr>
            <w:r>
              <w:rPr>
                <w:rFonts w:ascii="Arial" w:cs="Arial" w:eastAsia="Arial" w:hAnsi="Arial"/>
                <w:sz w:val="17"/>
                <w:szCs w:val="17"/>
                <w:color w:val="auto"/>
              </w:rPr>
              <w:t>Tax payments associated with equity-based compensation transactions</w:t>
            </w:r>
          </w:p>
        </w:tc>
        <w:tc>
          <w:tcPr>
            <w:tcW w:w="3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(28)</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43"/>
        </w:trPr>
        <w:tc>
          <w:tcPr>
            <w:tcW w:w="8740" w:type="dxa"/>
            <w:vAlign w:val="bottom"/>
          </w:tcPr>
          <w:p>
            <w:pPr>
              <w:ind w:left="140"/>
              <w:spacing w:after="0"/>
              <w:rPr>
                <w:sz w:val="20"/>
                <w:szCs w:val="20"/>
                <w:color w:val="auto"/>
              </w:rPr>
            </w:pPr>
            <w:r>
              <w:rPr>
                <w:rFonts w:ascii="Arial" w:cs="Arial" w:eastAsia="Arial" w:hAnsi="Arial"/>
                <w:sz w:val="17"/>
                <w:szCs w:val="17"/>
                <w:color w:val="auto"/>
              </w:rPr>
              <w:t>Other, net</w:t>
            </w:r>
          </w:p>
        </w:tc>
        <w:tc>
          <w:tcPr>
            <w:tcW w:w="3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(36)</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7"/>
                <w:szCs w:val="17"/>
                <w:color w:val="auto"/>
              </w:rPr>
              <w:t>Net cash used in financing activities</w:t>
            </w: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(1,015)</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(1,331)</w:t>
            </w:r>
          </w:p>
        </w:tc>
        <w:tc>
          <w:tcPr>
            <w:tcW w:w="0" w:type="dxa"/>
            <w:vAlign w:val="bottom"/>
          </w:tcPr>
          <w:p>
            <w:pPr>
              <w:spacing w:after="0"/>
              <w:rPr>
                <w:sz w:val="1"/>
                <w:szCs w:val="1"/>
                <w:color w:val="auto"/>
              </w:rPr>
            </w:pPr>
          </w:p>
        </w:tc>
      </w:tr>
      <w:tr>
        <w:trPr>
          <w:trHeight w:val="237"/>
        </w:trPr>
        <w:tc>
          <w:tcPr>
            <w:tcW w:w="8740" w:type="dxa"/>
            <w:vAlign w:val="bottom"/>
          </w:tcPr>
          <w:p>
            <w:pPr>
              <w:spacing w:after="0"/>
              <w:rPr>
                <w:sz w:val="20"/>
                <w:szCs w:val="20"/>
                <w:color w:val="auto"/>
              </w:rPr>
            </w:pPr>
            <w:r>
              <w:rPr>
                <w:rFonts w:ascii="Arial" w:cs="Arial" w:eastAsia="Arial" w:hAnsi="Arial"/>
                <w:sz w:val="17"/>
                <w:szCs w:val="17"/>
                <w:color w:val="auto"/>
              </w:rPr>
              <w:t>Effect of exchange rate changes on cash, cash equivalents and restricted cash and cash equivalents</w:t>
            </w:r>
          </w:p>
        </w:tc>
        <w:tc>
          <w:tcPr>
            <w:tcW w:w="3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7"/>
        </w:trPr>
        <w:tc>
          <w:tcPr>
            <w:tcW w:w="8740" w:type="dxa"/>
            <w:vAlign w:val="bottom"/>
          </w:tcPr>
          <w:p>
            <w:pPr>
              <w:spacing w:after="0"/>
              <w:rPr>
                <w:sz w:val="20"/>
                <w:szCs w:val="20"/>
                <w:color w:val="auto"/>
              </w:rPr>
            </w:pPr>
            <w:r>
              <w:rPr>
                <w:rFonts w:ascii="Arial" w:cs="Arial" w:eastAsia="Arial" w:hAnsi="Arial"/>
                <w:sz w:val="17"/>
                <w:szCs w:val="17"/>
                <w:color w:val="auto"/>
              </w:rPr>
              <w:t>Increase in cash, cash equivalents and restricted cash and cash equivalents</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43"/>
        </w:trPr>
        <w:tc>
          <w:tcPr>
            <w:tcW w:w="8740" w:type="dxa"/>
            <w:vAlign w:val="bottom"/>
          </w:tcPr>
          <w:p>
            <w:pPr>
              <w:spacing w:after="0"/>
              <w:rPr>
                <w:sz w:val="20"/>
                <w:szCs w:val="20"/>
                <w:color w:val="auto"/>
              </w:rPr>
            </w:pPr>
            <w:r>
              <w:rPr>
                <w:rFonts w:ascii="Arial" w:cs="Arial" w:eastAsia="Arial" w:hAnsi="Arial"/>
                <w:sz w:val="17"/>
                <w:szCs w:val="17"/>
                <w:color w:val="auto"/>
              </w:rPr>
              <w:t>Cash, cash equivalents and restricted cash and cash equivalents at beginning of period</w:t>
            </w: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w:t>
            </w: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39"/>
        </w:trPr>
        <w:tc>
          <w:tcPr>
            <w:tcW w:w="8740" w:type="dxa"/>
            <w:vAlign w:val="bottom"/>
          </w:tcPr>
          <w:p>
            <w:pPr>
              <w:spacing w:after="0"/>
              <w:rPr>
                <w:sz w:val="20"/>
                <w:szCs w:val="20"/>
                <w:color w:val="auto"/>
              </w:rPr>
            </w:pPr>
            <w:r>
              <w:rPr>
                <w:rFonts w:ascii="Arial" w:cs="Arial" w:eastAsia="Arial" w:hAnsi="Arial"/>
                <w:sz w:val="17"/>
                <w:szCs w:val="17"/>
                <w:color w:val="auto"/>
              </w:rPr>
              <w:t>Cash, cash equivalents and restricted cash and cash equivalents at end of period</w:t>
            </w: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w:t>
            </w:r>
          </w:p>
        </w:tc>
        <w:tc>
          <w:tcPr>
            <w:tcW w:w="220" w:type="dxa"/>
            <w:vAlign w:val="bottom"/>
          </w:tcPr>
          <w:p>
            <w:pPr>
              <w:spacing w:after="0"/>
              <w:rPr>
                <w:sz w:val="20"/>
                <w:szCs w:val="20"/>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Prior year information has been revised to reflect the adoption of Accounting Standards Update (ASU) 2016-15 and ASU 2016-18 and conform to our current year presentation.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DATE SHEET</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 by Line of Business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9"/>
          </w:tcPr>
          <w:p>
            <w:pP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8"/>
          </w:tcPr>
          <w:p>
            <w:pPr>
              <w:ind w:lef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9"/>
          </w:tcPr>
          <w:p>
            <w:pPr>
              <w:ind w:left="2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8"/>
          </w:tcPr>
          <w:p>
            <w:pPr>
              <w:ind w:lef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Borders>
              <w:top w:val="single" w:sz="8" w:color="auto"/>
              <w:bottom w:val="single" w:sz="8" w:color="auto"/>
            </w:tcBorders>
            <w:gridSpan w:val="4"/>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gridSpan w:val="2"/>
          </w:tcPr>
          <w:p>
            <w:pPr>
              <w:jc w:val="right"/>
              <w:ind w:right="110"/>
              <w:spacing w:after="0" w:line="195" w:lineRule="exact"/>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6"/>
                <w:szCs w:val="16"/>
                <w:color w:val="auto"/>
              </w:rPr>
            </w:pPr>
          </w:p>
        </w:tc>
        <w:tc>
          <w:tcPr>
            <w:tcW w:w="540" w:type="dxa"/>
            <w:vAlign w:val="bottom"/>
          </w:tcPr>
          <w:p>
            <w:pPr>
              <w:jc w:val="right"/>
              <w:spacing w:after="0" w:line="195" w:lineRule="exact"/>
              <w:rPr>
                <w:sz w:val="20"/>
                <w:szCs w:val="20"/>
                <w:color w:val="auto"/>
              </w:rPr>
            </w:pPr>
            <w:r>
              <w:rPr>
                <w:rFonts w:ascii="Arial" w:cs="Arial" w:eastAsia="Arial" w:hAnsi="Arial"/>
                <w:sz w:val="18"/>
                <w:szCs w:val="18"/>
                <w:color w:val="auto"/>
              </w:rPr>
              <w:t>1,007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936</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6"/>
                <w:szCs w:val="16"/>
                <w:color w:val="auto"/>
              </w:rPr>
            </w:pPr>
          </w:p>
        </w:tc>
        <w:tc>
          <w:tcPr>
            <w:tcW w:w="760" w:type="dxa"/>
            <w:vAlign w:val="bottom"/>
            <w:gridSpan w:val="2"/>
          </w:tcPr>
          <w:p>
            <w:pPr>
              <w:ind w:left="300"/>
              <w:spacing w:after="0" w:line="195" w:lineRule="exact"/>
              <w:rPr>
                <w:sz w:val="20"/>
                <w:szCs w:val="20"/>
                <w:color w:val="auto"/>
              </w:rPr>
            </w:pPr>
            <w:r>
              <w:rPr>
                <w:rFonts w:ascii="Arial" w:cs="Arial" w:eastAsia="Arial" w:hAnsi="Arial"/>
                <w:sz w:val="18"/>
                <w:szCs w:val="18"/>
                <w:color w:val="auto"/>
                <w:w w:val="97"/>
              </w:rPr>
              <w:t>2,948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60"/>
              <w:spacing w:after="0" w:line="195" w:lineRule="exact"/>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w w:val="97"/>
              </w:rPr>
              <w:t>1,885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w w:val="97"/>
              </w:rPr>
              <w:t>2,068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195"/>
        </w:trPr>
        <w:tc>
          <w:tcPr>
            <w:tcW w:w="3200" w:type="dxa"/>
            <w:vAlign w:val="bottom"/>
            <w:gridSpan w:val="2"/>
          </w:tcPr>
          <w:p>
            <w:pPr>
              <w:ind w:left="140"/>
              <w:spacing w:after="0" w:line="195" w:lineRule="exact"/>
              <w:rPr>
                <w:sz w:val="20"/>
                <w:szCs w:val="20"/>
                <w:color w:val="auto"/>
              </w:rPr>
            </w:pPr>
            <w:r>
              <w:rPr>
                <w:rFonts w:ascii="Arial" w:cs="Arial" w:eastAsia="Arial" w:hAnsi="Arial"/>
                <w:sz w:val="18"/>
                <w:szCs w:val="18"/>
                <w:color w:val="auto"/>
              </w:rPr>
              <w:t>Total collection</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line="195" w:lineRule="exact"/>
              <w:rPr>
                <w:sz w:val="20"/>
                <w:szCs w:val="20"/>
                <w:color w:val="auto"/>
              </w:rPr>
            </w:pPr>
            <w:r>
              <w:rPr>
                <w:rFonts w:ascii="Arial" w:cs="Arial" w:eastAsia="Arial" w:hAnsi="Arial"/>
                <w:sz w:val="18"/>
                <w:szCs w:val="18"/>
                <w:color w:val="auto"/>
              </w:rPr>
              <w:t>2,486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2,351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ind w:left="300"/>
              <w:spacing w:after="0" w:line="195" w:lineRule="exact"/>
              <w:rPr>
                <w:sz w:val="20"/>
                <w:szCs w:val="20"/>
                <w:color w:val="auto"/>
              </w:rPr>
            </w:pPr>
            <w:r>
              <w:rPr>
                <w:rFonts w:ascii="Arial" w:cs="Arial" w:eastAsia="Arial" w:hAnsi="Arial"/>
                <w:sz w:val="18"/>
                <w:szCs w:val="18"/>
                <w:color w:val="auto"/>
                <w:w w:val="97"/>
              </w:rPr>
              <w:t>7,234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tcPr>
          <w:p>
            <w:pPr>
              <w:jc w:val="right"/>
              <w:ind w:right="60"/>
              <w:spacing w:after="0" w:line="195" w:lineRule="exact"/>
              <w:rPr>
                <w:sz w:val="20"/>
                <w:szCs w:val="20"/>
                <w:color w:val="auto"/>
              </w:rPr>
            </w:pPr>
            <w:r>
              <w:rPr>
                <w:rFonts w:ascii="Arial" w:cs="Arial" w:eastAsia="Arial" w:hAnsi="Arial"/>
                <w:sz w:val="18"/>
                <w:szCs w:val="18"/>
                <w:color w:val="auto"/>
              </w:rPr>
              <w:t>6,912</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Landfill</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w w:val="97"/>
              </w:rPr>
              <w:t>2,646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Transfer</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w w:val="97"/>
              </w:rPr>
              <w:t>1,257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Recycling</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w w:val="97"/>
              </w:rPr>
              <w:t>1,296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Intercompany (a)</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w w:val="95"/>
              </w:rPr>
              <w:t>(749)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w w:val="91"/>
              </w:rPr>
              <w:t>(2,315)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0"/>
        </w:trPr>
        <w:tc>
          <w:tcPr>
            <w:tcW w:w="32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11,072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Internal Revenue Growth</w:t>
            </w: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Period-to-Period Change for the</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6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w w:val="94"/>
              </w:rPr>
              <w:t>Period-to-Period Change for the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60" w:type="dxa"/>
            <w:vAlign w:val="bottom"/>
            <w:gridSpan w:val="8"/>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0"/>
              </w:rPr>
              <w:t>September 30, 2018 vs. 2017</w:t>
            </w: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14"/>
                <w:szCs w:val="14"/>
                <w:b w:val="1"/>
                <w:bCs w:val="1"/>
                <w:color w:val="auto"/>
                <w:w w:val="90"/>
              </w:rPr>
              <w:t>September 30, 2018 vs. 2017</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3"/>
          </w:tcPr>
          <w:p>
            <w:pPr>
              <w:jc w:val="center"/>
              <w:ind w:right="270"/>
              <w:spacing w:after="0" w:line="119" w:lineRule="exact"/>
              <w:rPr>
                <w:sz w:val="20"/>
                <w:szCs w:val="20"/>
                <w:color w:val="auto"/>
              </w:rPr>
            </w:pPr>
            <w:r>
              <w:rPr>
                <w:rFonts w:ascii="Arial" w:cs="Arial" w:eastAsia="Arial" w:hAnsi="Arial"/>
                <w:sz w:val="13"/>
                <w:szCs w:val="13"/>
                <w:b w:val="1"/>
                <w:bCs w:val="1"/>
                <w:color w:val="auto"/>
              </w:rPr>
              <w:t>As a % of</w:t>
            </w: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3"/>
          </w:tcPr>
          <w:p>
            <w:pPr>
              <w:jc w:val="center"/>
              <w:ind w:right="110"/>
              <w:spacing w:after="0" w:line="119" w:lineRule="exact"/>
              <w:rPr>
                <w:sz w:val="20"/>
                <w:szCs w:val="20"/>
                <w:color w:val="auto"/>
              </w:rPr>
            </w:pPr>
            <w:r>
              <w:rPr>
                <w:rFonts w:ascii="Arial" w:cs="Arial" w:eastAsia="Arial" w:hAnsi="Arial"/>
                <w:sz w:val="13"/>
                <w:szCs w:val="13"/>
                <w:b w:val="1"/>
                <w:bCs w:val="1"/>
                <w:color w:val="auto"/>
              </w:rPr>
              <w:t>As a % of</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As a % of</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1280" w:type="dxa"/>
            <w:vAlign w:val="bottom"/>
            <w:gridSpan w:val="3"/>
          </w:tcPr>
          <w:p>
            <w:pPr>
              <w:jc w:val="center"/>
              <w:ind w:right="270"/>
              <w:spacing w:after="0" w:line="149" w:lineRule="exact"/>
              <w:rPr>
                <w:sz w:val="20"/>
                <w:szCs w:val="20"/>
                <w:color w:val="auto"/>
              </w:rPr>
            </w:pPr>
            <w:r>
              <w:rPr>
                <w:rFonts w:ascii="Arial" w:cs="Arial" w:eastAsia="Arial" w:hAnsi="Arial"/>
                <w:sz w:val="14"/>
                <w:szCs w:val="14"/>
                <w:b w:val="1"/>
                <w:bCs w:val="1"/>
                <w:color w:val="auto"/>
                <w:w w:val="94"/>
              </w:rPr>
              <w:t>Related</w:t>
            </w: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0"/>
              </w:rPr>
              <w:t>Amount</w:t>
            </w:r>
          </w:p>
        </w:tc>
        <w:tc>
          <w:tcPr>
            <w:tcW w:w="1220" w:type="dxa"/>
            <w:vAlign w:val="bottom"/>
            <w:gridSpan w:val="4"/>
          </w:tcPr>
          <w:p>
            <w:pPr>
              <w:jc w:val="center"/>
              <w:ind w:right="210"/>
              <w:spacing w:after="0" w:line="149" w:lineRule="exact"/>
              <w:rPr>
                <w:sz w:val="20"/>
                <w:szCs w:val="20"/>
                <w:color w:val="auto"/>
              </w:rPr>
            </w:pPr>
            <w:r>
              <w:rPr>
                <w:rFonts w:ascii="Arial" w:cs="Arial" w:eastAsia="Arial" w:hAnsi="Arial"/>
                <w:sz w:val="14"/>
                <w:szCs w:val="14"/>
                <w:b w:val="1"/>
                <w:bCs w:val="1"/>
                <w:color w:val="auto"/>
                <w:w w:val="95"/>
              </w:rPr>
              <w:t>Total</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jc w:val="center"/>
              <w:ind w:right="130"/>
              <w:spacing w:after="0" w:line="149" w:lineRule="exact"/>
              <w:rPr>
                <w:sz w:val="20"/>
                <w:szCs w:val="20"/>
                <w:color w:val="auto"/>
              </w:rPr>
            </w:pPr>
            <w:r>
              <w:rPr>
                <w:rFonts w:ascii="Arial" w:cs="Arial" w:eastAsia="Arial" w:hAnsi="Arial"/>
                <w:sz w:val="14"/>
                <w:szCs w:val="14"/>
                <w:b w:val="1"/>
                <w:bCs w:val="1"/>
                <w:color w:val="auto"/>
                <w:w w:val="90"/>
              </w:rPr>
              <w:t>Related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Collection and disposal</w:t>
            </w: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w w:val="89"/>
              </w:rPr>
              <w:t>Business(b)</w:t>
            </w:r>
          </w:p>
        </w:tc>
        <w:tc>
          <w:tcPr>
            <w:tcW w:w="820" w:type="dxa"/>
            <w:vAlign w:val="bottom"/>
            <w:gridSpan w:val="2"/>
            <w:vMerge w:val="continue"/>
          </w:tcPr>
          <w:p>
            <w:pPr>
              <w:spacing w:after="0"/>
              <w:rPr>
                <w:sz w:val="14"/>
                <w:szCs w:val="14"/>
                <w:color w:val="auto"/>
              </w:rPr>
            </w:pPr>
          </w:p>
        </w:tc>
        <w:tc>
          <w:tcPr>
            <w:tcW w:w="1220" w:type="dxa"/>
            <w:vAlign w:val="bottom"/>
            <w:gridSpan w:val="4"/>
          </w:tcPr>
          <w:p>
            <w:pPr>
              <w:jc w:val="center"/>
              <w:ind w:right="210"/>
              <w:spacing w:after="0"/>
              <w:rPr>
                <w:sz w:val="20"/>
                <w:szCs w:val="20"/>
                <w:color w:val="auto"/>
              </w:rPr>
            </w:pPr>
            <w:r>
              <w:rPr>
                <w:rFonts w:ascii="Arial" w:cs="Arial" w:eastAsia="Arial" w:hAnsi="Arial"/>
                <w:sz w:val="14"/>
                <w:szCs w:val="14"/>
                <w:b w:val="1"/>
                <w:bCs w:val="1"/>
                <w:color w:val="auto"/>
                <w:w w:val="93"/>
              </w:rPr>
              <w:t>Company(c)</w:t>
            </w:r>
          </w:p>
        </w:tc>
        <w:tc>
          <w:tcPr>
            <w:tcW w:w="6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w w:val="87"/>
              </w:rPr>
              <w:t>Business(b)</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8"/>
              </w:rPr>
              <w:t>Company(c)</w:t>
            </w:r>
          </w:p>
        </w:tc>
        <w:tc>
          <w:tcPr>
            <w:tcW w:w="0" w:type="dxa"/>
            <w:vAlign w:val="bottom"/>
          </w:tcPr>
          <w:p>
            <w:pPr>
              <w:spacing w:after="0"/>
              <w:rPr>
                <w:sz w:val="1"/>
                <w:szCs w:val="1"/>
                <w:color w:val="auto"/>
              </w:rPr>
            </w:pPr>
          </w:p>
        </w:tc>
      </w:tr>
      <w:tr>
        <w:trPr>
          <w:trHeight w:val="195"/>
        </w:trPr>
        <w:tc>
          <w:tcPr>
            <w:tcW w:w="3200" w:type="dxa"/>
            <w:vAlign w:val="bottom"/>
            <w:gridSpan w:val="2"/>
            <w:vMerge w:val="continue"/>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center"/>
              <w:ind w:left="234"/>
              <w:spacing w:after="0" w:line="195" w:lineRule="exact"/>
              <w:rPr>
                <w:sz w:val="20"/>
                <w:szCs w:val="20"/>
                <w:color w:val="auto"/>
              </w:rPr>
            </w:pPr>
            <w:r>
              <w:rPr>
                <w:rFonts w:ascii="Arial" w:cs="Arial" w:eastAsia="Arial" w:hAnsi="Arial"/>
                <w:sz w:val="18"/>
                <w:szCs w:val="18"/>
                <w:color w:val="auto"/>
                <w:w w:val="89"/>
              </w:rPr>
              <w:t>78</w:t>
            </w:r>
          </w:p>
        </w:tc>
        <w:tc>
          <w:tcPr>
            <w:tcW w:w="20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2.5</w:t>
            </w:r>
          </w:p>
        </w:tc>
        <w:tc>
          <w:tcPr>
            <w:tcW w:w="26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auto"/>
            </w:tcBorders>
            <w:gridSpan w:val="2"/>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tcPr>
          <w:p>
            <w:pPr>
              <w:jc w:val="right"/>
              <w:ind w:right="40"/>
              <w:spacing w:after="0" w:line="195" w:lineRule="exact"/>
              <w:rPr>
                <w:sz w:val="20"/>
                <w:szCs w:val="20"/>
                <w:color w:val="auto"/>
              </w:rPr>
            </w:pPr>
            <w:r>
              <w:rPr>
                <w:rFonts w:ascii="Arial" w:cs="Arial" w:eastAsia="Arial" w:hAnsi="Arial"/>
                <w:sz w:val="18"/>
                <w:szCs w:val="18"/>
                <w:color w:val="auto"/>
              </w:rPr>
              <w:t>218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right"/>
              <w:ind w:right="40"/>
              <w:spacing w:after="0" w:line="195" w:lineRule="exact"/>
              <w:rPr>
                <w:sz w:val="20"/>
                <w:szCs w:val="20"/>
                <w:color w:val="auto"/>
              </w:rPr>
            </w:pPr>
            <w:r>
              <w:rPr>
                <w:rFonts w:ascii="Arial" w:cs="Arial" w:eastAsia="Arial" w:hAnsi="Arial"/>
                <w:sz w:val="18"/>
                <w:szCs w:val="18"/>
                <w:color w:val="auto"/>
              </w:rPr>
              <w:t>2.4</w:t>
            </w: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Recycling commodities</w:t>
            </w:r>
          </w:p>
        </w:tc>
        <w:tc>
          <w:tcPr>
            <w:tcW w:w="100" w:type="dxa"/>
            <w:vAlign w:val="bottom"/>
          </w:tcPr>
          <w:p>
            <w:pPr>
              <w:spacing w:after="0"/>
              <w:rPr>
                <w:sz w:val="18"/>
                <w:szCs w:val="18"/>
                <w:color w:val="auto"/>
              </w:rPr>
            </w:pPr>
          </w:p>
        </w:tc>
        <w:tc>
          <w:tcPr>
            <w:tcW w:w="620" w:type="dxa"/>
            <w:vAlign w:val="bottom"/>
          </w:tcPr>
          <w:p>
            <w:pPr>
              <w:jc w:val="center"/>
              <w:ind w:left="234"/>
              <w:spacing w:after="0"/>
              <w:rPr>
                <w:sz w:val="20"/>
                <w:szCs w:val="20"/>
                <w:color w:val="auto"/>
              </w:rPr>
            </w:pPr>
            <w:r>
              <w:rPr>
                <w:rFonts w:ascii="Arial" w:cs="Arial" w:eastAsia="Arial" w:hAnsi="Arial"/>
                <w:sz w:val="18"/>
                <w:szCs w:val="18"/>
                <w:color w:val="auto"/>
                <w:w w:val="93"/>
              </w:rPr>
              <w:t>(91)</w:t>
            </w:r>
          </w:p>
        </w:tc>
        <w:tc>
          <w:tcPr>
            <w:tcW w:w="1380" w:type="dxa"/>
            <w:vAlign w:val="bottom"/>
            <w:gridSpan w:val="3"/>
          </w:tcPr>
          <w:p>
            <w:pPr>
              <w:jc w:val="right"/>
              <w:ind w:right="17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ind w:left="220"/>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3"/>
          </w:tcPr>
          <w:p>
            <w:pPr>
              <w:ind w:left="42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Fuel surcharges and mandated fees</w:t>
            </w: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left="234"/>
              <w:spacing w:after="0"/>
              <w:rPr>
                <w:sz w:val="20"/>
                <w:szCs w:val="20"/>
                <w:color w:val="auto"/>
              </w:rPr>
            </w:pPr>
            <w:r>
              <w:rPr>
                <w:rFonts w:ascii="Arial" w:cs="Arial" w:eastAsia="Arial" w:hAnsi="Arial"/>
                <w:sz w:val="18"/>
                <w:szCs w:val="18"/>
                <w:color w:val="auto"/>
                <w:w w:val="89"/>
              </w:rPr>
              <w:t>31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20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Total average yield (d)</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80" w:type="dxa"/>
            <w:vAlign w:val="bottom"/>
            <w:gridSpan w:val="4"/>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220" w:type="dxa"/>
            <w:vAlign w:val="bottom"/>
          </w:tcPr>
          <w:p>
            <w:pPr>
              <w:spacing w:after="0"/>
              <w:rPr>
                <w:sz w:val="15"/>
                <w:szCs w:val="15"/>
                <w:color w:val="auto"/>
              </w:rPr>
            </w:pPr>
          </w:p>
        </w:tc>
        <w:tc>
          <w:tcPr>
            <w:tcW w:w="1120" w:type="dxa"/>
            <w:vAlign w:val="bottom"/>
            <w:gridSpan w:val="3"/>
          </w:tcPr>
          <w:p>
            <w:pPr>
              <w:ind w:left="620"/>
              <w:spacing w:after="0" w:line="182" w:lineRule="exact"/>
              <w:rPr>
                <w:sz w:val="20"/>
                <w:szCs w:val="20"/>
                <w:color w:val="auto"/>
              </w:rPr>
            </w:pPr>
            <w:r>
              <w:rPr>
                <w:rFonts w:ascii="Arial" w:cs="Arial" w:eastAsia="Arial" w:hAnsi="Arial"/>
                <w:sz w:val="18"/>
                <w:szCs w:val="18"/>
                <w:color w:val="auto"/>
              </w:rPr>
              <w:t>0.5 %</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620" w:type="dxa"/>
            <w:vAlign w:val="bottom"/>
          </w:tcPr>
          <w:p>
            <w:pPr>
              <w:ind w:left="380"/>
              <w:spacing w:after="0" w:line="182" w:lineRule="exact"/>
              <w:rPr>
                <w:sz w:val="20"/>
                <w:szCs w:val="20"/>
                <w:color w:val="auto"/>
              </w:rPr>
            </w:pPr>
            <w:r>
              <w:rPr>
                <w:rFonts w:ascii="Arial" w:cs="Arial" w:eastAsia="Arial" w:hAnsi="Arial"/>
                <w:sz w:val="18"/>
                <w:szCs w:val="18"/>
                <w:color w:val="auto"/>
              </w:rPr>
              <w:t>53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ind w:left="360"/>
              <w:spacing w:after="0" w:line="182" w:lineRule="exact"/>
              <w:rPr>
                <w:sz w:val="20"/>
                <w:szCs w:val="20"/>
                <w:color w:val="auto"/>
              </w:rPr>
            </w:pPr>
            <w:r>
              <w:rPr>
                <w:rFonts w:ascii="Arial" w:cs="Arial" w:eastAsia="Arial" w:hAnsi="Arial"/>
                <w:sz w:val="18"/>
                <w:szCs w:val="18"/>
                <w:color w:val="auto"/>
                <w:w w:val="91"/>
              </w:rPr>
              <w:t>0.5 %</w:t>
            </w:r>
          </w:p>
        </w:tc>
        <w:tc>
          <w:tcPr>
            <w:tcW w:w="0" w:type="dxa"/>
            <w:vAlign w:val="bottom"/>
          </w:tcPr>
          <w:p>
            <w:pPr>
              <w:spacing w:after="0"/>
              <w:rPr>
                <w:sz w:val="1"/>
                <w:szCs w:val="1"/>
                <w:color w:val="auto"/>
              </w:rPr>
            </w:pPr>
          </w:p>
        </w:tc>
      </w:tr>
      <w:tr>
        <w:trPr>
          <w:trHeight w:val="230"/>
        </w:trPr>
        <w:tc>
          <w:tcPr>
            <w:tcW w:w="3200" w:type="dxa"/>
            <w:vAlign w:val="bottom"/>
            <w:gridSpan w:val="2"/>
          </w:tcPr>
          <w:p>
            <w:pPr>
              <w:ind w:left="140"/>
              <w:spacing w:after="0"/>
              <w:rPr>
                <w:sz w:val="20"/>
                <w:szCs w:val="20"/>
                <w:color w:val="auto"/>
              </w:rPr>
            </w:pPr>
            <w:r>
              <w:rPr>
                <w:rFonts w:ascii="Arial" w:cs="Arial" w:eastAsia="Arial" w:hAnsi="Arial"/>
                <w:sz w:val="18"/>
                <w:szCs w:val="18"/>
                <w:color w:val="auto"/>
              </w:rPr>
              <w:t>Volume</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20"/>
                <w:szCs w:val="20"/>
                <w:color w:val="auto"/>
              </w:rPr>
            </w:pPr>
          </w:p>
        </w:tc>
        <w:tc>
          <w:tcPr>
            <w:tcW w:w="90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9"/>
              </w:rPr>
              <w:t>309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200" w:type="dxa"/>
            <w:vAlign w:val="bottom"/>
            <w:gridSpan w:val="2"/>
          </w:tcPr>
          <w:p>
            <w:pPr>
              <w:ind w:left="140"/>
              <w:spacing w:after="0" w:line="195" w:lineRule="exact"/>
              <w:rPr>
                <w:sz w:val="20"/>
                <w:szCs w:val="20"/>
                <w:color w:val="auto"/>
              </w:rPr>
            </w:pPr>
            <w:r>
              <w:rPr>
                <w:rFonts w:ascii="Arial" w:cs="Arial" w:eastAsia="Arial" w:hAnsi="Arial"/>
                <w:sz w:val="18"/>
                <w:szCs w:val="18"/>
                <w:color w:val="auto"/>
              </w:rPr>
              <w:t>Internal revenue growth</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173</w:t>
            </w:r>
          </w:p>
        </w:tc>
        <w:tc>
          <w:tcPr>
            <w:tcW w:w="220" w:type="dxa"/>
            <w:vAlign w:val="bottom"/>
          </w:tcPr>
          <w:p>
            <w:pPr>
              <w:spacing w:after="0"/>
              <w:rPr>
                <w:sz w:val="16"/>
                <w:szCs w:val="16"/>
                <w:color w:val="auto"/>
              </w:rPr>
            </w:pPr>
          </w:p>
        </w:tc>
        <w:tc>
          <w:tcPr>
            <w:tcW w:w="900" w:type="dxa"/>
            <w:vAlign w:val="bottom"/>
            <w:gridSpan w:val="2"/>
          </w:tcPr>
          <w:p>
            <w:pPr>
              <w:ind w:left="620"/>
              <w:spacing w:after="0" w:line="195" w:lineRule="exact"/>
              <w:rPr>
                <w:sz w:val="20"/>
                <w:szCs w:val="20"/>
                <w:color w:val="auto"/>
              </w:rPr>
            </w:pPr>
            <w:r>
              <w:rPr>
                <w:rFonts w:ascii="Arial" w:cs="Arial" w:eastAsia="Arial" w:hAnsi="Arial"/>
                <w:sz w:val="18"/>
                <w:szCs w:val="18"/>
                <w:color w:val="auto"/>
              </w:rPr>
              <w:t>4.7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ind w:left="300"/>
              <w:spacing w:after="0" w:line="195" w:lineRule="exact"/>
              <w:rPr>
                <w:sz w:val="20"/>
                <w:szCs w:val="20"/>
                <w:color w:val="auto"/>
              </w:rPr>
            </w:pPr>
            <w:r>
              <w:rPr>
                <w:rFonts w:ascii="Arial" w:cs="Arial" w:eastAsia="Arial" w:hAnsi="Arial"/>
                <w:sz w:val="18"/>
                <w:szCs w:val="18"/>
                <w:color w:val="auto"/>
                <w:w w:val="99"/>
              </w:rPr>
              <w:t>362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ind w:left="360"/>
              <w:spacing w:after="0" w:line="195"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140"/>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w w:val="99"/>
              </w:rPr>
              <w:t>142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140"/>
              <w:spacing w:after="0"/>
              <w:rPr>
                <w:sz w:val="20"/>
                <w:szCs w:val="20"/>
                <w:color w:val="auto"/>
              </w:rPr>
            </w:pPr>
            <w:r>
              <w:rPr>
                <w:rFonts w:ascii="Arial" w:cs="Arial" w:eastAsia="Arial" w:hAnsi="Arial"/>
                <w:sz w:val="18"/>
                <w:szCs w:val="18"/>
                <w:color w:val="auto"/>
              </w:rPr>
              <w:t>Divestitures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120" w:type="dxa"/>
            <w:vAlign w:val="bottom"/>
            <w:gridSpan w:val="3"/>
          </w:tcPr>
          <w:p>
            <w:pPr>
              <w:jc w:val="right"/>
              <w:ind w:right="1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3200" w:type="dxa"/>
            <w:vAlign w:val="bottom"/>
            <w:gridSpan w:val="2"/>
          </w:tcPr>
          <w:p>
            <w:pPr>
              <w:ind w:left="140"/>
              <w:spacing w:after="0"/>
              <w:rPr>
                <w:sz w:val="20"/>
                <w:szCs w:val="20"/>
                <w:color w:val="auto"/>
              </w:rPr>
            </w:pPr>
            <w:r>
              <w:rPr>
                <w:rFonts w:ascii="Arial" w:cs="Arial" w:eastAsia="Arial" w:hAnsi="Arial"/>
                <w:sz w:val="18"/>
                <w:szCs w:val="18"/>
                <w:color w:val="auto"/>
                <w:w w:val="99"/>
              </w:rPr>
              <w:t>Foreign currency translation and other</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120" w:type="dxa"/>
            <w:vAlign w:val="bottom"/>
            <w:gridSpan w:val="3"/>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32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ind w:left="620"/>
              <w:spacing w:after="0"/>
              <w:rPr>
                <w:sz w:val="20"/>
                <w:szCs w:val="20"/>
                <w:color w:val="auto"/>
              </w:rPr>
            </w:pPr>
            <w:r>
              <w:rPr>
                <w:rFonts w:ascii="Arial" w:cs="Arial" w:eastAsia="Arial" w:hAnsi="Arial"/>
                <w:sz w:val="18"/>
                <w:szCs w:val="18"/>
                <w:color w:val="auto"/>
              </w:rPr>
              <w:t>2.9</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99"/>
              </w:rPr>
              <w:t>239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2.2</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80" w:type="dxa"/>
            <w:vAlign w:val="bottom"/>
            <w:tcBorders>
              <w:bottom w:val="single" w:sz="8" w:color="808080"/>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herein.</w:t>
      </w:r>
    </w:p>
    <w:p>
      <w:pPr>
        <w:spacing w:after="0" w:line="63"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8"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8"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WASTE MANAGEMENT,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DATA SHEET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Millions)</w:t>
      </w:r>
    </w:p>
    <w:p>
      <w:pPr>
        <w:sectPr>
          <w:pgSz w:w="11900" w:h="16838" w:orient="portrait"/>
          <w:cols w:equalWidth="0" w:num="1">
            <w:col w:w="11420"/>
          </w:cols>
          <w:pgMar w:left="240" w:top="121" w:right="23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9"/>
          <w:szCs w:val="19"/>
          <w:b w:val="1"/>
          <w:bCs w:val="1"/>
          <w:color w:val="auto"/>
        </w:rPr>
        <w:t>(Unaudited)</w:t>
      </w:r>
    </w:p>
    <w:p>
      <w:pPr>
        <w:sectPr>
          <w:pgSz w:w="11900" w:h="16838" w:orient="portrait"/>
          <w:cols w:equalWidth="0" w:num="1">
            <w:col w:w="11420"/>
          </w:cols>
          <w:pgMar w:left="240" w:top="111" w:right="239" w:bottom="63" w:gutter="0" w:footer="0" w:header="0"/>
        </w:sect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 Analysis (a)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 (b)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9" w:lineRule="exact"/>
        <w:rPr>
          <w:sz w:val="20"/>
          <w:szCs w:val="20"/>
          <w:color w:val="auto"/>
        </w:rPr>
      </w:pPr>
    </w:p>
    <w:p>
      <w:pPr>
        <w:ind w:left="180" w:hanging="179"/>
        <w:spacing w:after="0" w:line="257" w:lineRule="auto"/>
        <w:rPr>
          <w:sz w:val="20"/>
          <w:szCs w:val="20"/>
          <w:color w:val="auto"/>
        </w:rPr>
      </w:pPr>
      <w:r>
        <w:rPr>
          <w:rFonts w:ascii="Arial" w:cs="Arial" w:eastAsia="Arial" w:hAnsi="Arial"/>
          <w:sz w:val="18"/>
          <w:szCs w:val="18"/>
          <w:color w:val="auto"/>
        </w:rPr>
        <w:t>Proceeds from divestitures of businesses and other assets (net of cash divested)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Free cash flow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9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10"/>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2017</w:t>
            </w:r>
          </w:p>
        </w:tc>
      </w:tr>
      <w:tr>
        <w:trPr>
          <w:trHeight w:val="195"/>
        </w:trPr>
        <w:tc>
          <w:tcPr>
            <w:tcW w:w="900" w:type="dxa"/>
            <w:vAlign w:val="bottom"/>
          </w:tcPr>
          <w:p>
            <w:pPr>
              <w:jc w:val="right"/>
              <w:ind w:right="630"/>
              <w:spacing w:after="0" w:line="195"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874</w:t>
            </w:r>
          </w:p>
        </w:tc>
        <w:tc>
          <w:tcPr>
            <w:tcW w:w="200" w:type="dxa"/>
            <w:vAlign w:val="bottom"/>
          </w:tcPr>
          <w:p>
            <w:pPr>
              <w:spacing w:after="0"/>
              <w:rPr>
                <w:sz w:val="16"/>
                <w:szCs w:val="16"/>
                <w:color w:val="auto"/>
              </w:rPr>
            </w:pPr>
          </w:p>
        </w:tc>
        <w:tc>
          <w:tcPr>
            <w:tcW w:w="900" w:type="dxa"/>
            <w:vAlign w:val="bottom"/>
          </w:tcPr>
          <w:p>
            <w:pPr>
              <w:jc w:val="right"/>
              <w:ind w:right="630"/>
              <w:spacing w:after="0" w:line="195"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853</w:t>
            </w:r>
          </w:p>
        </w:tc>
        <w:tc>
          <w:tcPr>
            <w:tcW w:w="280" w:type="dxa"/>
            <w:vAlign w:val="bottom"/>
          </w:tcPr>
          <w:p>
            <w:pPr>
              <w:spacing w:after="0"/>
              <w:rPr>
                <w:sz w:val="16"/>
                <w:szCs w:val="16"/>
                <w:color w:val="auto"/>
              </w:rPr>
            </w:pPr>
          </w:p>
        </w:tc>
        <w:tc>
          <w:tcPr>
            <w:tcW w:w="34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195" w:lineRule="exact"/>
              <w:rPr>
                <w:sz w:val="20"/>
                <w:szCs w:val="20"/>
                <w:color w:val="auto"/>
              </w:rPr>
            </w:pPr>
            <w:r>
              <w:rPr>
                <w:rFonts w:ascii="Arial" w:cs="Arial" w:eastAsia="Arial" w:hAnsi="Arial"/>
                <w:sz w:val="18"/>
                <w:szCs w:val="18"/>
                <w:color w:val="auto"/>
              </w:rPr>
              <w:t>2,658</w:t>
            </w:r>
          </w:p>
        </w:tc>
        <w:tc>
          <w:tcPr>
            <w:tcW w:w="280" w:type="dxa"/>
            <w:vAlign w:val="bottom"/>
          </w:tcPr>
          <w:p>
            <w:pPr>
              <w:spacing w:after="0"/>
              <w:rPr>
                <w:sz w:val="16"/>
                <w:szCs w:val="16"/>
                <w:color w:val="auto"/>
              </w:rPr>
            </w:pPr>
          </w:p>
        </w:tc>
        <w:tc>
          <w:tcPr>
            <w:tcW w:w="44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2,388</w:t>
            </w:r>
          </w:p>
        </w:tc>
      </w:tr>
      <w:tr>
        <w:trPr>
          <w:trHeight w:val="230"/>
        </w:trPr>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(404)</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(350)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(1,240)</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(981)</w:t>
            </w:r>
          </w:p>
        </w:tc>
      </w:tr>
      <w:tr>
        <w:trPr>
          <w:trHeight w:val="432"/>
        </w:trPr>
        <w:tc>
          <w:tcPr>
            <w:tcW w:w="9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r>
      <w:tr>
        <w:trPr>
          <w:trHeight w:val="210"/>
        </w:trPr>
        <w:tc>
          <w:tcPr>
            <w:tcW w:w="9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509</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1,524</w:t>
            </w:r>
          </w:p>
        </w:tc>
        <w:tc>
          <w:tcPr>
            <w:tcW w:w="280" w:type="dxa"/>
            <w:vAlign w:val="bottom"/>
          </w:tcPr>
          <w:p>
            <w:pPr>
              <w:spacing w:after="0"/>
              <w:rPr>
                <w:sz w:val="18"/>
                <w:szCs w:val="18"/>
                <w:color w:val="auto"/>
              </w:rPr>
            </w:pP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1,426</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640" w:space="520"/>
            <w:col w:w="6260"/>
          </w:cols>
          <w:pgMar w:left="240" w:top="111" w:right="239" w:bottom="63"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8"/>
          </w:tcPr>
          <w:p>
            <w:pPr>
              <w:jc w:val="center"/>
              <w:ind w:right="580"/>
              <w:spacing w:after="0"/>
              <w:rPr>
                <w:sz w:val="20"/>
                <w:szCs w:val="20"/>
                <w:color w:val="auto"/>
              </w:rPr>
            </w:pPr>
            <w:r>
              <w:rPr>
                <w:rFonts w:ascii="Arial" w:cs="Arial" w:eastAsia="Arial" w:hAnsi="Arial"/>
                <w:sz w:val="18"/>
                <w:szCs w:val="18"/>
                <w:b w:val="1"/>
                <w:bCs w:val="1"/>
                <w:color w:val="auto"/>
                <w:w w:val="92"/>
              </w:rPr>
              <w:t>Three Months Ended</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gridSpan w:val="6"/>
          </w:tcPr>
          <w:p>
            <w:pPr>
              <w:jc w:val="center"/>
              <w:ind w:right="29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5"/>
          </w:tcPr>
          <w:p>
            <w:pPr>
              <w:jc w:val="center"/>
              <w:ind w:left="47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jc w:val="center"/>
              <w:ind w:left="45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Data</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2017</w:t>
            </w:r>
          </w:p>
        </w:tc>
        <w:tc>
          <w:tcPr>
            <w:tcW w:w="0" w:type="dxa"/>
            <w:vAlign w:val="bottom"/>
          </w:tcPr>
          <w:p>
            <w:pPr>
              <w:spacing w:after="0"/>
              <w:rPr>
                <w:sz w:val="1"/>
                <w:szCs w:val="1"/>
                <w:color w:val="auto"/>
              </w:rPr>
            </w:pPr>
          </w:p>
        </w:tc>
      </w:tr>
      <w:tr>
        <w:trPr>
          <w:trHeight w:val="196"/>
        </w:trPr>
        <w:tc>
          <w:tcPr>
            <w:tcW w:w="51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color w:val="auto"/>
              </w:rPr>
              <w:t>Internalization of waste, based on disposal costs</w:t>
            </w:r>
          </w:p>
        </w:tc>
        <w:tc>
          <w:tcPr>
            <w:tcW w:w="320" w:type="dxa"/>
            <w:vAlign w:val="bottom"/>
          </w:tcPr>
          <w:p>
            <w:pPr>
              <w:spacing w:after="0"/>
              <w:rPr>
                <w:sz w:val="24"/>
                <w:szCs w:val="24"/>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67.9%</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65.6%</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67.4%</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color w:val="auto"/>
              </w:rPr>
              <w:t>Landfill amortizable tons (in millions)</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Acquisition Summary (c)</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color w:val="auto"/>
              </w:rPr>
              <w:t>Gross annualized revenue acquired</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color w:val="auto"/>
              </w:rPr>
              <w:t>Total consideration</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418"/>
        </w:trPr>
        <w:tc>
          <w:tcPr>
            <w:tcW w:w="5140" w:type="dxa"/>
            <w:vAlign w:val="bottom"/>
            <w:gridSpan w:val="2"/>
          </w:tcPr>
          <w:p>
            <w:pPr>
              <w:spacing w:after="0"/>
              <w:rPr>
                <w:sz w:val="20"/>
                <w:szCs w:val="20"/>
                <w:color w:val="auto"/>
              </w:rPr>
            </w:pPr>
            <w:r>
              <w:rPr>
                <w:rFonts w:ascii="Arial" w:cs="Arial" w:eastAsia="Arial" w:hAnsi="Arial"/>
                <w:sz w:val="18"/>
                <w:szCs w:val="18"/>
                <w:color w:val="auto"/>
                <w:w w:val="98"/>
              </w:rPr>
              <w:t>Cash paid for acquisitions consummated during the period, net of</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cash acquired</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418"/>
        </w:trPr>
        <w:tc>
          <w:tcPr>
            <w:tcW w:w="5140" w:type="dxa"/>
            <w:vAlign w:val="bottom"/>
            <w:gridSpan w:val="2"/>
          </w:tcPr>
          <w:p>
            <w:pPr>
              <w:spacing w:after="0"/>
              <w:rPr>
                <w:sz w:val="20"/>
                <w:szCs w:val="20"/>
                <w:color w:val="auto"/>
              </w:rPr>
            </w:pPr>
            <w:r>
              <w:rPr>
                <w:rFonts w:ascii="Arial" w:cs="Arial" w:eastAsia="Arial" w:hAnsi="Arial"/>
                <w:sz w:val="18"/>
                <w:szCs w:val="18"/>
                <w:color w:val="auto"/>
                <w:w w:val="98"/>
              </w:rPr>
              <w:t>Cash paid for acquisitions including contingent consideration and</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other items from prior periods, net of cash acquired</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348</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41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Amortization, Accretion and Other Expenses for Landfills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180"/>
              <w:spacing w:after="0"/>
              <w:rPr>
                <w:sz w:val="20"/>
                <w:szCs w:val="20"/>
                <w:color w:val="auto"/>
              </w:rPr>
            </w:pPr>
            <w:r>
              <w:rPr>
                <w:rFonts w:ascii="Arial" w:cs="Arial" w:eastAsia="Arial" w:hAnsi="Arial"/>
                <w:sz w:val="18"/>
                <w:szCs w:val="18"/>
                <w:b w:val="1"/>
                <w:bCs w:val="1"/>
                <w:color w:val="auto"/>
              </w:rPr>
              <w:t>Included in Operating Groups:</w:t>
            </w:r>
          </w:p>
        </w:tc>
        <w:tc>
          <w:tcPr>
            <w:tcW w:w="320" w:type="dxa"/>
            <w:vAlign w:val="bottom"/>
          </w:tcPr>
          <w:p>
            <w:pPr>
              <w:spacing w:after="0"/>
              <w:rPr>
                <w:sz w:val="18"/>
                <w:szCs w:val="18"/>
                <w:color w:val="auto"/>
              </w:rPr>
            </w:pPr>
          </w:p>
        </w:tc>
        <w:tc>
          <w:tcPr>
            <w:tcW w:w="2900" w:type="dxa"/>
            <w:vAlign w:val="bottom"/>
            <w:gridSpan w:val="8"/>
          </w:tcPr>
          <w:p>
            <w:pPr>
              <w:jc w:val="center"/>
              <w:ind w:right="580"/>
              <w:spacing w:after="0"/>
              <w:rPr>
                <w:sz w:val="20"/>
                <w:szCs w:val="20"/>
                <w:color w:val="auto"/>
              </w:rPr>
            </w:pPr>
            <w:r>
              <w:rPr>
                <w:rFonts w:ascii="Arial" w:cs="Arial" w:eastAsia="Arial" w:hAnsi="Arial"/>
                <w:sz w:val="18"/>
                <w:szCs w:val="18"/>
                <w:b w:val="1"/>
                <w:bCs w:val="1"/>
                <w:color w:val="auto"/>
                <w:w w:val="92"/>
              </w:rPr>
              <w:t>Three Months Ended</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5"/>
          </w:tcPr>
          <w:p>
            <w:pPr>
              <w:jc w:val="center"/>
              <w:ind w:left="490"/>
              <w:spacing w:after="0"/>
              <w:rPr>
                <w:sz w:val="20"/>
                <w:szCs w:val="20"/>
                <w:color w:val="auto"/>
              </w:rPr>
            </w:pPr>
            <w:r>
              <w:rPr>
                <w:rFonts w:ascii="Arial" w:cs="Arial" w:eastAsia="Arial" w:hAnsi="Arial"/>
                <w:sz w:val="18"/>
                <w:szCs w:val="18"/>
                <w:b w:val="1"/>
                <w:bCs w:val="1"/>
                <w:color w:val="auto"/>
                <w:w w:val="87"/>
              </w:rPr>
              <w:t>September 30,</w:t>
            </w: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vMerge w:val="restart"/>
          </w:tcPr>
          <w:p>
            <w:pPr>
              <w:spacing w:after="0"/>
              <w:rPr>
                <w:sz w:val="20"/>
                <w:szCs w:val="20"/>
                <w:color w:val="auto"/>
              </w:rPr>
            </w:pPr>
            <w:r>
              <w:rPr>
                <w:rFonts w:ascii="Arial" w:cs="Arial" w:eastAsia="Arial" w:hAnsi="Arial"/>
                <w:sz w:val="18"/>
                <w:szCs w:val="18"/>
                <w:color w:val="auto"/>
              </w:rPr>
              <w:t>Landfill amortization expense</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2017</w:t>
            </w:r>
          </w:p>
        </w:tc>
        <w:tc>
          <w:tcPr>
            <w:tcW w:w="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182"/>
        </w:trPr>
        <w:tc>
          <w:tcPr>
            <w:tcW w:w="5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260"/>
              <w:spacing w:after="0"/>
              <w:rPr>
                <w:sz w:val="20"/>
                <w:szCs w:val="20"/>
                <w:color w:val="auto"/>
              </w:rPr>
            </w:pPr>
            <w:r>
              <w:rPr>
                <w:rFonts w:ascii="Arial" w:cs="Arial" w:eastAsia="Arial" w:hAnsi="Arial"/>
                <w:sz w:val="18"/>
                <w:szCs w:val="18"/>
                <w:color w:val="auto"/>
              </w:rPr>
              <w:t>Cost basis of landfill assets</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113.5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325.8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30"/>
        </w:trPr>
        <w:tc>
          <w:tcPr>
            <w:tcW w:w="5140" w:type="dxa"/>
            <w:vAlign w:val="bottom"/>
            <w:gridSpan w:val="2"/>
          </w:tcPr>
          <w:p>
            <w:pPr>
              <w:ind w:left="260"/>
              <w:spacing w:after="0"/>
              <w:rPr>
                <w:sz w:val="20"/>
                <w:szCs w:val="20"/>
                <w:color w:val="auto"/>
              </w:rPr>
            </w:pPr>
            <w:r>
              <w:rPr>
                <w:rFonts w:ascii="Arial" w:cs="Arial" w:eastAsia="Arial" w:hAnsi="Arial"/>
                <w:sz w:val="18"/>
                <w:szCs w:val="18"/>
                <w:color w:val="auto"/>
              </w:rPr>
              <w:t>Asset retirement costs</w:t>
            </w:r>
          </w:p>
        </w:tc>
        <w:tc>
          <w:tcPr>
            <w:tcW w:w="3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79.9</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195"/>
        </w:trPr>
        <w:tc>
          <w:tcPr>
            <w:tcW w:w="5120" w:type="dxa"/>
            <w:vAlign w:val="bottom"/>
          </w:tcPr>
          <w:p>
            <w:pPr>
              <w:ind w:left="440"/>
              <w:spacing w:after="0" w:line="195" w:lineRule="exact"/>
              <w:rPr>
                <w:sz w:val="20"/>
                <w:szCs w:val="20"/>
                <w:color w:val="auto"/>
              </w:rPr>
            </w:pPr>
            <w:r>
              <w:rPr>
                <w:rFonts w:ascii="Arial" w:cs="Arial" w:eastAsia="Arial" w:hAnsi="Arial"/>
                <w:sz w:val="18"/>
                <w:szCs w:val="18"/>
                <w:color w:val="auto"/>
              </w:rPr>
              <w:t>Total landfill amortization expense</w:t>
            </w: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141.5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128.1</w:t>
            </w:r>
          </w:p>
        </w:tc>
        <w:tc>
          <w:tcPr>
            <w:tcW w:w="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405.7</w:t>
            </w:r>
          </w:p>
        </w:tc>
        <w:tc>
          <w:tcPr>
            <w:tcW w:w="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Accretion and other related expense</w:t>
            </w:r>
          </w:p>
        </w:tc>
        <w:tc>
          <w:tcPr>
            <w:tcW w:w="3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60.3</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0"/>
        </w:trPr>
        <w:tc>
          <w:tcPr>
            <w:tcW w:w="5120" w:type="dxa"/>
            <w:vAlign w:val="bottom"/>
          </w:tcPr>
          <w:p>
            <w:pPr>
              <w:ind w:left="260"/>
              <w:spacing w:after="0"/>
              <w:rPr>
                <w:sz w:val="20"/>
                <w:szCs w:val="20"/>
                <w:color w:val="auto"/>
              </w:rPr>
            </w:pPr>
            <w:r>
              <w:rPr>
                <w:rFonts w:ascii="Arial" w:cs="Arial" w:eastAsia="Arial" w:hAnsi="Arial"/>
                <w:sz w:val="18"/>
                <w:szCs w:val="18"/>
                <w:color w:val="auto"/>
              </w:rPr>
              <w:t>Landfill amortization, accretion and other related expense</w:t>
            </w: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466.0</w:t>
            </w: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right="180" w:hanging="252"/>
        <w:spacing w:after="0" w:line="264" w:lineRule="auto"/>
        <w:tabs>
          <w:tab w:leader="none" w:pos="265"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5" w:lineRule="exact"/>
        <w:rPr>
          <w:rFonts w:ascii="Arial" w:cs="Arial" w:eastAsia="Arial" w:hAnsi="Arial"/>
          <w:sz w:val="18"/>
          <w:szCs w:val="18"/>
          <w:b w:val="1"/>
          <w:bCs w:val="1"/>
          <w:color w:val="auto"/>
        </w:rPr>
      </w:pPr>
    </w:p>
    <w:p>
      <w:pPr>
        <w:ind w:left="280" w:hanging="272"/>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Prior year information has been revised to reflect the adoption of ASU 2016-18 and conform to our current year presentation.</w:t>
      </w:r>
    </w:p>
    <w:p>
      <w:pPr>
        <w:spacing w:after="0" w:line="49" w:lineRule="exact"/>
        <w:rPr>
          <w:rFonts w:ascii="Arial" w:cs="Arial" w:eastAsia="Arial" w:hAnsi="Arial"/>
          <w:sz w:val="18"/>
          <w:szCs w:val="18"/>
          <w:b w:val="1"/>
          <w:bCs w:val="1"/>
          <w:color w:val="auto"/>
        </w:rPr>
      </w:pPr>
    </w:p>
    <w:p>
      <w:pPr>
        <w:ind w:left="280" w:hanging="272"/>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Represents amounts associated with business acquisitions consummated during the applicable period except where noted.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6"/>
          </w:tcPr>
          <w:p>
            <w:pPr>
              <w:jc w:val="center"/>
              <w:ind w:left="31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jc w:val="center"/>
              <w:ind w:right="290"/>
              <w:spacing w:after="0"/>
              <w:rPr>
                <w:sz w:val="20"/>
                <w:szCs w:val="20"/>
                <w:color w:val="auto"/>
              </w:rPr>
            </w:pPr>
            <w:r>
              <w:rPr>
                <w:rFonts w:ascii="Arial" w:cs="Arial" w:eastAsia="Arial" w:hAnsi="Arial"/>
                <w:sz w:val="18"/>
                <w:szCs w:val="18"/>
                <w:b w:val="1"/>
                <w:bCs w:val="1"/>
                <w:color w:val="auto"/>
                <w:w w:val="89"/>
              </w:rPr>
              <w:t>September 30, 2018</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4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Income from</w:t>
            </w:r>
          </w:p>
        </w:tc>
        <w:tc>
          <w:tcPr>
            <w:tcW w:w="200" w:type="dxa"/>
            <w:vAlign w:val="bottom"/>
          </w:tcPr>
          <w:p>
            <w:pPr>
              <w:spacing w:after="0"/>
              <w:rPr>
                <w:sz w:val="24"/>
                <w:szCs w:val="24"/>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Pre-tax</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Net</w:t>
            </w: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Per Share</w:t>
            </w:r>
          </w:p>
        </w:tc>
        <w:tc>
          <w:tcPr>
            <w:tcW w:w="0" w:type="dxa"/>
            <w:vAlign w:val="bottom"/>
          </w:tcPr>
          <w:p>
            <w:pPr>
              <w:spacing w:after="0"/>
              <w:rPr>
                <w:sz w:val="1"/>
                <w:szCs w:val="1"/>
                <w:color w:val="auto"/>
              </w:rPr>
            </w:pPr>
          </w:p>
        </w:tc>
      </w:tr>
      <w:tr>
        <w:trPr>
          <w:trHeight w:val="234"/>
        </w:trPr>
        <w:tc>
          <w:tcPr>
            <w:tcW w:w="4640" w:type="dxa"/>
            <w:vAlign w:val="bottom"/>
            <w:vMerge w:val="restart"/>
          </w:tcPr>
          <w:p>
            <w:pPr>
              <w:spacing w:after="0"/>
              <w:rPr>
                <w:sz w:val="20"/>
                <w:szCs w:val="20"/>
                <w:color w:val="auto"/>
              </w:rPr>
            </w:pPr>
            <w:r>
              <w:rPr>
                <w:rFonts w:ascii="Arial" w:cs="Arial" w:eastAsia="Arial" w:hAnsi="Arial"/>
                <w:sz w:val="18"/>
                <w:szCs w:val="18"/>
                <w:b w:val="1"/>
                <w:bCs w:val="1"/>
                <w:color w:val="auto"/>
              </w:rPr>
              <w:t>As reported amounts</w:t>
            </w:r>
          </w:p>
        </w:tc>
        <w:tc>
          <w:tcPr>
            <w:tcW w:w="18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Operations</w:t>
            </w:r>
          </w:p>
        </w:tc>
        <w:tc>
          <w:tcPr>
            <w:tcW w:w="20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Income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3"/>
          </w:tcPr>
          <w:p>
            <w:pPr>
              <w:ind w:left="140"/>
              <w:spacing w:after="0"/>
              <w:rPr>
                <w:sz w:val="20"/>
                <w:szCs w:val="20"/>
                <w:color w:val="auto"/>
              </w:rPr>
            </w:pPr>
            <w:r>
              <w:rPr>
                <w:rFonts w:ascii="Arial" w:cs="Arial" w:eastAsia="Arial" w:hAnsi="Arial"/>
                <w:sz w:val="18"/>
                <w:szCs w:val="18"/>
                <w:b w:val="1"/>
                <w:bCs w:val="1"/>
                <w:color w:val="auto"/>
              </w:rPr>
              <w:t>Tax Expense</w:t>
            </w: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rPr>
              <w:t>Income (a)</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191"/>
        </w:trPr>
        <w:tc>
          <w:tcPr>
            <w:tcW w:w="4640" w:type="dxa"/>
            <w:vAlign w:val="bottom"/>
            <w:vMerge w:val="continue"/>
          </w:tcPr>
          <w:p>
            <w:pPr>
              <w:spacing w:after="0"/>
              <w:rPr>
                <w:sz w:val="16"/>
                <w:szCs w:val="16"/>
                <w:color w:val="auto"/>
              </w:rPr>
            </w:pPr>
          </w:p>
        </w:tc>
        <w:tc>
          <w:tcPr>
            <w:tcW w:w="1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699</w:t>
            </w:r>
          </w:p>
        </w:tc>
        <w:tc>
          <w:tcPr>
            <w:tcW w:w="200" w:type="dxa"/>
            <w:vAlign w:val="bottom"/>
          </w:tcPr>
          <w:p>
            <w:pPr>
              <w:spacing w:after="0"/>
              <w:rPr>
                <w:sz w:val="16"/>
                <w:szCs w:val="16"/>
                <w:color w:val="auto"/>
              </w:rPr>
            </w:pPr>
          </w:p>
        </w:tc>
        <w:tc>
          <w:tcPr>
            <w:tcW w:w="2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597</w:t>
            </w:r>
          </w:p>
        </w:tc>
        <w:tc>
          <w:tcPr>
            <w:tcW w:w="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Borders>
              <w:top w:val="single" w:sz="8" w:color="auto"/>
            </w:tcBorders>
          </w:tcPr>
          <w:p>
            <w:pPr>
              <w:jc w:val="right"/>
              <w:ind w:right="270"/>
              <w:spacing w:after="0" w:line="191" w:lineRule="exact"/>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99</w:t>
            </w:r>
          </w:p>
        </w:tc>
        <w:tc>
          <w:tcPr>
            <w:tcW w:w="340" w:type="dxa"/>
            <w:vAlign w:val="bottom"/>
          </w:tcPr>
          <w:p>
            <w:pPr>
              <w:spacing w:after="0"/>
              <w:rPr>
                <w:sz w:val="16"/>
                <w:szCs w:val="16"/>
                <w:color w:val="auto"/>
              </w:rPr>
            </w:pPr>
          </w:p>
        </w:tc>
        <w:tc>
          <w:tcPr>
            <w:tcW w:w="260" w:type="dxa"/>
            <w:vAlign w:val="bottom"/>
            <w:tcBorders>
              <w:top w:val="single" w:sz="8" w:color="auto"/>
            </w:tcBorders>
          </w:tcPr>
          <w:p>
            <w:pPr>
              <w:ind w:left="80"/>
              <w:spacing w:after="0" w:line="191" w:lineRule="exact"/>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499</w:t>
            </w:r>
          </w:p>
        </w:tc>
        <w:tc>
          <w:tcPr>
            <w:tcW w:w="220" w:type="dxa"/>
            <w:vAlign w:val="bottom"/>
          </w:tcPr>
          <w:p>
            <w:pPr>
              <w:spacing w:after="0"/>
              <w:rPr>
                <w:sz w:val="16"/>
                <w:szCs w:val="16"/>
                <w:color w:val="auto"/>
              </w:rPr>
            </w:pPr>
          </w:p>
        </w:tc>
        <w:tc>
          <w:tcPr>
            <w:tcW w:w="320" w:type="dxa"/>
            <w:vAlign w:val="bottom"/>
            <w:tcBorders>
              <w:top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220"/>
        </w:trPr>
        <w:tc>
          <w:tcPr>
            <w:tcW w:w="464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Benefit primarily related to favorable adjustments from</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tax reform and changes in state tax laws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w w:val="95"/>
              </w:rPr>
              <w:t>Impairment of a disposal asset and multiemployer pension</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0"/>
              <w:spacing w:after="0"/>
              <w:rPr>
                <w:sz w:val="20"/>
                <w:szCs w:val="20"/>
                <w:color w:val="auto"/>
              </w:rPr>
            </w:pPr>
            <w:r>
              <w:rPr>
                <w:rFonts w:ascii="Arial" w:cs="Arial" w:eastAsia="Arial" w:hAnsi="Arial"/>
                <w:sz w:val="18"/>
                <w:szCs w:val="18"/>
                <w:color w:val="auto"/>
              </w:rPr>
              <w:t>plan accrual</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8"/>
                <w:szCs w:val="18"/>
                <w:b w:val="1"/>
                <w:bCs w:val="1"/>
                <w:color w:val="auto"/>
              </w:rPr>
              <w:t>As adjusted amounts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731</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629</w:t>
            </w:r>
          </w:p>
        </w:tc>
        <w:tc>
          <w:tcPr>
            <w:tcW w:w="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w:t>
            </w:r>
          </w:p>
        </w:tc>
        <w:tc>
          <w:tcPr>
            <w:tcW w:w="340" w:type="dxa"/>
            <w:vAlign w:val="bottom"/>
          </w:tcPr>
          <w:p>
            <w:pPr>
              <w:ind w:left="60"/>
              <w:spacing w:after="0"/>
              <w:rPr>
                <w:sz w:val="20"/>
                <w:szCs w:val="20"/>
                <w:color w:val="auto"/>
              </w:rPr>
            </w:pPr>
            <w:r>
              <w:rPr>
                <w:rFonts w:ascii="Arial" w:cs="Arial" w:eastAsia="Arial" w:hAnsi="Arial"/>
                <w:sz w:val="18"/>
                <w:szCs w:val="18"/>
                <w:b w:val="1"/>
                <w:bCs w:val="1"/>
                <w:color w:val="auto"/>
              </w:rPr>
              <w:t>(b)</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496</w:t>
            </w:r>
          </w:p>
        </w:tc>
        <w:tc>
          <w:tcPr>
            <w:tcW w:w="220" w:type="dxa"/>
            <w:vAlign w:val="bottom"/>
          </w:tcPr>
          <w:p>
            <w:pPr>
              <w:spacing w:after="0"/>
              <w:rPr>
                <w:sz w:val="18"/>
                <w:szCs w:val="18"/>
                <w:color w:val="auto"/>
              </w:rPr>
            </w:pP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1" w:right="239" w:bottom="63"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6"/>
          </w:tcPr>
          <w:p>
            <w:pPr>
              <w:jc w:val="center"/>
              <w:ind w:left="31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jc w:val="center"/>
              <w:ind w:right="290"/>
              <w:spacing w:after="0"/>
              <w:rPr>
                <w:sz w:val="20"/>
                <w:szCs w:val="20"/>
                <w:color w:val="auto"/>
              </w:rPr>
            </w:pPr>
            <w:r>
              <w:rPr>
                <w:rFonts w:ascii="Arial" w:cs="Arial" w:eastAsia="Arial" w:hAnsi="Arial"/>
                <w:sz w:val="18"/>
                <w:szCs w:val="18"/>
                <w:b w:val="1"/>
                <w:bCs w:val="1"/>
                <w:color w:val="auto"/>
                <w:w w:val="89"/>
              </w:rPr>
              <w:t>September 30, 2017</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Income from</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Pre-tax</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Net</w:t>
            </w:r>
          </w:p>
        </w:tc>
        <w:tc>
          <w:tcPr>
            <w:tcW w:w="220" w:type="dxa"/>
            <w:vAlign w:val="bottom"/>
          </w:tcPr>
          <w:p>
            <w:pPr>
              <w:spacing w:after="0"/>
              <w:rPr>
                <w:sz w:val="24"/>
                <w:szCs w:val="24"/>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Per Share</w:t>
            </w:r>
          </w:p>
        </w:tc>
        <w:tc>
          <w:tcPr>
            <w:tcW w:w="0" w:type="dxa"/>
            <w:vAlign w:val="bottom"/>
          </w:tcPr>
          <w:p>
            <w:pPr>
              <w:spacing w:after="0"/>
              <w:rPr>
                <w:sz w:val="1"/>
                <w:szCs w:val="1"/>
                <w:color w:val="auto"/>
              </w:rPr>
            </w:pPr>
          </w:p>
        </w:tc>
      </w:tr>
      <w:tr>
        <w:trPr>
          <w:trHeight w:val="234"/>
        </w:trPr>
        <w:tc>
          <w:tcPr>
            <w:tcW w:w="4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reported amounts</w:t>
            </w:r>
          </w:p>
        </w:tc>
        <w:tc>
          <w:tcPr>
            <w:tcW w:w="180" w:type="dxa"/>
            <w:vAlign w:val="bottom"/>
          </w:tcPr>
          <w:p>
            <w:pPr>
              <w:spacing w:after="0"/>
              <w:rPr>
                <w:sz w:val="20"/>
                <w:szCs w:val="20"/>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Operations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Income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3"/>
          </w:tcPr>
          <w:p>
            <w:pPr>
              <w:ind w:left="140"/>
              <w:spacing w:after="0"/>
              <w:rPr>
                <w:sz w:val="20"/>
                <w:szCs w:val="20"/>
                <w:color w:val="auto"/>
              </w:rPr>
            </w:pPr>
            <w:r>
              <w:rPr>
                <w:rFonts w:ascii="Arial" w:cs="Arial" w:eastAsia="Arial" w:hAnsi="Arial"/>
                <w:sz w:val="18"/>
                <w:szCs w:val="18"/>
                <w:b w:val="1"/>
                <w:bCs w:val="1"/>
                <w:color w:val="auto"/>
              </w:rPr>
              <w:t>Tax Expense</w:t>
            </w: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Income (a)</w:t>
            </w:r>
          </w:p>
        </w:tc>
        <w:tc>
          <w:tcPr>
            <w:tcW w:w="220" w:type="dxa"/>
            <w:vAlign w:val="bottom"/>
          </w:tcPr>
          <w:p>
            <w:pPr>
              <w:spacing w:after="0"/>
              <w:rPr>
                <w:sz w:val="20"/>
                <w:szCs w:val="20"/>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191"/>
        </w:trPr>
        <w:tc>
          <w:tcPr>
            <w:tcW w:w="4820" w:type="dxa"/>
            <w:vAlign w:val="bottom"/>
            <w:vMerge w:val="continue"/>
          </w:tcPr>
          <w:p>
            <w:pPr>
              <w:spacing w:after="0"/>
              <w:rPr>
                <w:sz w:val="16"/>
                <w:szCs w:val="16"/>
                <w:color w:val="auto"/>
              </w:rPr>
            </w:pPr>
          </w:p>
        </w:tc>
        <w:tc>
          <w:tcPr>
            <w:tcW w:w="1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701</w:t>
            </w:r>
          </w:p>
        </w:tc>
        <w:tc>
          <w:tcPr>
            <w:tcW w:w="200" w:type="dxa"/>
            <w:vAlign w:val="bottom"/>
          </w:tcPr>
          <w:p>
            <w:pPr>
              <w:spacing w:after="0"/>
              <w:rPr>
                <w:sz w:val="16"/>
                <w:szCs w:val="16"/>
                <w:color w:val="auto"/>
              </w:rPr>
            </w:pPr>
          </w:p>
        </w:tc>
        <w:tc>
          <w:tcPr>
            <w:tcW w:w="2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603</w:t>
            </w:r>
          </w:p>
        </w:tc>
        <w:tc>
          <w:tcPr>
            <w:tcW w:w="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215</w:t>
            </w:r>
          </w:p>
        </w:tc>
        <w:tc>
          <w:tcPr>
            <w:tcW w:w="340" w:type="dxa"/>
            <w:vAlign w:val="bottom"/>
          </w:tcPr>
          <w:p>
            <w:pPr>
              <w:spacing w:after="0"/>
              <w:rPr>
                <w:sz w:val="16"/>
                <w:szCs w:val="16"/>
                <w:color w:val="auto"/>
              </w:rPr>
            </w:pPr>
          </w:p>
        </w:tc>
        <w:tc>
          <w:tcPr>
            <w:tcW w:w="2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386</w:t>
            </w:r>
          </w:p>
        </w:tc>
        <w:tc>
          <w:tcPr>
            <w:tcW w:w="220" w:type="dxa"/>
            <w:vAlign w:val="bottom"/>
          </w:tcPr>
          <w:p>
            <w:pPr>
              <w:spacing w:after="0"/>
              <w:rPr>
                <w:sz w:val="16"/>
                <w:szCs w:val="16"/>
                <w:color w:val="auto"/>
              </w:rPr>
            </w:pPr>
          </w:p>
        </w:tc>
        <w:tc>
          <w:tcPr>
            <w:tcW w:w="380" w:type="dxa"/>
            <w:vAlign w:val="bottom"/>
            <w:tcBorders>
              <w:top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0.87</w:t>
            </w:r>
          </w:p>
        </w:tc>
        <w:tc>
          <w:tcPr>
            <w:tcW w:w="0" w:type="dxa"/>
            <w:vAlign w:val="bottom"/>
          </w:tcPr>
          <w:p>
            <w:pPr>
              <w:spacing w:after="0"/>
              <w:rPr>
                <w:sz w:val="1"/>
                <w:szCs w:val="1"/>
                <w:color w:val="auto"/>
              </w:rPr>
            </w:pPr>
          </w:p>
        </w:tc>
      </w:tr>
      <w:tr>
        <w:trPr>
          <w:trHeight w:val="220"/>
        </w:trPr>
        <w:tc>
          <w:tcPr>
            <w:tcW w:w="4820" w:type="dxa"/>
            <w:vAlign w:val="bottom"/>
          </w:tcPr>
          <w:p>
            <w:pPr>
              <w:ind w:left="180"/>
              <w:spacing w:after="0"/>
              <w:rPr>
                <w:sz w:val="20"/>
                <w:szCs w:val="20"/>
                <w:color w:val="auto"/>
              </w:rPr>
            </w:pPr>
            <w:r>
              <w:rPr>
                <w:rFonts w:ascii="Arial" w:cs="Arial" w:eastAsia="Arial" w:hAnsi="Arial"/>
                <w:sz w:val="18"/>
                <w:szCs w:val="18"/>
                <w:b w:val="1"/>
                <w:bCs w:val="1"/>
                <w:color w:val="auto"/>
              </w:rPr>
              <w:t>Adjustments: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80"/>
              <w:spacing w:after="0"/>
              <w:rPr>
                <w:sz w:val="20"/>
                <w:szCs w:val="20"/>
                <w:color w:val="auto"/>
              </w:rPr>
            </w:pPr>
            <w:r>
              <w:rPr>
                <w:rFonts w:ascii="Arial" w:cs="Arial" w:eastAsia="Arial" w:hAnsi="Arial"/>
                <w:sz w:val="18"/>
                <w:szCs w:val="18"/>
                <w:color w:val="auto"/>
              </w:rPr>
              <w:t>Withdrawal from a multiemployer pension plan</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4820" w:type="dxa"/>
            <w:vAlign w:val="bottom"/>
          </w:tcPr>
          <w:p>
            <w:pPr>
              <w:ind w:left="380"/>
              <w:spacing w:after="0"/>
              <w:rPr>
                <w:sz w:val="20"/>
                <w:szCs w:val="20"/>
                <w:color w:val="auto"/>
              </w:rPr>
            </w:pPr>
            <w:r>
              <w:rPr>
                <w:rFonts w:ascii="Arial" w:cs="Arial" w:eastAsia="Arial" w:hAnsi="Arial"/>
                <w:sz w:val="18"/>
                <w:szCs w:val="18"/>
                <w:color w:val="auto"/>
                <w:w w:val="94"/>
              </w:rPr>
              <w:t>Expense from divestitures, asset impairments and unusual</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380"/>
              <w:spacing w:after="0"/>
              <w:rPr>
                <w:sz w:val="20"/>
                <w:szCs w:val="20"/>
                <w:color w:val="auto"/>
              </w:rPr>
            </w:pPr>
            <w:r>
              <w:rPr>
                <w:rFonts w:ascii="Arial" w:cs="Arial" w:eastAsia="Arial" w:hAnsi="Arial"/>
                <w:sz w:val="18"/>
                <w:szCs w:val="18"/>
                <w:color w:val="auto"/>
              </w:rPr>
              <w:t>items</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4820" w:type="dxa"/>
            <w:vAlign w:val="bottom"/>
          </w:tcPr>
          <w:p>
            <w:pPr>
              <w:ind w:left="180"/>
              <w:spacing w:after="0"/>
              <w:rPr>
                <w:sz w:val="20"/>
                <w:szCs w:val="20"/>
                <w:color w:val="auto"/>
              </w:rPr>
            </w:pPr>
            <w:r>
              <w:rPr>
                <w:rFonts w:ascii="Arial" w:cs="Arial" w:eastAsia="Arial" w:hAnsi="Arial"/>
                <w:sz w:val="18"/>
                <w:szCs w:val="18"/>
                <w:b w:val="1"/>
                <w:bCs w:val="1"/>
                <w:color w:val="auto"/>
              </w:rPr>
              <w:t>As adjusted amounts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721</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623</w:t>
            </w:r>
          </w:p>
        </w:tc>
        <w:tc>
          <w:tcPr>
            <w:tcW w:w="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w:t>
            </w:r>
          </w:p>
        </w:tc>
        <w:tc>
          <w:tcPr>
            <w:tcW w:w="340" w:type="dxa"/>
            <w:vAlign w:val="bottom"/>
          </w:tcPr>
          <w:p>
            <w:pPr>
              <w:ind w:left="60"/>
              <w:spacing w:after="0"/>
              <w:rPr>
                <w:sz w:val="20"/>
                <w:szCs w:val="20"/>
                <w:color w:val="auto"/>
              </w:rPr>
            </w:pPr>
            <w:r>
              <w:rPr>
                <w:rFonts w:ascii="Arial" w:cs="Arial" w:eastAsia="Arial" w:hAnsi="Arial"/>
                <w:sz w:val="18"/>
                <w:szCs w:val="18"/>
                <w:b w:val="1"/>
                <w:bCs w:val="1"/>
                <w:color w:val="auto"/>
              </w:rPr>
              <w:t>(b)</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w:t>
            </w:r>
          </w:p>
        </w:tc>
        <w:tc>
          <w:tcPr>
            <w:tcW w:w="220" w:type="dxa"/>
            <w:vAlign w:val="bottom"/>
          </w:tcPr>
          <w:p>
            <w:pPr>
              <w:spacing w:after="0"/>
              <w:rPr>
                <w:sz w:val="18"/>
                <w:szCs w:val="18"/>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September 30, 2018</w:t>
            </w:r>
          </w:p>
        </w:tc>
        <w:tc>
          <w:tcPr>
            <w:tcW w:w="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September 30, 2017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820" w:type="dxa"/>
            <w:vAlign w:val="bottom"/>
          </w:tcPr>
          <w:p>
            <w:pPr>
              <w:spacing w:after="0"/>
              <w:rPr>
                <w:sz w:val="20"/>
                <w:szCs w:val="20"/>
                <w:color w:val="auto"/>
              </w:rPr>
            </w:pPr>
            <w:r>
              <w:rPr>
                <w:rFonts w:ascii="Arial" w:cs="Arial" w:eastAsia="Arial" w:hAnsi="Arial"/>
                <w:sz w:val="18"/>
                <w:szCs w:val="18"/>
                <w:b w:val="1"/>
                <w:bCs w:val="1"/>
                <w:i w:val="1"/>
                <w:iCs w:val="1"/>
                <w:color w:val="auto"/>
              </w:rPr>
              <w:t>Adjusted Operating Expenses and Adjusted Operating</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As a % of</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As a % of</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i w:val="1"/>
                <w:iCs w:val="1"/>
                <w:color w:val="auto"/>
              </w:rPr>
              <w:t>Expenses Margin</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4"/>
              </w:rPr>
              <w:t>Revenues</w:t>
            </w:r>
          </w:p>
        </w:tc>
        <w:tc>
          <w:tcPr>
            <w:tcW w:w="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Amount</w:t>
            </w:r>
          </w:p>
        </w:tc>
        <w:tc>
          <w:tcPr>
            <w:tcW w:w="340" w:type="dxa"/>
            <w:vAlign w:val="bottom"/>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4"/>
              </w:rPr>
              <w:t>Revenues</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820" w:type="dxa"/>
            <w:vAlign w:val="bottom"/>
          </w:tcPr>
          <w:p>
            <w:pPr>
              <w:ind w:left="180"/>
              <w:spacing w:after="0"/>
              <w:rPr>
                <w:sz w:val="20"/>
                <w:szCs w:val="20"/>
                <w:color w:val="auto"/>
              </w:rPr>
            </w:pPr>
            <w:r>
              <w:rPr>
                <w:rFonts w:ascii="Arial" w:cs="Arial" w:eastAsia="Arial" w:hAnsi="Arial"/>
                <w:sz w:val="18"/>
                <w:szCs w:val="18"/>
                <w:b w:val="1"/>
                <w:bCs w:val="1"/>
                <w:color w:val="auto"/>
              </w:rPr>
              <w:t>Operating revenues, as reported</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3,822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3,716</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820" w:type="dxa"/>
            <w:vAlign w:val="bottom"/>
          </w:tcPr>
          <w:p>
            <w:pPr>
              <w:ind w:left="180"/>
              <w:spacing w:after="0"/>
              <w:rPr>
                <w:sz w:val="20"/>
                <w:szCs w:val="20"/>
                <w:color w:val="auto"/>
              </w:rPr>
            </w:pPr>
            <w:r>
              <w:rPr>
                <w:rFonts w:ascii="Arial" w:cs="Arial" w:eastAsia="Arial" w:hAnsi="Arial"/>
                <w:sz w:val="18"/>
                <w:szCs w:val="18"/>
                <w:b w:val="1"/>
                <w:bCs w:val="1"/>
                <w:color w:val="auto"/>
              </w:rPr>
              <w:t>Operating expenses, as reported</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2,373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62.1%</w:t>
            </w:r>
          </w:p>
        </w:tc>
        <w:tc>
          <w:tcPr>
            <w:tcW w:w="5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2,302</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61.9%</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820" w:type="dxa"/>
            <w:vAlign w:val="bottom"/>
          </w:tcPr>
          <w:p>
            <w:pPr>
              <w:ind w:left="180"/>
              <w:spacing w:after="0"/>
              <w:rPr>
                <w:sz w:val="20"/>
                <w:szCs w:val="20"/>
                <w:color w:val="auto"/>
              </w:rPr>
            </w:pPr>
            <w:r>
              <w:rPr>
                <w:rFonts w:ascii="Arial" w:cs="Arial" w:eastAsia="Arial" w:hAnsi="Arial"/>
                <w:sz w:val="18"/>
                <w:szCs w:val="18"/>
                <w:b w:val="1"/>
                <w:bCs w:val="1"/>
                <w:color w:val="auto"/>
              </w:rPr>
              <w:t>Adjustment:</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380"/>
              <w:spacing w:after="0"/>
              <w:rPr>
                <w:sz w:val="20"/>
                <w:szCs w:val="20"/>
                <w:color w:val="auto"/>
              </w:rPr>
            </w:pPr>
            <w:r>
              <w:rPr>
                <w:rFonts w:ascii="Arial" w:cs="Arial" w:eastAsia="Arial" w:hAnsi="Arial"/>
                <w:sz w:val="18"/>
                <w:szCs w:val="18"/>
                <w:color w:val="auto"/>
              </w:rPr>
              <w:t>Charges related to multiemployer pension plans</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180"/>
              <w:spacing w:after="0"/>
              <w:rPr>
                <w:sz w:val="20"/>
                <w:szCs w:val="20"/>
                <w:color w:val="auto"/>
              </w:rPr>
            </w:pPr>
            <w:r>
              <w:rPr>
                <w:rFonts w:ascii="Arial" w:cs="Arial" w:eastAsia="Arial" w:hAnsi="Arial"/>
                <w:sz w:val="18"/>
                <w:szCs w:val="18"/>
                <w:b w:val="1"/>
                <w:bCs w:val="1"/>
                <w:color w:val="auto"/>
              </w:rPr>
              <w:t>Adjusted operating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61.7%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right="600" w:hanging="332"/>
        <w:spacing w:after="0" w:line="277" w:lineRule="auto"/>
        <w:tabs>
          <w:tab w:leader="none" w:pos="347"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For purposes of this press release table, all references to “Net income” refer to the financial statement line item “Net income attributable to Waste Management, Inc.”</w:t>
      </w:r>
    </w:p>
    <w:p>
      <w:pPr>
        <w:spacing w:after="0" w:line="21" w:lineRule="exact"/>
        <w:rPr>
          <w:rFonts w:ascii="Arial" w:cs="Arial" w:eastAsia="Arial" w:hAnsi="Arial"/>
          <w:sz w:val="18"/>
          <w:szCs w:val="18"/>
          <w:b w:val="1"/>
          <w:bCs w:val="1"/>
          <w:color w:val="auto"/>
        </w:rPr>
      </w:pPr>
    </w:p>
    <w:p>
      <w:pPr>
        <w:ind w:left="340" w:right="20" w:hanging="332"/>
        <w:spacing w:after="0" w:line="264" w:lineRule="auto"/>
        <w:tabs>
          <w:tab w:leader="none" w:pos="357"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adjusted effective tax rates is 21.3% for the third quarter of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5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3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Operating EBITDA and Adjusted Operating EBITDA</w:t>
            </w:r>
          </w:p>
        </w:tc>
        <w:tc>
          <w:tcPr>
            <w:tcW w:w="26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September 30, 2018</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September 30, 2017</w:t>
            </w:r>
          </w:p>
        </w:tc>
        <w:tc>
          <w:tcPr>
            <w:tcW w:w="0" w:type="dxa"/>
            <w:vAlign w:val="bottom"/>
          </w:tcPr>
          <w:p>
            <w:pPr>
              <w:spacing w:after="0"/>
              <w:rPr>
                <w:sz w:val="1"/>
                <w:szCs w:val="1"/>
                <w:color w:val="auto"/>
              </w:rPr>
            </w:pPr>
          </w:p>
        </w:tc>
      </w:tr>
      <w:tr>
        <w:trPr>
          <w:trHeight w:val="182"/>
        </w:trPr>
        <w:tc>
          <w:tcPr>
            <w:tcW w:w="54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center"/>
              <w:ind w:right="150"/>
              <w:spacing w:after="0" w:line="182" w:lineRule="exact"/>
              <w:rPr>
                <w:sz w:val="20"/>
                <w:szCs w:val="20"/>
                <w:color w:val="auto"/>
              </w:rPr>
            </w:pPr>
            <w:r>
              <w:rPr>
                <w:rFonts w:ascii="Arial" w:cs="Arial" w:eastAsia="Arial" w:hAnsi="Arial"/>
                <w:sz w:val="18"/>
                <w:szCs w:val="18"/>
                <w:b w:val="1"/>
                <w:bCs w:val="1"/>
                <w:color w:val="auto"/>
                <w:w w:val="92"/>
              </w:rPr>
              <w:t>As a% of</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rPr>
              <w:t>As a% of</w:t>
            </w:r>
          </w:p>
        </w:tc>
        <w:tc>
          <w:tcPr>
            <w:tcW w:w="0" w:type="dxa"/>
            <w:vAlign w:val="bottom"/>
          </w:tcPr>
          <w:p>
            <w:pPr>
              <w:spacing w:after="0"/>
              <w:rPr>
                <w:sz w:val="1"/>
                <w:szCs w:val="1"/>
                <w:color w:val="auto"/>
              </w:rPr>
            </w:pPr>
          </w:p>
        </w:tc>
      </w:tr>
      <w:tr>
        <w:trPr>
          <w:trHeight w:val="244"/>
        </w:trPr>
        <w:tc>
          <w:tcPr>
            <w:tcW w:w="54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Margin</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6"/>
              </w:rPr>
              <w:t>Revenues</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Revenues</w:t>
            </w:r>
          </w:p>
        </w:tc>
        <w:tc>
          <w:tcPr>
            <w:tcW w:w="0" w:type="dxa"/>
            <w:vAlign w:val="bottom"/>
          </w:tcPr>
          <w:p>
            <w:pPr>
              <w:spacing w:after="0"/>
              <w:rPr>
                <w:sz w:val="1"/>
                <w:szCs w:val="1"/>
                <w:color w:val="auto"/>
              </w:rPr>
            </w:pPr>
          </w:p>
        </w:tc>
      </w:tr>
      <w:tr>
        <w:trPr>
          <w:trHeight w:val="426"/>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Operating revenues, as reported</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3,822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3,716</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420" w:type="dxa"/>
            <w:vAlign w:val="bottom"/>
          </w:tcPr>
          <w:p>
            <w:pPr>
              <w:ind w:left="360"/>
              <w:spacing w:after="0"/>
              <w:rPr>
                <w:sz w:val="20"/>
                <w:szCs w:val="20"/>
                <w:color w:val="auto"/>
              </w:rPr>
            </w:pPr>
            <w:r>
              <w:rPr>
                <w:rFonts w:ascii="Arial" w:cs="Arial" w:eastAsia="Arial" w:hAnsi="Arial"/>
                <w:sz w:val="18"/>
                <w:szCs w:val="18"/>
                <w:color w:val="auto"/>
              </w:rPr>
              <w:t>Income from operations, as reported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699</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701</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360"/>
              <w:spacing w:after="0"/>
              <w:rPr>
                <w:sz w:val="20"/>
                <w:szCs w:val="20"/>
                <w:color w:val="auto"/>
              </w:rPr>
            </w:pPr>
            <w:r>
              <w:rPr>
                <w:rFonts w:ascii="Arial" w:cs="Arial" w:eastAsia="Arial" w:hAnsi="Arial"/>
                <w:sz w:val="18"/>
                <w:szCs w:val="18"/>
                <w:color w:val="auto"/>
              </w:rPr>
              <w:t>Depreciation and amortization, as reported</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2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Operating EBITDA, as reported</w:t>
            </w:r>
          </w:p>
        </w:tc>
        <w:tc>
          <w:tcPr>
            <w:tcW w:w="2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1,075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28.1%</w:t>
            </w:r>
          </w:p>
        </w:tc>
        <w:tc>
          <w:tcPr>
            <w:tcW w:w="280" w:type="dxa"/>
            <w:vAlign w:val="bottom"/>
          </w:tcPr>
          <w:p>
            <w:pPr>
              <w:spacing w:after="0"/>
              <w:rPr>
                <w:sz w:val="16"/>
                <w:szCs w:val="16"/>
                <w:color w:val="auto"/>
              </w:rPr>
            </w:pPr>
          </w:p>
        </w:tc>
        <w:tc>
          <w:tcPr>
            <w:tcW w:w="2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1,051</w:t>
            </w:r>
          </w:p>
        </w:tc>
        <w:tc>
          <w:tcPr>
            <w:tcW w:w="1320" w:type="dxa"/>
            <w:vAlign w:val="bottom"/>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rPr>
              <w:t>28.3%</w:t>
            </w:r>
          </w:p>
        </w:tc>
        <w:tc>
          <w:tcPr>
            <w:tcW w:w="0" w:type="dxa"/>
            <w:vAlign w:val="bottom"/>
          </w:tcPr>
          <w:p>
            <w:pPr>
              <w:spacing w:after="0"/>
              <w:rPr>
                <w:sz w:val="1"/>
                <w:szCs w:val="1"/>
                <w:color w:val="auto"/>
              </w:rPr>
            </w:pPr>
          </w:p>
        </w:tc>
      </w:tr>
      <w:tr>
        <w:trPr>
          <w:trHeight w:val="220"/>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Adjustments: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Impairment of a disposal asset and multiemployer pension plan</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540"/>
              <w:spacing w:after="0"/>
              <w:rPr>
                <w:sz w:val="20"/>
                <w:szCs w:val="20"/>
                <w:color w:val="auto"/>
              </w:rPr>
            </w:pPr>
            <w:r>
              <w:rPr>
                <w:rFonts w:ascii="Arial" w:cs="Arial" w:eastAsia="Arial" w:hAnsi="Arial"/>
                <w:sz w:val="18"/>
                <w:szCs w:val="18"/>
                <w:color w:val="auto"/>
              </w:rPr>
              <w:t>accrual</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Withdrawal from a multiemployer pension plan</w:t>
            </w:r>
          </w:p>
        </w:tc>
        <w:tc>
          <w:tcPr>
            <w:tcW w:w="26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360"/>
              <w:spacing w:after="0"/>
              <w:rPr>
                <w:sz w:val="20"/>
                <w:szCs w:val="20"/>
                <w:color w:val="auto"/>
              </w:rPr>
            </w:pPr>
            <w:r>
              <w:rPr>
                <w:rFonts w:ascii="Arial" w:cs="Arial" w:eastAsia="Arial" w:hAnsi="Arial"/>
                <w:sz w:val="18"/>
                <w:szCs w:val="18"/>
                <w:color w:val="auto"/>
                <w:w w:val="98"/>
              </w:rPr>
              <w:t>Expense from divestitures, asset impairments and unusual items</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Adjusted operating EBITDA (a)</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1,107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29.0%</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1,071</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28.8%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Adjusted Operating EBITDA, for comparison purposes</w:t>
            </w:r>
          </w:p>
        </w:tc>
        <w:tc>
          <w:tcPr>
            <w:tcW w:w="1620" w:type="dxa"/>
            <w:vAlign w:val="bottom"/>
            <w:gridSpan w:val="3"/>
          </w:tcPr>
          <w:p>
            <w:pPr>
              <w:ind w:left="140"/>
              <w:spacing w:after="0"/>
              <w:rPr>
                <w:sz w:val="20"/>
                <w:szCs w:val="20"/>
                <w:color w:val="auto"/>
              </w:rPr>
            </w:pPr>
            <w:r>
              <w:rPr>
                <w:rFonts w:ascii="Arial" w:cs="Arial" w:eastAsia="Arial" w:hAnsi="Arial"/>
                <w:sz w:val="18"/>
                <w:szCs w:val="18"/>
                <w:b w:val="1"/>
                <w:bCs w:val="1"/>
                <w:color w:val="auto"/>
              </w:rPr>
              <w:t>June 30, 2018</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June 30, 2017</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420" w:type="dxa"/>
            <w:vAlign w:val="bottom"/>
          </w:tcPr>
          <w:p>
            <w:pPr>
              <w:ind w:left="360"/>
              <w:spacing w:after="0"/>
              <w:rPr>
                <w:sz w:val="20"/>
                <w:szCs w:val="20"/>
                <w:color w:val="auto"/>
              </w:rPr>
            </w:pPr>
            <w:r>
              <w:rPr>
                <w:rFonts w:ascii="Arial" w:cs="Arial" w:eastAsia="Arial" w:hAnsi="Arial"/>
                <w:sz w:val="18"/>
                <w:szCs w:val="18"/>
                <w:color w:val="auto"/>
              </w:rPr>
              <w:t>Income from operations, as reported</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715</w:t>
            </w:r>
          </w:p>
        </w:tc>
        <w:tc>
          <w:tcPr>
            <w:tcW w:w="280" w:type="dxa"/>
            <w:vAlign w:val="bottom"/>
          </w:tcPr>
          <w:p>
            <w:pPr>
              <w:spacing w:after="0"/>
              <w:rPr>
                <w:sz w:val="24"/>
                <w:szCs w:val="24"/>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673</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ind w:left="360"/>
              <w:spacing w:after="0"/>
              <w:rPr>
                <w:sz w:val="20"/>
                <w:szCs w:val="20"/>
                <w:color w:val="auto"/>
              </w:rPr>
            </w:pPr>
            <w:r>
              <w:rPr>
                <w:rFonts w:ascii="Arial" w:cs="Arial" w:eastAsia="Arial" w:hAnsi="Arial"/>
                <w:sz w:val="18"/>
                <w:szCs w:val="18"/>
                <w:color w:val="auto"/>
              </w:rPr>
              <w:t>Depreciation and amortization, as reported</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384</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0"/>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Operating EBITDA, as reported</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1,099</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1,029</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180"/>
              <w:spacing w:after="0" w:line="195" w:lineRule="exact"/>
              <w:rPr>
                <w:sz w:val="20"/>
                <w:szCs w:val="20"/>
                <w:color w:val="auto"/>
              </w:rPr>
            </w:pPr>
            <w:r>
              <w:rPr>
                <w:rFonts w:ascii="Arial" w:cs="Arial" w:eastAsia="Arial" w:hAnsi="Arial"/>
                <w:sz w:val="18"/>
                <w:szCs w:val="18"/>
                <w:b w:val="1"/>
                <w:bCs w:val="1"/>
                <w:color w:val="auto"/>
              </w:rPr>
              <w:t>Adjustment:</w:t>
            </w: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w w:val="99"/>
              </w:rPr>
              <w:t>Benefit primarily related to the gain on divestiture of an ancillary</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540"/>
              <w:spacing w:after="0"/>
              <w:rPr>
                <w:sz w:val="20"/>
                <w:szCs w:val="20"/>
                <w:color w:val="auto"/>
              </w:rPr>
            </w:pPr>
            <w:r>
              <w:rPr>
                <w:rFonts w:ascii="Arial" w:cs="Arial" w:eastAsia="Arial" w:hAnsi="Arial"/>
                <w:sz w:val="18"/>
                <w:szCs w:val="18"/>
                <w:color w:val="auto"/>
              </w:rPr>
              <w:t>business</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Adjusted operating EBITDA (b)</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2018 Projected Free Cash Flow Reconciliation (c)</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20" w:type="dxa"/>
            <w:vAlign w:val="bottom"/>
            <w:vMerge w:val="restart"/>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Scenario 1</w:t>
            </w:r>
          </w:p>
        </w:tc>
        <w:tc>
          <w:tcPr>
            <w:tcW w:w="220" w:type="dxa"/>
            <w:vAlign w:val="bottom"/>
          </w:tcPr>
          <w:p>
            <w:pPr>
              <w:spacing w:after="0"/>
              <w:rPr>
                <w:sz w:val="24"/>
                <w:szCs w:val="24"/>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Scenario 2</w:t>
            </w:r>
          </w:p>
        </w:tc>
        <w:tc>
          <w:tcPr>
            <w:tcW w:w="0" w:type="dxa"/>
            <w:vAlign w:val="bottom"/>
          </w:tcPr>
          <w:p>
            <w:pPr>
              <w:spacing w:after="0"/>
              <w:rPr>
                <w:sz w:val="1"/>
                <w:szCs w:val="1"/>
                <w:color w:val="auto"/>
              </w:rPr>
            </w:pPr>
          </w:p>
        </w:tc>
      </w:tr>
      <w:tr>
        <w:trPr>
          <w:trHeight w:val="195"/>
        </w:trPr>
        <w:tc>
          <w:tcPr>
            <w:tcW w:w="5420" w:type="dxa"/>
            <w:vAlign w:val="bottom"/>
            <w:vMerge w:val="continue"/>
          </w:tcPr>
          <w:p>
            <w:pPr>
              <w:spacing w:after="0"/>
              <w:rPr>
                <w:sz w:val="16"/>
                <w:szCs w:val="16"/>
                <w:color w:val="auto"/>
              </w:rPr>
            </w:pPr>
          </w:p>
        </w:tc>
        <w:tc>
          <w:tcPr>
            <w:tcW w:w="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3,500</w:t>
            </w:r>
          </w:p>
        </w:tc>
        <w:tc>
          <w:tcPr>
            <w:tcW w:w="280" w:type="dxa"/>
            <w:vAlign w:val="bottom"/>
          </w:tcPr>
          <w:p>
            <w:pPr>
              <w:spacing w:after="0"/>
              <w:rPr>
                <w:sz w:val="16"/>
                <w:szCs w:val="16"/>
                <w:color w:val="auto"/>
              </w:rPr>
            </w:pPr>
          </w:p>
        </w:tc>
        <w:tc>
          <w:tcPr>
            <w:tcW w:w="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w w:val="96"/>
              </w:rPr>
              <w:t>Proceeds from divestitures of businesses and other assets (net of</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540"/>
              <w:spacing w:after="0"/>
              <w:rPr>
                <w:sz w:val="20"/>
                <w:szCs w:val="20"/>
                <w:color w:val="auto"/>
              </w:rPr>
            </w:pPr>
            <w:r>
              <w:rPr>
                <w:rFonts w:ascii="Arial" w:cs="Arial" w:eastAsia="Arial" w:hAnsi="Arial"/>
                <w:sz w:val="18"/>
                <w:szCs w:val="18"/>
                <w:color w:val="auto"/>
              </w:rPr>
              <w:t>cash divested)</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Free cash flow</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1,950</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0" w:right="100" w:hanging="352"/>
        <w:spacing w:after="0" w:line="263" w:lineRule="auto"/>
        <w:tabs>
          <w:tab w:leader="none" w:pos="368"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Adjusted operating EBITDA increased $36 million or 3.4% for the third quarter 2018 as compared with adjusted operating EBITDA in the third quarter 2017.</w:t>
      </w:r>
    </w:p>
    <w:p>
      <w:pPr>
        <w:spacing w:after="0" w:line="5" w:lineRule="exact"/>
        <w:rPr>
          <w:rFonts w:ascii="Arial" w:cs="Arial" w:eastAsia="Arial" w:hAnsi="Arial"/>
          <w:sz w:val="18"/>
          <w:szCs w:val="18"/>
          <w:b w:val="1"/>
          <w:bCs w:val="1"/>
          <w:color w:val="auto"/>
        </w:rPr>
      </w:pPr>
    </w:p>
    <w:p>
      <w:pPr>
        <w:ind w:left="360" w:right="60" w:hanging="352"/>
        <w:spacing w:after="0" w:line="258" w:lineRule="auto"/>
        <w:tabs>
          <w:tab w:leader="none" w:pos="378"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Adjusted operating EBITDA increased $32 million or 3.1% for the second quarter 2018 as compared with as reported operating EBITDA for the second quarter 2017.</w:t>
      </w:r>
    </w:p>
    <w:p>
      <w:pPr>
        <w:spacing w:after="0" w:line="1" w:lineRule="exact"/>
        <w:rPr>
          <w:rFonts w:ascii="Arial" w:cs="Arial" w:eastAsia="Arial" w:hAnsi="Arial"/>
          <w:sz w:val="18"/>
          <w:szCs w:val="18"/>
          <w:b w:val="1"/>
          <w:bCs w:val="1"/>
          <w:color w:val="auto"/>
        </w:rPr>
      </w:pPr>
    </w:p>
    <w:p>
      <w:pPr>
        <w:ind w:left="360" w:hanging="352"/>
        <w:spacing w:after="0" w:line="276" w:lineRule="auto"/>
        <w:tabs>
          <w:tab w:leader="none" w:pos="372"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reconciliation includes two scenarios that illustrate our projected free cash flow range for 2018. The amounts used in the reconciliation are subject to many variables, some of which are not under our control and, therefore, are not necessarily indicative of actual results.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2019-12-28T18:58:49Z</dcterms:created>
  <dcterms:modified xsi:type="dcterms:W3CDTF">2019-12-28T18:58:49Z</dcterms:modified>
</cp:coreProperties>
</file>