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4"/>
          <w:szCs w:val="24"/>
          <w:color w:val="auto"/>
        </w:rPr>
      </w:pPr>
    </w:p>
    <w:p>
      <w:pPr>
        <w:ind w:left="5860" w:right="2259" w:hanging="5668"/>
        <w:spacing w:after="0" w:line="253" w:lineRule="auto"/>
        <w:rPr>
          <w:sz w:val="20"/>
          <w:szCs w:val="20"/>
          <w:color w:val="auto"/>
        </w:rPr>
      </w:pPr>
      <w:r>
        <w:rPr>
          <w:rFonts w:ascii="Courier New" w:cs="Courier New" w:eastAsia="Courier New" w:hAnsi="Courier New"/>
          <w:sz w:val="16"/>
          <w:szCs w:val="16"/>
          <w:color w:val="auto"/>
        </w:rPr>
        <w:t>AS FILED WITH THE SECURITIES AND EXCHANGE COMMISSION ON OCTOBER 15, 1996 REGISTRATION NO. 333-</w:t>
      </w:r>
    </w:p>
    <w:p>
      <w:pPr>
        <w:jc w:val="center"/>
        <w:ind w:right="225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2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381"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FORM S-4</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REGISTRATION STATEMENT</w:t>
      </w:r>
    </w:p>
    <w:p>
      <w:pPr>
        <w:ind w:left="3480"/>
        <w:spacing w:after="0" w:line="238" w:lineRule="auto"/>
        <w:rPr>
          <w:sz w:val="20"/>
          <w:szCs w:val="20"/>
          <w:color w:val="auto"/>
        </w:rPr>
      </w:pPr>
      <w:r>
        <w:rPr>
          <w:rFonts w:ascii="Courier New" w:cs="Courier New" w:eastAsia="Courier New" w:hAnsi="Courier New"/>
          <w:sz w:val="17"/>
          <w:szCs w:val="17"/>
          <w:color w:val="auto"/>
        </w:rPr>
        <w:t>UNDER THE</w:t>
      </w:r>
    </w:p>
    <w:p>
      <w:pPr>
        <w:ind w:left="2880"/>
        <w:spacing w:after="0" w:line="238" w:lineRule="auto"/>
        <w:rPr>
          <w:sz w:val="20"/>
          <w:szCs w:val="20"/>
          <w:color w:val="auto"/>
        </w:rPr>
      </w:pPr>
      <w:r>
        <w:rPr>
          <w:rFonts w:ascii="Courier New" w:cs="Courier New" w:eastAsia="Courier New" w:hAnsi="Courier New"/>
          <w:sz w:val="17"/>
          <w:szCs w:val="17"/>
          <w:color w:val="auto"/>
        </w:rPr>
        <w:t>SECURITIES ACT OF 1933</w:t>
      </w:r>
    </w:p>
    <w:p>
      <w:pPr>
        <w:spacing w:after="0" w:line="190"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jc w:val="center"/>
        <w:ind w:right="2259"/>
        <w:spacing w:after="0" w:line="238" w:lineRule="auto"/>
        <w:rPr>
          <w:sz w:val="20"/>
          <w:szCs w:val="20"/>
          <w:color w:val="auto"/>
        </w:rPr>
      </w:pPr>
      <w:r>
        <w:rPr>
          <w:rFonts w:ascii="Courier New" w:cs="Courier New" w:eastAsia="Courier New" w:hAnsi="Courier New"/>
          <w:sz w:val="17"/>
          <w:szCs w:val="17"/>
          <w:color w:val="auto"/>
        </w:rPr>
        <w:t>USA WASTE SERVICES,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Pr>
          <w:p>
            <w:pPr>
              <w:ind w:left="400"/>
              <w:spacing w:after="0"/>
              <w:rPr>
                <w:sz w:val="20"/>
                <w:szCs w:val="20"/>
                <w:color w:val="auto"/>
              </w:rPr>
            </w:pPr>
            <w:r>
              <w:rPr>
                <w:rFonts w:ascii="Courier New" w:cs="Courier New" w:eastAsia="Courier New" w:hAnsi="Courier New"/>
                <w:sz w:val="17"/>
                <w:szCs w:val="17"/>
                <w:color w:val="auto"/>
              </w:rPr>
              <w:t>DELAWARE</w:t>
            </w:r>
          </w:p>
        </w:tc>
        <w:tc>
          <w:tcPr>
            <w:tcW w:w="2980" w:type="dxa"/>
            <w:vAlign w:val="bottom"/>
          </w:tcPr>
          <w:p>
            <w:pPr>
              <w:ind w:left="100"/>
              <w:spacing w:after="0"/>
              <w:rPr>
                <w:sz w:val="20"/>
                <w:szCs w:val="20"/>
                <w:color w:val="auto"/>
              </w:rPr>
            </w:pPr>
            <w:r>
              <w:rPr>
                <w:rFonts w:ascii="Courier New" w:cs="Courier New" w:eastAsia="Courier New" w:hAnsi="Courier New"/>
                <w:sz w:val="17"/>
                <w:szCs w:val="17"/>
                <w:color w:val="auto"/>
              </w:rPr>
              <w:t>4953</w:t>
            </w: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73-1309529</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(State or other jurisdiction of</w:t>
            </w:r>
          </w:p>
        </w:tc>
        <w:tc>
          <w:tcPr>
            <w:tcW w:w="2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(Primary Standard Industrial</w:t>
            </w:r>
          </w:p>
        </w:tc>
        <w:tc>
          <w:tcPr>
            <w:tcW w:w="2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(I.R.S. Employer</w:t>
            </w:r>
          </w:p>
        </w:tc>
      </w:tr>
      <w:tr>
        <w:trPr>
          <w:trHeight w:val="191"/>
        </w:trPr>
        <w:tc>
          <w:tcPr>
            <w:tcW w:w="31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incorporation or organization)</w:t>
            </w:r>
          </w:p>
        </w:tc>
        <w:tc>
          <w:tcPr>
            <w:tcW w:w="2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Classification Code Number)</w:t>
            </w:r>
          </w:p>
        </w:tc>
        <w:tc>
          <w:tcPr>
            <w:tcW w:w="20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Identification No.)</w:t>
            </w:r>
          </w:p>
        </w:tc>
      </w:tr>
    </w:tbl>
    <w:p>
      <w:pPr>
        <w:spacing w:after="0" w:line="381" w:lineRule="exact"/>
        <w:rPr>
          <w:sz w:val="24"/>
          <w:szCs w:val="24"/>
          <w:color w:val="auto"/>
        </w:rPr>
      </w:pPr>
    </w:p>
    <w:p>
      <w:pPr>
        <w:ind w:left="3180"/>
        <w:spacing w:after="0"/>
        <w:rPr>
          <w:sz w:val="20"/>
          <w:szCs w:val="20"/>
          <w:color w:val="auto"/>
        </w:rPr>
      </w:pPr>
      <w:r>
        <w:rPr>
          <w:rFonts w:ascii="Courier New" w:cs="Courier New" w:eastAsia="Courier New" w:hAnsi="Courier New"/>
          <w:sz w:val="17"/>
          <w:szCs w:val="17"/>
          <w:color w:val="auto"/>
        </w:rPr>
        <w:t>5400 LBJ Freeway</w:t>
      </w:r>
    </w:p>
    <w:p>
      <w:pPr>
        <w:ind w:left="2880"/>
        <w:spacing w:after="0" w:line="238" w:lineRule="auto"/>
        <w:rPr>
          <w:sz w:val="20"/>
          <w:szCs w:val="20"/>
          <w:color w:val="auto"/>
        </w:rPr>
      </w:pPr>
      <w:r>
        <w:rPr>
          <w:rFonts w:ascii="Courier New" w:cs="Courier New" w:eastAsia="Courier New" w:hAnsi="Courier New"/>
          <w:sz w:val="17"/>
          <w:szCs w:val="17"/>
          <w:color w:val="auto"/>
        </w:rPr>
        <w:t>Suite 300 - Tower One</w:t>
      </w:r>
    </w:p>
    <w:p>
      <w:pPr>
        <w:ind w:left="2980"/>
        <w:spacing w:after="0" w:line="238" w:lineRule="auto"/>
        <w:rPr>
          <w:sz w:val="20"/>
          <w:szCs w:val="20"/>
          <w:color w:val="auto"/>
        </w:rPr>
      </w:pPr>
      <w:r>
        <w:rPr>
          <w:rFonts w:ascii="Courier New" w:cs="Courier New" w:eastAsia="Courier New" w:hAnsi="Courier New"/>
          <w:sz w:val="17"/>
          <w:szCs w:val="17"/>
          <w:color w:val="auto"/>
        </w:rPr>
        <w:t>Dallas, Texas 75240</w:t>
      </w:r>
    </w:p>
    <w:p>
      <w:pPr>
        <w:ind w:left="3280"/>
        <w:spacing w:after="0"/>
        <w:rPr>
          <w:sz w:val="20"/>
          <w:szCs w:val="20"/>
          <w:color w:val="auto"/>
        </w:rPr>
      </w:pPr>
      <w:r>
        <w:rPr>
          <w:rFonts w:ascii="Courier New" w:cs="Courier New" w:eastAsia="Courier New" w:hAnsi="Courier New"/>
          <w:sz w:val="17"/>
          <w:szCs w:val="17"/>
          <w:color w:val="auto"/>
        </w:rPr>
        <w:t>(972) 383-7900</w:t>
      </w:r>
    </w:p>
    <w:p>
      <w:pPr>
        <w:jc w:val="center"/>
        <w:ind w:right="2359"/>
        <w:spacing w:after="0" w:line="237" w:lineRule="auto"/>
        <w:rPr>
          <w:sz w:val="20"/>
          <w:szCs w:val="20"/>
          <w:color w:val="auto"/>
        </w:rPr>
      </w:pPr>
      <w:r>
        <w:rPr>
          <w:rFonts w:ascii="Courier New" w:cs="Courier New" w:eastAsia="Courier New" w:hAnsi="Courier New"/>
          <w:sz w:val="17"/>
          <w:szCs w:val="17"/>
          <w:color w:val="auto"/>
        </w:rPr>
        <w:t>(Address, including zip code, and telephone number,</w:t>
      </w:r>
    </w:p>
    <w:p>
      <w:pPr>
        <w:jc w:val="center"/>
        <w:ind w:right="2359"/>
        <w:spacing w:after="0" w:line="238" w:lineRule="auto"/>
        <w:rPr>
          <w:sz w:val="20"/>
          <w:szCs w:val="20"/>
          <w:color w:val="auto"/>
        </w:rPr>
      </w:pPr>
      <w:r>
        <w:rPr>
          <w:rFonts w:ascii="Courier New" w:cs="Courier New" w:eastAsia="Courier New" w:hAnsi="Courier New"/>
          <w:sz w:val="17"/>
          <w:szCs w:val="17"/>
          <w:color w:val="auto"/>
        </w:rPr>
        <w:t>including area code, of registrant's principal executive offices)</w:t>
      </w:r>
    </w:p>
    <w:p>
      <w:pPr>
        <w:spacing w:after="0" w:line="191" w:lineRule="exact"/>
        <w:rPr>
          <w:sz w:val="24"/>
          <w:szCs w:val="24"/>
          <w:color w:val="auto"/>
        </w:rPr>
      </w:pPr>
    </w:p>
    <w:p>
      <w:pPr>
        <w:ind w:left="2980"/>
        <w:spacing w:after="0"/>
        <w:rPr>
          <w:sz w:val="20"/>
          <w:szCs w:val="20"/>
          <w:color w:val="auto"/>
        </w:rPr>
      </w:pPr>
      <w:r>
        <w:rPr>
          <w:rFonts w:ascii="Courier New" w:cs="Courier New" w:eastAsia="Courier New" w:hAnsi="Courier New"/>
          <w:sz w:val="17"/>
          <w:szCs w:val="17"/>
          <w:color w:val="auto"/>
        </w:rPr>
        <w:t>Gregory T. Sangalis</w:t>
      </w:r>
    </w:p>
    <w:p>
      <w:pPr>
        <w:ind w:left="2780"/>
        <w:spacing w:after="0" w:line="238" w:lineRule="auto"/>
        <w:rPr>
          <w:sz w:val="20"/>
          <w:szCs w:val="20"/>
          <w:color w:val="auto"/>
        </w:rPr>
      </w:pPr>
      <w:r>
        <w:rPr>
          <w:rFonts w:ascii="Courier New" w:cs="Courier New" w:eastAsia="Courier New" w:hAnsi="Courier New"/>
          <w:sz w:val="17"/>
          <w:szCs w:val="17"/>
          <w:color w:val="auto"/>
        </w:rPr>
        <w:t>USA Waste Services, Inc.</w:t>
      </w:r>
    </w:p>
    <w:p>
      <w:pPr>
        <w:ind w:left="3180"/>
        <w:spacing w:after="0" w:line="238" w:lineRule="auto"/>
        <w:rPr>
          <w:sz w:val="20"/>
          <w:szCs w:val="20"/>
          <w:color w:val="auto"/>
        </w:rPr>
      </w:pPr>
      <w:r>
        <w:rPr>
          <w:rFonts w:ascii="Courier New" w:cs="Courier New" w:eastAsia="Courier New" w:hAnsi="Courier New"/>
          <w:sz w:val="17"/>
          <w:szCs w:val="17"/>
          <w:color w:val="auto"/>
        </w:rPr>
        <w:t>5400 LBJ Freeway</w:t>
      </w:r>
    </w:p>
    <w:p>
      <w:pPr>
        <w:ind w:left="2880"/>
        <w:spacing w:after="0"/>
        <w:rPr>
          <w:sz w:val="20"/>
          <w:szCs w:val="20"/>
          <w:color w:val="auto"/>
        </w:rPr>
      </w:pPr>
      <w:r>
        <w:rPr>
          <w:rFonts w:ascii="Courier New" w:cs="Courier New" w:eastAsia="Courier New" w:hAnsi="Courier New"/>
          <w:sz w:val="17"/>
          <w:szCs w:val="17"/>
          <w:color w:val="auto"/>
        </w:rPr>
        <w:t>Suite 300 - Tower One</w:t>
      </w:r>
    </w:p>
    <w:p>
      <w:pPr>
        <w:ind w:left="2980"/>
        <w:spacing w:after="0" w:line="237" w:lineRule="auto"/>
        <w:rPr>
          <w:sz w:val="20"/>
          <w:szCs w:val="20"/>
          <w:color w:val="auto"/>
        </w:rPr>
      </w:pPr>
      <w:r>
        <w:rPr>
          <w:rFonts w:ascii="Courier New" w:cs="Courier New" w:eastAsia="Courier New" w:hAnsi="Courier New"/>
          <w:sz w:val="17"/>
          <w:szCs w:val="17"/>
          <w:color w:val="auto"/>
        </w:rPr>
        <w:t>Dallas, Texas 75240</w:t>
      </w:r>
    </w:p>
    <w:p>
      <w:pPr>
        <w:ind w:left="3280"/>
        <w:spacing w:after="0" w:line="238" w:lineRule="auto"/>
        <w:rPr>
          <w:sz w:val="20"/>
          <w:szCs w:val="20"/>
          <w:color w:val="auto"/>
        </w:rPr>
      </w:pPr>
      <w:r>
        <w:rPr>
          <w:rFonts w:ascii="Courier New" w:cs="Courier New" w:eastAsia="Courier New" w:hAnsi="Courier New"/>
          <w:sz w:val="17"/>
          <w:szCs w:val="17"/>
          <w:color w:val="auto"/>
        </w:rPr>
        <w:t>(972) 383-7900</w:t>
      </w:r>
    </w:p>
    <w:p>
      <w:pPr>
        <w:ind w:left="1500"/>
        <w:spacing w:after="0"/>
        <w:rPr>
          <w:sz w:val="20"/>
          <w:szCs w:val="20"/>
          <w:color w:val="auto"/>
        </w:rPr>
      </w:pPr>
      <w:r>
        <w:rPr>
          <w:rFonts w:ascii="Courier New" w:cs="Courier New" w:eastAsia="Courier New" w:hAnsi="Courier New"/>
          <w:sz w:val="17"/>
          <w:szCs w:val="17"/>
          <w:color w:val="auto"/>
        </w:rPr>
        <w:t>(Name, address, including zip code, and telephone</w:t>
      </w:r>
    </w:p>
    <w:p>
      <w:pPr>
        <w:ind w:left="1500"/>
        <w:spacing w:after="0" w:line="237" w:lineRule="auto"/>
        <w:rPr>
          <w:sz w:val="20"/>
          <w:szCs w:val="20"/>
          <w:color w:val="auto"/>
        </w:rPr>
      </w:pPr>
      <w:r>
        <w:rPr>
          <w:rFonts w:ascii="Courier New" w:cs="Courier New" w:eastAsia="Courier New" w:hAnsi="Courier New"/>
          <w:sz w:val="17"/>
          <w:szCs w:val="17"/>
          <w:color w:val="auto"/>
        </w:rPr>
        <w:t>number, including area code, of agent for service)</w:t>
      </w:r>
    </w:p>
    <w:p>
      <w:pPr>
        <w:spacing w:after="0" w:line="190"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Copies to:</w:t>
      </w:r>
    </w:p>
    <w:p>
      <w:pPr>
        <w:spacing w:after="0" w:line="190" w:lineRule="exact"/>
        <w:rPr>
          <w:sz w:val="24"/>
          <w:szCs w:val="24"/>
          <w:color w:val="auto"/>
        </w:rPr>
      </w:pPr>
    </w:p>
    <w:p>
      <w:pPr>
        <w:ind w:left="3280"/>
        <w:spacing w:after="0"/>
        <w:rPr>
          <w:sz w:val="20"/>
          <w:szCs w:val="20"/>
          <w:color w:val="auto"/>
        </w:rPr>
      </w:pPr>
      <w:r>
        <w:rPr>
          <w:rFonts w:ascii="Courier New" w:cs="Courier New" w:eastAsia="Courier New" w:hAnsi="Courier New"/>
          <w:sz w:val="17"/>
          <w:szCs w:val="17"/>
          <w:color w:val="auto"/>
        </w:rPr>
        <w:t>John T. Unger</w:t>
      </w:r>
    </w:p>
    <w:p>
      <w:pPr>
        <w:ind w:left="2980"/>
        <w:spacing w:after="0" w:line="238" w:lineRule="auto"/>
        <w:rPr>
          <w:sz w:val="20"/>
          <w:szCs w:val="20"/>
          <w:color w:val="auto"/>
        </w:rPr>
      </w:pPr>
      <w:r>
        <w:rPr>
          <w:rFonts w:ascii="Courier New" w:cs="Courier New" w:eastAsia="Courier New" w:hAnsi="Courier New"/>
          <w:sz w:val="17"/>
          <w:szCs w:val="17"/>
          <w:color w:val="auto"/>
        </w:rPr>
        <w:t>Snell &amp; Smith, P.C.</w:t>
      </w:r>
    </w:p>
    <w:p>
      <w:pPr>
        <w:ind w:left="2680"/>
        <w:spacing w:after="0" w:line="238" w:lineRule="auto"/>
        <w:rPr>
          <w:sz w:val="20"/>
          <w:szCs w:val="20"/>
          <w:color w:val="auto"/>
        </w:rPr>
      </w:pPr>
      <w:r>
        <w:rPr>
          <w:rFonts w:ascii="Courier New" w:cs="Courier New" w:eastAsia="Courier New" w:hAnsi="Courier New"/>
          <w:sz w:val="17"/>
          <w:szCs w:val="17"/>
          <w:color w:val="auto"/>
        </w:rPr>
        <w:t>1000 Louisiana, Suite 3650</w:t>
      </w:r>
    </w:p>
    <w:p>
      <w:pPr>
        <w:ind w:left="2980"/>
        <w:spacing w:after="0"/>
        <w:rPr>
          <w:sz w:val="20"/>
          <w:szCs w:val="20"/>
          <w:color w:val="auto"/>
        </w:rPr>
      </w:pPr>
      <w:r>
        <w:rPr>
          <w:rFonts w:ascii="Courier New" w:cs="Courier New" w:eastAsia="Courier New" w:hAnsi="Courier New"/>
          <w:sz w:val="17"/>
          <w:szCs w:val="17"/>
          <w:color w:val="auto"/>
        </w:rPr>
        <w:t>Houston, Texas 77002</w:t>
      </w:r>
    </w:p>
    <w:p>
      <w:pPr>
        <w:spacing w:after="0" w:line="196" w:lineRule="exact"/>
        <w:rPr>
          <w:sz w:val="24"/>
          <w:szCs w:val="24"/>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APPROXIMATE DATE OF COMMENCEMENT OF PROPOSED SALE TO THE PUBLIC: From time to time after this Registration Statement becomes effective.</w:t>
      </w:r>
    </w:p>
    <w:p>
      <w:pPr>
        <w:spacing w:after="0" w:line="197" w:lineRule="exact"/>
        <w:rPr>
          <w:sz w:val="24"/>
          <w:szCs w:val="24"/>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If the securities being registered on this form are being offered in connection with the formation of a holding company and there is compliance with General Instruction G, check the following box.</w:t>
      </w:r>
    </w:p>
    <w:p>
      <w:pPr>
        <w:spacing w:after="0" w:line="19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CALCULATION OF REGISTRATION FEE</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tbl>
      <w:tblPr>
        <w:tblLayout w:type="fixed"/>
        <w:tblInd w:w="200" w:type="dxa"/>
        <w:tblCellMar>
          <w:top w:w="0" w:type="dxa"/>
          <w:left w:w="0" w:type="dxa"/>
          <w:bottom w:w="0" w:type="dxa"/>
          <w:right w:w="0" w:type="dxa"/>
        </w:tblCellMar>
      </w:tblPr>
      <w:tr>
        <w:trPr>
          <w:trHeight w:val="191"/>
        </w:trPr>
        <w:tc>
          <w:tcPr>
            <w:tcW w:w="1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PROPOSED</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PROPOSED</w:t>
            </w:r>
          </w:p>
        </w:tc>
        <w:tc>
          <w:tcPr>
            <w:tcW w:w="1500" w:type="dxa"/>
            <w:vAlign w:val="bottom"/>
          </w:tcPr>
          <w:p>
            <w:pPr>
              <w:spacing w:after="0"/>
              <w:rPr>
                <w:sz w:val="16"/>
                <w:szCs w:val="16"/>
                <w:color w:val="auto"/>
              </w:rPr>
            </w:pPr>
          </w:p>
        </w:tc>
      </w:tr>
      <w:tr>
        <w:trPr>
          <w:trHeight w:val="191"/>
        </w:trPr>
        <w:tc>
          <w:tcPr>
            <w:tcW w:w="130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TITLE OF</w:t>
            </w:r>
          </w:p>
        </w:tc>
        <w:tc>
          <w:tcPr>
            <w:tcW w:w="1840" w:type="dxa"/>
            <w:vAlign w:val="bottom"/>
          </w:tcPr>
          <w:p>
            <w:pPr>
              <w:spacing w:after="0"/>
              <w:rPr>
                <w:sz w:val="16"/>
                <w:szCs w:val="16"/>
                <w:color w:val="auto"/>
              </w:rPr>
            </w:pPr>
          </w:p>
        </w:tc>
        <w:tc>
          <w:tcPr>
            <w:tcW w:w="14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MAXIMUM</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MAXIMUM</w:t>
            </w:r>
          </w:p>
        </w:tc>
        <w:tc>
          <w:tcPr>
            <w:tcW w:w="1500" w:type="dxa"/>
            <w:vAlign w:val="bottom"/>
          </w:tcPr>
          <w:p>
            <w:pPr>
              <w:spacing w:after="0"/>
              <w:rPr>
                <w:sz w:val="16"/>
                <w:szCs w:val="16"/>
                <w:color w:val="auto"/>
              </w:rPr>
            </w:pPr>
          </w:p>
        </w:tc>
      </w:tr>
      <w:tr>
        <w:trPr>
          <w:trHeight w:val="191"/>
        </w:trPr>
        <w:tc>
          <w:tcPr>
            <w:tcW w:w="130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SECURITIES</w:t>
            </w:r>
          </w:p>
        </w:tc>
        <w:tc>
          <w:tcPr>
            <w:tcW w:w="18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AMOUNT</w:t>
            </w:r>
          </w:p>
        </w:tc>
        <w:tc>
          <w:tcPr>
            <w:tcW w:w="14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OFFERING</w:t>
            </w: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AGGREGATE</w:t>
            </w:r>
          </w:p>
        </w:tc>
        <w:tc>
          <w:tcPr>
            <w:tcW w:w="15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AMOUNT OF</w:t>
            </w:r>
          </w:p>
        </w:tc>
      </w:tr>
      <w:tr>
        <w:trPr>
          <w:trHeight w:val="191"/>
        </w:trPr>
        <w:tc>
          <w:tcPr>
            <w:tcW w:w="1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 BE</w:t>
            </w:r>
          </w:p>
        </w:tc>
        <w:tc>
          <w:tcPr>
            <w:tcW w:w="18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TO BE</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PRICE</w:t>
            </w: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OFFERING</w:t>
            </w:r>
          </w:p>
        </w:tc>
        <w:tc>
          <w:tcPr>
            <w:tcW w:w="1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6"/>
              </w:rPr>
              <w:t>REGISTRATION</w:t>
            </w:r>
          </w:p>
        </w:tc>
      </w:tr>
      <w:tr>
        <w:trPr>
          <w:trHeight w:val="191"/>
        </w:trPr>
        <w:tc>
          <w:tcPr>
            <w:tcW w:w="130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REGISTERED</w:t>
            </w:r>
          </w:p>
        </w:tc>
        <w:tc>
          <w:tcPr>
            <w:tcW w:w="18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REGISTERED(1)</w:t>
            </w:r>
          </w:p>
        </w:tc>
        <w:tc>
          <w:tcPr>
            <w:tcW w:w="14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PER SHARE</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PRICE</w:t>
            </w:r>
          </w:p>
        </w:tc>
        <w:tc>
          <w:tcPr>
            <w:tcW w:w="15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FEE</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154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3240" w:type="dxa"/>
            <w:vAlign w:val="bottom"/>
          </w:tcPr>
          <w:p>
            <w:pPr>
              <w:ind w:left="160"/>
              <w:spacing w:after="0"/>
              <w:rPr>
                <w:sz w:val="20"/>
                <w:szCs w:val="20"/>
                <w:color w:val="auto"/>
              </w:rPr>
            </w:pPr>
            <w:r>
              <w:rPr>
                <w:rFonts w:ascii="Courier New" w:cs="Courier New" w:eastAsia="Courier New" w:hAnsi="Courier New"/>
                <w:sz w:val="17"/>
                <w:szCs w:val="17"/>
                <w:color w:val="auto"/>
              </w:rPr>
              <w:t>2,000,000 SHARES   $31.625(1)</w:t>
            </w:r>
          </w:p>
        </w:tc>
        <w:tc>
          <w:tcPr>
            <w:tcW w:w="15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$63,250,000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$21,810.35</w:t>
            </w:r>
          </w:p>
        </w:tc>
      </w:tr>
      <w:tr>
        <w:trPr>
          <w:trHeight w:val="191"/>
        </w:trPr>
        <w:tc>
          <w:tcPr>
            <w:tcW w:w="1540" w:type="dxa"/>
            <w:vAlign w:val="bottom"/>
          </w:tcPr>
          <w:p>
            <w:pPr>
              <w:spacing w:after="0" w:line="191" w:lineRule="exact"/>
              <w:rPr>
                <w:sz w:val="20"/>
                <w:szCs w:val="20"/>
                <w:color w:val="auto"/>
              </w:rPr>
            </w:pPr>
            <w:r>
              <w:rPr>
                <w:rFonts w:ascii="Courier New" w:cs="Courier New" w:eastAsia="Courier New" w:hAnsi="Courier New"/>
                <w:sz w:val="17"/>
                <w:szCs w:val="17"/>
                <w:color w:val="auto"/>
              </w:rPr>
              <w:t>$.01 PAR VALUE</w:t>
            </w:r>
          </w:p>
        </w:tc>
        <w:tc>
          <w:tcPr>
            <w:tcW w:w="3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238" w:lineRule="auto"/>
        <w:rPr>
          <w:sz w:val="20"/>
          <w:szCs w:val="20"/>
          <w:color w:val="auto"/>
        </w:rPr>
      </w:pPr>
      <w:r>
        <w:rPr>
          <w:rFonts w:ascii="Courier New" w:cs="Courier New" w:eastAsia="Courier New" w:hAnsi="Courier New"/>
          <w:sz w:val="17"/>
          <w:szCs w:val="17"/>
          <w:color w:val="auto"/>
        </w:rPr>
        <w:t>==============================================================================</w:t>
      </w:r>
    </w:p>
    <w:p>
      <w:pPr>
        <w:spacing w:after="0" w:line="388" w:lineRule="exact"/>
        <w:rPr>
          <w:sz w:val="24"/>
          <w:szCs w:val="24"/>
          <w:color w:val="auto"/>
        </w:rPr>
      </w:pPr>
    </w:p>
    <w:p>
      <w:pPr>
        <w:ind w:left="500" w:right="2859" w:hanging="498"/>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IN ACCORDANCE WITH RULE 457(c) ON THE BASIS OF THE CLOSING PRICE FOR COMMON STOCK ON THE NEW YORK STOCK EXCHANGE ON OCTOBER 10, 1996.</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REGISTRANT HEREBY AMENDS THIS REGISTRATION STATEMENT ON SUCH DATE OR DATES</w:t>
      </w:r>
    </w:p>
    <w:p>
      <w:pPr>
        <w:spacing w:after="0" w:line="238" w:lineRule="auto"/>
        <w:rPr>
          <w:sz w:val="20"/>
          <w:szCs w:val="20"/>
          <w:color w:val="auto"/>
        </w:rPr>
      </w:pPr>
      <w:r>
        <w:rPr>
          <w:rFonts w:ascii="Courier New" w:cs="Courier New" w:eastAsia="Courier New" w:hAnsi="Courier New"/>
          <w:sz w:val="17"/>
          <w:szCs w:val="17"/>
          <w:color w:val="auto"/>
        </w:rPr>
        <w:t>AS MAY BE NECESSARY TO DELAY ITS EFFECTIVE DATE UNTIL THE REGISTRANT SHALL FILE</w:t>
      </w:r>
    </w:p>
    <w:p>
      <w:pPr>
        <w:spacing w:after="0" w:line="238" w:lineRule="auto"/>
        <w:rPr>
          <w:sz w:val="20"/>
          <w:szCs w:val="20"/>
          <w:color w:val="auto"/>
        </w:rPr>
      </w:pPr>
      <w:r>
        <w:rPr>
          <w:rFonts w:ascii="Courier New" w:cs="Courier New" w:eastAsia="Courier New" w:hAnsi="Courier New"/>
          <w:sz w:val="17"/>
          <w:szCs w:val="17"/>
          <w:color w:val="auto"/>
        </w:rPr>
        <w:t>A FURTHER AMENDMENT WHICH SPECIFICALLY STATES THAT THIS REGISTRATION STATEMENT</w:t>
      </w:r>
    </w:p>
    <w:p>
      <w:pPr>
        <w:spacing w:after="0"/>
        <w:rPr>
          <w:sz w:val="20"/>
          <w:szCs w:val="20"/>
          <w:color w:val="auto"/>
        </w:rPr>
      </w:pPr>
      <w:r>
        <w:rPr>
          <w:rFonts w:ascii="Courier New" w:cs="Courier New" w:eastAsia="Courier New" w:hAnsi="Courier New"/>
          <w:sz w:val="17"/>
          <w:szCs w:val="17"/>
          <w:color w:val="auto"/>
        </w:rPr>
        <w:t>SHALL THEREAFTER BECOME EFFECTIVE IN ACCORDANCE WITH SECTION 8(a) OF THE</w:t>
      </w:r>
    </w:p>
    <w:p>
      <w:pPr>
        <w:spacing w:after="0" w:line="237" w:lineRule="auto"/>
        <w:rPr>
          <w:sz w:val="20"/>
          <w:szCs w:val="20"/>
          <w:color w:val="auto"/>
        </w:rPr>
      </w:pPr>
      <w:r>
        <w:rPr>
          <w:rFonts w:ascii="Courier New" w:cs="Courier New" w:eastAsia="Courier New" w:hAnsi="Courier New"/>
          <w:sz w:val="17"/>
          <w:szCs w:val="17"/>
          <w:color w:val="auto"/>
        </w:rPr>
        <w:t>SECURITIES ACT OF 1933 OR UNTIL THE REGISTRATION STATEMENT SHALL BECOME</w:t>
      </w:r>
    </w:p>
    <w:p>
      <w:pPr>
        <w:spacing w:after="0" w:line="238" w:lineRule="auto"/>
        <w:rPr>
          <w:sz w:val="20"/>
          <w:szCs w:val="20"/>
          <w:color w:val="auto"/>
        </w:rPr>
      </w:pPr>
      <w:r>
        <w:rPr>
          <w:rFonts w:ascii="Courier New" w:cs="Courier New" w:eastAsia="Courier New" w:hAnsi="Courier New"/>
          <w:sz w:val="17"/>
          <w:szCs w:val="17"/>
          <w:color w:val="auto"/>
        </w:rPr>
        <w:t>EFFECTIVE ON SUCH DATE AS THE COMMISSION ACTING PURSUANT TO SUCH SECTION 8(a)</w:t>
      </w:r>
    </w:p>
    <w:p>
      <w:pPr>
        <w:spacing w:after="0"/>
        <w:rPr>
          <w:sz w:val="20"/>
          <w:szCs w:val="20"/>
          <w:color w:val="auto"/>
        </w:rPr>
      </w:pPr>
      <w:r>
        <w:rPr>
          <w:rFonts w:ascii="Courier New" w:cs="Courier New" w:eastAsia="Courier New" w:hAnsi="Courier New"/>
          <w:sz w:val="17"/>
          <w:szCs w:val="17"/>
          <w:color w:val="auto"/>
        </w:rPr>
        <w:t>MAY DETERMINE.</w:t>
      </w:r>
    </w:p>
    <w:p>
      <w:pPr>
        <w:spacing w:after="0" w:line="237" w:lineRule="auto"/>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37" w:right="1440" w:bottom="0" w:gutter="0" w:footer="0" w:header="0"/>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81"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7"/>
          <w:szCs w:val="17"/>
          <w:color w:val="auto"/>
        </w:rPr>
        <w:t>CROSS REFERENCE SHEET</w:t>
      </w:r>
    </w:p>
    <w:p>
      <w:pPr>
        <w:spacing w:after="0" w:line="19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Pursuant to Item 501(b) of Regulation S-K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w:t>
      </w:r>
    </w:p>
    <w:p>
      <w:pPr>
        <w:spacing w:after="0"/>
        <w:tabs>
          <w:tab w:leader="none" w:pos="7740" w:val="left"/>
        </w:tabs>
        <w:rPr>
          <w:sz w:val="20"/>
          <w:szCs w:val="20"/>
          <w:color w:val="auto"/>
        </w:rPr>
      </w:pPr>
      <w:r>
        <w:rPr>
          <w:rFonts w:ascii="Courier New" w:cs="Courier New" w:eastAsia="Courier New" w:hAnsi="Courier New"/>
          <w:sz w:val="17"/>
          <w:szCs w:val="17"/>
          <w:color w:val="auto"/>
        </w:rPr>
        <w:t>Number Form S-4 Caption</w:t>
      </w:r>
      <w:r>
        <w:rPr>
          <w:sz w:val="20"/>
          <w:szCs w:val="20"/>
          <w:color w:val="auto"/>
        </w:rPr>
        <w:tab/>
      </w:r>
      <w:r>
        <w:rPr>
          <w:rFonts w:ascii="Courier New" w:cs="Courier New" w:eastAsia="Courier New" w:hAnsi="Courier New"/>
          <w:sz w:val="16"/>
          <w:szCs w:val="16"/>
          <w:color w:val="auto"/>
        </w:rPr>
        <w:t>Prospectus Caption</w:t>
      </w:r>
    </w:p>
    <w:p>
      <w:pPr>
        <w:spacing w:after="0"/>
        <w:tabs>
          <w:tab w:leader="none" w:pos="62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1520"/>
          </w:cols>
          <w:pgMar w:left="240" w:top="301" w:right="139" w:bottom="1440" w:gutter="0" w:footer="0" w:header="0"/>
        </w:sectPr>
      </w:pPr>
    </w:p>
    <w:p>
      <w:pPr>
        <w:spacing w:after="0" w:line="388" w:lineRule="exact"/>
        <w:rPr>
          <w:sz w:val="20"/>
          <w:szCs w:val="20"/>
          <w:color w:val="auto"/>
        </w:rPr>
      </w:pPr>
    </w:p>
    <w:p>
      <w:pPr>
        <w:jc w:val="both"/>
        <w:ind w:left="1500" w:right="300" w:hanging="1399"/>
        <w:spacing w:after="0" w:line="259" w:lineRule="auto"/>
        <w:tabs>
          <w:tab w:leader="none" w:pos="15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Forepart of Registration Statement and Outside Front Cover Page of Prospectus</w:t>
      </w:r>
    </w:p>
    <w:p>
      <w:pPr>
        <w:spacing w:after="0" w:line="182" w:lineRule="exact"/>
        <w:rPr>
          <w:rFonts w:ascii="Courier New" w:cs="Courier New" w:eastAsia="Courier New" w:hAnsi="Courier New"/>
          <w:sz w:val="16"/>
          <w:szCs w:val="16"/>
          <w:color w:val="auto"/>
        </w:rPr>
      </w:pPr>
    </w:p>
    <w:p>
      <w:pPr>
        <w:ind w:left="1500" w:hanging="1399"/>
        <w:spacing w:after="0" w:line="235" w:lineRule="auto"/>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Inside Front and Outside Back Cover Pages of Prospectus</w:t>
      </w:r>
    </w:p>
    <w:p>
      <w:pPr>
        <w:spacing w:after="0" w:line="196" w:lineRule="exact"/>
        <w:rPr>
          <w:rFonts w:ascii="Courier New" w:cs="Courier New" w:eastAsia="Courier New" w:hAnsi="Courier New"/>
          <w:sz w:val="17"/>
          <w:szCs w:val="17"/>
          <w:color w:val="auto"/>
        </w:rPr>
      </w:pPr>
    </w:p>
    <w:p>
      <w:pPr>
        <w:ind w:left="1500" w:right="100" w:hanging="1399"/>
        <w:spacing w:after="0" w:line="235" w:lineRule="auto"/>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Risk Factors, Ratio of Earnings to Fixed Charges and Other Information</w:t>
      </w:r>
    </w:p>
    <w:p>
      <w:pPr>
        <w:spacing w:after="0" w:line="381" w:lineRule="exact"/>
        <w:rPr>
          <w:rFonts w:ascii="Courier New" w:cs="Courier New" w:eastAsia="Courier New" w:hAnsi="Courier New"/>
          <w:sz w:val="17"/>
          <w:szCs w:val="17"/>
          <w:color w:val="auto"/>
        </w:rPr>
      </w:pPr>
    </w:p>
    <w:p>
      <w:pPr>
        <w:ind w:left="1500" w:hanging="1399"/>
        <w:spacing w:after="0"/>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of the Transaction</w:t>
      </w:r>
    </w:p>
    <w:p>
      <w:pPr>
        <w:spacing w:after="0" w:line="189" w:lineRule="exact"/>
        <w:rPr>
          <w:rFonts w:ascii="Courier New" w:cs="Courier New" w:eastAsia="Courier New" w:hAnsi="Courier New"/>
          <w:sz w:val="17"/>
          <w:szCs w:val="17"/>
          <w:color w:val="auto"/>
        </w:rPr>
      </w:pPr>
    </w:p>
    <w:p>
      <w:pPr>
        <w:ind w:left="1500" w:hanging="1399"/>
        <w:spacing w:after="0"/>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spacing w:after="0" w:line="196" w:lineRule="exact"/>
        <w:rPr>
          <w:rFonts w:ascii="Courier New" w:cs="Courier New" w:eastAsia="Courier New" w:hAnsi="Courier New"/>
          <w:sz w:val="17"/>
          <w:szCs w:val="17"/>
          <w:color w:val="auto"/>
        </w:rPr>
      </w:pPr>
    </w:p>
    <w:p>
      <w:pPr>
        <w:ind w:left="1500" w:right="600" w:hanging="1399"/>
        <w:spacing w:after="0" w:line="235" w:lineRule="auto"/>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Contracts with the Company Being Acquired</w:t>
      </w:r>
    </w:p>
    <w:p>
      <w:pPr>
        <w:spacing w:after="0" w:line="196" w:lineRule="exact"/>
        <w:rPr>
          <w:rFonts w:ascii="Courier New" w:cs="Courier New" w:eastAsia="Courier New" w:hAnsi="Courier New"/>
          <w:sz w:val="17"/>
          <w:szCs w:val="17"/>
          <w:color w:val="auto"/>
        </w:rPr>
      </w:pPr>
    </w:p>
    <w:p>
      <w:pPr>
        <w:ind w:left="1500" w:right="600" w:hanging="1399"/>
        <w:spacing w:after="0" w:line="236" w:lineRule="auto"/>
        <w:tabs>
          <w:tab w:leader="none" w:pos="1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Information Required for Reoffering by Persons and Parties Deemed to be Underwriters</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right="1280"/>
        <w:spacing w:after="0" w:line="235" w:lineRule="auto"/>
        <w:rPr>
          <w:sz w:val="20"/>
          <w:szCs w:val="20"/>
          <w:color w:val="auto"/>
        </w:rPr>
      </w:pPr>
      <w:r>
        <w:rPr>
          <w:rFonts w:ascii="Courier New" w:cs="Courier New" w:eastAsia="Courier New" w:hAnsi="Courier New"/>
          <w:sz w:val="17"/>
          <w:szCs w:val="17"/>
          <w:color w:val="auto"/>
        </w:rPr>
        <w:t>Cover of Registration Statement, Outside Front Cover Page of Prospectus</w:t>
      </w:r>
    </w:p>
    <w:p>
      <w:pPr>
        <w:spacing w:after="0" w:line="197" w:lineRule="exact"/>
        <w:rPr>
          <w:sz w:val="20"/>
          <w:szCs w:val="20"/>
          <w:color w:val="auto"/>
        </w:rPr>
      </w:pPr>
    </w:p>
    <w:p>
      <w:pPr>
        <w:ind w:right="580"/>
        <w:spacing w:after="0" w:line="259" w:lineRule="auto"/>
        <w:rPr>
          <w:sz w:val="20"/>
          <w:szCs w:val="20"/>
          <w:color w:val="auto"/>
        </w:rPr>
      </w:pPr>
      <w:r>
        <w:rPr>
          <w:rFonts w:ascii="Courier New" w:cs="Courier New" w:eastAsia="Courier New" w:hAnsi="Courier New"/>
          <w:sz w:val="16"/>
          <w:szCs w:val="16"/>
          <w:color w:val="auto"/>
        </w:rPr>
        <w:t>Available Information; Incorporation of Certain Information by Reference; Table of Contents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Cover Page; The Company; Risk Factors;</w:t>
      </w:r>
    </w:p>
    <w:p>
      <w:pPr>
        <w:spacing w:after="0" w:line="5" w:lineRule="exact"/>
        <w:rPr>
          <w:sz w:val="20"/>
          <w:szCs w:val="20"/>
          <w:color w:val="auto"/>
        </w:rPr>
      </w:pPr>
    </w:p>
    <w:p>
      <w:pPr>
        <w:spacing w:after="0" w:line="235" w:lineRule="auto"/>
        <w:rPr>
          <w:sz w:val="20"/>
          <w:szCs w:val="20"/>
          <w:color w:val="auto"/>
        </w:rPr>
      </w:pPr>
      <w:r>
        <w:rPr>
          <w:rFonts w:ascii="Courier New" w:cs="Courier New" w:eastAsia="Courier New" w:hAnsi="Courier New"/>
          <w:sz w:val="17"/>
          <w:szCs w:val="17"/>
          <w:color w:val="auto"/>
        </w:rPr>
        <w:t>Summary Consolidated Financial Data; Incorporation of Certain Information by Reference*</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388" w:lineRule="exact"/>
        <w:rPr>
          <w:sz w:val="20"/>
          <w:szCs w:val="20"/>
          <w:color w:val="auto"/>
        </w:rPr>
      </w:pPr>
    </w:p>
    <w:p>
      <w:pPr>
        <w:ind w:right="1180"/>
        <w:spacing w:after="0" w:line="236" w:lineRule="auto"/>
        <w:rPr>
          <w:sz w:val="20"/>
          <w:szCs w:val="20"/>
          <w:color w:val="auto"/>
        </w:rPr>
      </w:pPr>
      <w:r>
        <w:rPr>
          <w:rFonts w:ascii="Courier New" w:cs="Courier New" w:eastAsia="Courier New" w:hAnsi="Courier New"/>
          <w:sz w:val="17"/>
          <w:szCs w:val="17"/>
          <w:color w:val="auto"/>
        </w:rPr>
        <w:t>Outstanding Securities Covered by this Prospectus; Manner of Offering by Selling Shareholders</w:t>
      </w:r>
    </w:p>
    <w:p>
      <w:pPr>
        <w:spacing w:after="0" w:line="190" w:lineRule="exact"/>
        <w:rPr>
          <w:sz w:val="20"/>
          <w:szCs w:val="20"/>
          <w:color w:val="auto"/>
        </w:rPr>
      </w:pPr>
    </w:p>
    <w:p>
      <w:pPr>
        <w:sectPr>
          <w:pgSz w:w="11900" w:h="16838" w:orient="portrait"/>
          <w:cols w:equalWidth="0" w:num="2">
            <w:col w:w="5580" w:space="680"/>
            <w:col w:w="5260"/>
          </w:cols>
          <w:pgMar w:left="240" w:top="301" w:right="1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8.</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Interests of Named Experts and Counsel</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Legal Matters; Experts</w:t>
            </w: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9.</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Disclosure of Commission Position on</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191"/>
        </w:trPr>
        <w:tc>
          <w:tcPr>
            <w:tcW w:w="900" w:type="dxa"/>
            <w:vAlign w:val="bottom"/>
          </w:tcPr>
          <w:p>
            <w:pPr>
              <w:spacing w:after="0"/>
              <w:rPr>
                <w:sz w:val="16"/>
                <w:szCs w:val="16"/>
                <w:color w:val="auto"/>
              </w:rPr>
            </w:pPr>
          </w:p>
        </w:tc>
        <w:tc>
          <w:tcPr>
            <w:tcW w:w="53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Indemnification for Securities Act Liabilities</w:t>
            </w:r>
          </w:p>
        </w:tc>
        <w:tc>
          <w:tcPr>
            <w:tcW w:w="3880" w:type="dxa"/>
            <w:vAlign w:val="bottom"/>
          </w:tcPr>
          <w:p>
            <w:pPr>
              <w:spacing w:after="0"/>
              <w:rPr>
                <w:sz w:val="16"/>
                <w:szCs w:val="16"/>
                <w:color w:val="auto"/>
              </w:rPr>
            </w:pP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10.</w:t>
            </w:r>
          </w:p>
        </w:tc>
        <w:tc>
          <w:tcPr>
            <w:tcW w:w="3720" w:type="dxa"/>
            <w:vAlign w:val="bottom"/>
          </w:tcPr>
          <w:p>
            <w:pPr>
              <w:ind w:left="600"/>
              <w:spacing w:after="0"/>
              <w:rPr>
                <w:sz w:val="20"/>
                <w:szCs w:val="20"/>
                <w:color w:val="auto"/>
              </w:rPr>
            </w:pPr>
            <w:r>
              <w:rPr>
                <w:rFonts w:ascii="Courier New" w:cs="Courier New" w:eastAsia="Courier New" w:hAnsi="Courier New"/>
                <w:sz w:val="17"/>
                <w:szCs w:val="17"/>
                <w:color w:val="auto"/>
                <w:w w:val="98"/>
              </w:rPr>
              <w:t>Information with Respect to S-3</w:t>
            </w:r>
          </w:p>
        </w:tc>
        <w:tc>
          <w:tcPr>
            <w:tcW w:w="1640" w:type="dxa"/>
            <w:vAlign w:val="bottom"/>
          </w:tcPr>
          <w:p>
            <w:pPr>
              <w:ind w:left="60"/>
              <w:spacing w:after="0"/>
              <w:rPr>
                <w:sz w:val="20"/>
                <w:szCs w:val="20"/>
                <w:color w:val="auto"/>
              </w:rPr>
            </w:pPr>
            <w:r>
              <w:rPr>
                <w:rFonts w:ascii="Courier New" w:cs="Courier New" w:eastAsia="Courier New" w:hAnsi="Courier New"/>
                <w:sz w:val="17"/>
                <w:szCs w:val="17"/>
                <w:color w:val="auto"/>
              </w:rPr>
              <w:t>Registrants</w:t>
            </w:r>
          </w:p>
        </w:tc>
        <w:tc>
          <w:tcPr>
            <w:tcW w:w="3880" w:type="dxa"/>
            <w:vAlign w:val="bottom"/>
          </w:tcPr>
          <w:p>
            <w:pPr>
              <w:spacing w:after="0"/>
              <w:rPr>
                <w:sz w:val="20"/>
                <w:szCs w:val="20"/>
                <w:color w:val="auto"/>
              </w:rPr>
            </w:pPr>
            <w:r>
              <w:rPr>
                <w:rFonts w:ascii="Courier New" w:cs="Courier New" w:eastAsia="Courier New" w:hAnsi="Courier New"/>
                <w:sz w:val="17"/>
                <w:szCs w:val="17"/>
                <w:color w:val="auto"/>
              </w:rPr>
              <w:t>The Company; Incorporation of Certain</w:t>
            </w:r>
          </w:p>
        </w:tc>
      </w:tr>
      <w:tr>
        <w:trPr>
          <w:trHeight w:val="191"/>
        </w:trPr>
        <w:tc>
          <w:tcPr>
            <w:tcW w:w="9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Information By Reference</w:t>
            </w:r>
          </w:p>
        </w:tc>
      </w:tr>
      <w:tr>
        <w:trPr>
          <w:trHeight w:val="382"/>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11.</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Incorporation of Certain Information by</w:t>
            </w:r>
          </w:p>
        </w:tc>
        <w:tc>
          <w:tcPr>
            <w:tcW w:w="3880" w:type="dxa"/>
            <w:vAlign w:val="bottom"/>
          </w:tcPr>
          <w:p>
            <w:pPr>
              <w:spacing w:after="0"/>
              <w:rPr>
                <w:sz w:val="20"/>
                <w:szCs w:val="20"/>
                <w:color w:val="auto"/>
              </w:rPr>
            </w:pPr>
            <w:r>
              <w:rPr>
                <w:rFonts w:ascii="Courier New" w:cs="Courier New" w:eastAsia="Courier New" w:hAnsi="Courier New"/>
                <w:sz w:val="17"/>
                <w:szCs w:val="17"/>
                <w:color w:val="auto"/>
                <w:w w:val="97"/>
              </w:rPr>
              <w:t>Incorporation of Certain Information by</w:t>
            </w:r>
          </w:p>
        </w:tc>
      </w:tr>
      <w:tr>
        <w:trPr>
          <w:trHeight w:val="191"/>
        </w:trPr>
        <w:tc>
          <w:tcPr>
            <w:tcW w:w="900" w:type="dxa"/>
            <w:vAlign w:val="bottom"/>
          </w:tcPr>
          <w:p>
            <w:pPr>
              <w:spacing w:after="0"/>
              <w:rPr>
                <w:sz w:val="16"/>
                <w:szCs w:val="16"/>
                <w:color w:val="auto"/>
              </w:rPr>
            </w:pPr>
          </w:p>
        </w:tc>
        <w:tc>
          <w:tcPr>
            <w:tcW w:w="37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Reference</w:t>
            </w:r>
          </w:p>
        </w:tc>
        <w:tc>
          <w:tcPr>
            <w:tcW w:w="1640" w:type="dxa"/>
            <w:vAlign w:val="bottom"/>
          </w:tcPr>
          <w:p>
            <w:pPr>
              <w:spacing w:after="0"/>
              <w:rPr>
                <w:sz w:val="16"/>
                <w:szCs w:val="16"/>
                <w:color w:val="auto"/>
              </w:rPr>
            </w:pPr>
          </w:p>
        </w:tc>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Reference</w:t>
            </w: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12.</w:t>
            </w:r>
          </w:p>
        </w:tc>
        <w:tc>
          <w:tcPr>
            <w:tcW w:w="3720" w:type="dxa"/>
            <w:vAlign w:val="bottom"/>
          </w:tcPr>
          <w:p>
            <w:pPr>
              <w:ind w:left="600"/>
              <w:spacing w:after="0"/>
              <w:rPr>
                <w:sz w:val="20"/>
                <w:szCs w:val="20"/>
                <w:color w:val="auto"/>
              </w:rPr>
            </w:pPr>
            <w:r>
              <w:rPr>
                <w:rFonts w:ascii="Courier New" w:cs="Courier New" w:eastAsia="Courier New" w:hAnsi="Courier New"/>
                <w:sz w:val="17"/>
                <w:szCs w:val="17"/>
                <w:color w:val="auto"/>
                <w:w w:val="98"/>
              </w:rPr>
              <w:t>Information with Respect to S-2</w:t>
            </w:r>
          </w:p>
        </w:tc>
        <w:tc>
          <w:tcPr>
            <w:tcW w:w="1640" w:type="dxa"/>
            <w:vAlign w:val="bottom"/>
          </w:tcPr>
          <w:p>
            <w:pPr>
              <w:ind w:left="60"/>
              <w:spacing w:after="0"/>
              <w:rPr>
                <w:sz w:val="20"/>
                <w:szCs w:val="20"/>
                <w:color w:val="auto"/>
              </w:rPr>
            </w:pPr>
            <w:r>
              <w:rPr>
                <w:rFonts w:ascii="Courier New" w:cs="Courier New" w:eastAsia="Courier New" w:hAnsi="Courier New"/>
                <w:sz w:val="17"/>
                <w:szCs w:val="17"/>
                <w:color w:val="auto"/>
              </w:rPr>
              <w:t>or S-3</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13.</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Incorporation of Certain Information by</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191"/>
        </w:trPr>
        <w:tc>
          <w:tcPr>
            <w:tcW w:w="900" w:type="dxa"/>
            <w:vAlign w:val="bottom"/>
          </w:tcPr>
          <w:p>
            <w:pPr>
              <w:spacing w:after="0"/>
              <w:rPr>
                <w:sz w:val="16"/>
                <w:szCs w:val="16"/>
                <w:color w:val="auto"/>
              </w:rPr>
            </w:pPr>
          </w:p>
        </w:tc>
        <w:tc>
          <w:tcPr>
            <w:tcW w:w="37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Reference</w:t>
            </w:r>
          </w:p>
        </w:tc>
        <w:tc>
          <w:tcPr>
            <w:tcW w:w="16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14.</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Information with Respect to Registrants</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191"/>
        </w:trPr>
        <w:tc>
          <w:tcPr>
            <w:tcW w:w="900" w:type="dxa"/>
            <w:vAlign w:val="bottom"/>
          </w:tcPr>
          <w:p>
            <w:pPr>
              <w:spacing w:after="0"/>
              <w:rPr>
                <w:sz w:val="16"/>
                <w:szCs w:val="16"/>
                <w:color w:val="auto"/>
              </w:rPr>
            </w:pPr>
          </w:p>
        </w:tc>
        <w:tc>
          <w:tcPr>
            <w:tcW w:w="53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Other Than S-2 or S-3 Registrants</w:t>
            </w:r>
          </w:p>
        </w:tc>
        <w:tc>
          <w:tcPr>
            <w:tcW w:w="3880" w:type="dxa"/>
            <w:vAlign w:val="bottom"/>
          </w:tcPr>
          <w:p>
            <w:pPr>
              <w:spacing w:after="0"/>
              <w:rPr>
                <w:sz w:val="16"/>
                <w:szCs w:val="16"/>
                <w:color w:val="auto"/>
              </w:rPr>
            </w:pP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15.</w:t>
            </w:r>
          </w:p>
        </w:tc>
        <w:tc>
          <w:tcPr>
            <w:tcW w:w="3720" w:type="dxa"/>
            <w:vAlign w:val="bottom"/>
          </w:tcPr>
          <w:p>
            <w:pPr>
              <w:ind w:left="600"/>
              <w:spacing w:after="0"/>
              <w:rPr>
                <w:sz w:val="20"/>
                <w:szCs w:val="20"/>
                <w:color w:val="auto"/>
              </w:rPr>
            </w:pPr>
            <w:r>
              <w:rPr>
                <w:rFonts w:ascii="Courier New" w:cs="Courier New" w:eastAsia="Courier New" w:hAnsi="Courier New"/>
                <w:sz w:val="17"/>
                <w:szCs w:val="17"/>
                <w:color w:val="auto"/>
                <w:w w:val="98"/>
              </w:rPr>
              <w:t>Information with Respect to S-3</w:t>
            </w:r>
          </w:p>
        </w:tc>
        <w:tc>
          <w:tcPr>
            <w:tcW w:w="1640" w:type="dxa"/>
            <w:vAlign w:val="bottom"/>
          </w:tcPr>
          <w:p>
            <w:pPr>
              <w:ind w:left="60"/>
              <w:spacing w:after="0"/>
              <w:rPr>
                <w:sz w:val="20"/>
                <w:szCs w:val="20"/>
                <w:color w:val="auto"/>
              </w:rPr>
            </w:pPr>
            <w:r>
              <w:rPr>
                <w:rFonts w:ascii="Courier New" w:cs="Courier New" w:eastAsia="Courier New" w:hAnsi="Courier New"/>
                <w:sz w:val="17"/>
                <w:szCs w:val="17"/>
                <w:color w:val="auto"/>
              </w:rPr>
              <w:t>Companies</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16.</w:t>
            </w:r>
          </w:p>
        </w:tc>
        <w:tc>
          <w:tcPr>
            <w:tcW w:w="3720" w:type="dxa"/>
            <w:vAlign w:val="bottom"/>
          </w:tcPr>
          <w:p>
            <w:pPr>
              <w:ind w:left="600"/>
              <w:spacing w:after="0"/>
              <w:rPr>
                <w:sz w:val="20"/>
                <w:szCs w:val="20"/>
                <w:color w:val="auto"/>
              </w:rPr>
            </w:pPr>
            <w:r>
              <w:rPr>
                <w:rFonts w:ascii="Courier New" w:cs="Courier New" w:eastAsia="Courier New" w:hAnsi="Courier New"/>
                <w:sz w:val="17"/>
                <w:szCs w:val="17"/>
                <w:color w:val="auto"/>
                <w:w w:val="98"/>
              </w:rPr>
              <w:t>Information with Respect to S-2</w:t>
            </w:r>
          </w:p>
        </w:tc>
        <w:tc>
          <w:tcPr>
            <w:tcW w:w="1640" w:type="dxa"/>
            <w:vAlign w:val="bottom"/>
          </w:tcPr>
          <w:p>
            <w:pPr>
              <w:ind w:left="60"/>
              <w:spacing w:after="0"/>
              <w:rPr>
                <w:sz w:val="20"/>
                <w:szCs w:val="20"/>
                <w:color w:val="auto"/>
              </w:rPr>
            </w:pPr>
            <w:r>
              <w:rPr>
                <w:rFonts w:ascii="Courier New" w:cs="Courier New" w:eastAsia="Courier New" w:hAnsi="Courier New"/>
                <w:sz w:val="17"/>
                <w:szCs w:val="17"/>
                <w:color w:val="auto"/>
                <w:w w:val="95"/>
              </w:rPr>
              <w:t>or S-3 Companies</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17.</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Information with Respect to Companies</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191"/>
        </w:trPr>
        <w:tc>
          <w:tcPr>
            <w:tcW w:w="900" w:type="dxa"/>
            <w:vAlign w:val="bottom"/>
          </w:tcPr>
          <w:p>
            <w:pPr>
              <w:spacing w:after="0"/>
              <w:rPr>
                <w:sz w:val="16"/>
                <w:szCs w:val="16"/>
                <w:color w:val="auto"/>
              </w:rPr>
            </w:pPr>
          </w:p>
        </w:tc>
        <w:tc>
          <w:tcPr>
            <w:tcW w:w="37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w w:val="98"/>
              </w:rPr>
              <w:t>Other Than S-2 or S-3 Companies</w:t>
            </w:r>
          </w:p>
        </w:tc>
        <w:tc>
          <w:tcPr>
            <w:tcW w:w="164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18.</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Information if Proxies, Consents or</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191"/>
        </w:trPr>
        <w:tc>
          <w:tcPr>
            <w:tcW w:w="900" w:type="dxa"/>
            <w:vAlign w:val="bottom"/>
          </w:tcPr>
          <w:p>
            <w:pPr>
              <w:spacing w:after="0"/>
              <w:rPr>
                <w:sz w:val="16"/>
                <w:szCs w:val="16"/>
                <w:color w:val="auto"/>
              </w:rPr>
            </w:pPr>
          </w:p>
        </w:tc>
        <w:tc>
          <w:tcPr>
            <w:tcW w:w="53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Authorizations are to be Solicited</w:t>
            </w:r>
          </w:p>
        </w:tc>
        <w:tc>
          <w:tcPr>
            <w:tcW w:w="3880" w:type="dxa"/>
            <w:vAlign w:val="bottom"/>
          </w:tcPr>
          <w:p>
            <w:pPr>
              <w:spacing w:after="0"/>
              <w:rPr>
                <w:sz w:val="16"/>
                <w:szCs w:val="16"/>
                <w:color w:val="auto"/>
              </w:rPr>
            </w:pPr>
          </w:p>
        </w:tc>
      </w:tr>
      <w:tr>
        <w:trPr>
          <w:trHeight w:val="383"/>
        </w:trPr>
        <w:tc>
          <w:tcPr>
            <w:tcW w:w="900" w:type="dxa"/>
            <w:vAlign w:val="bottom"/>
          </w:tcPr>
          <w:p>
            <w:pPr>
              <w:jc w:val="right"/>
              <w:ind w:right="517"/>
              <w:spacing w:after="0"/>
              <w:rPr>
                <w:sz w:val="20"/>
                <w:szCs w:val="20"/>
                <w:color w:val="auto"/>
              </w:rPr>
            </w:pPr>
            <w:r>
              <w:rPr>
                <w:rFonts w:ascii="Courier New" w:cs="Courier New" w:eastAsia="Courier New" w:hAnsi="Courier New"/>
                <w:sz w:val="17"/>
                <w:szCs w:val="17"/>
                <w:color w:val="auto"/>
                <w:w w:val="91"/>
              </w:rPr>
              <w:t>19.</w:t>
            </w:r>
          </w:p>
        </w:tc>
        <w:tc>
          <w:tcPr>
            <w:tcW w:w="536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Information if Proxies, Consents or</w:t>
            </w:r>
          </w:p>
        </w:tc>
        <w:tc>
          <w:tcPr>
            <w:tcW w:w="3880" w:type="dxa"/>
            <w:vAlign w:val="bottom"/>
          </w:tcPr>
          <w:p>
            <w:pPr>
              <w:ind w:left="1700"/>
              <w:spacing w:after="0"/>
              <w:rPr>
                <w:sz w:val="20"/>
                <w:szCs w:val="20"/>
                <w:color w:val="auto"/>
              </w:rPr>
            </w:pPr>
            <w:r>
              <w:rPr>
                <w:rFonts w:ascii="Courier New" w:cs="Courier New" w:eastAsia="Courier New" w:hAnsi="Courier New"/>
                <w:sz w:val="17"/>
                <w:szCs w:val="17"/>
                <w:color w:val="auto"/>
              </w:rPr>
              <w:t>*</w:t>
            </w:r>
          </w:p>
        </w:tc>
      </w:tr>
      <w:tr>
        <w:trPr>
          <w:trHeight w:val="191"/>
        </w:trPr>
        <w:tc>
          <w:tcPr>
            <w:tcW w:w="900" w:type="dxa"/>
            <w:vAlign w:val="bottom"/>
          </w:tcPr>
          <w:p>
            <w:pPr>
              <w:spacing w:after="0"/>
              <w:rPr>
                <w:sz w:val="16"/>
                <w:szCs w:val="16"/>
                <w:color w:val="auto"/>
              </w:rPr>
            </w:pPr>
          </w:p>
        </w:tc>
        <w:tc>
          <w:tcPr>
            <w:tcW w:w="5360" w:type="dxa"/>
            <w:vAlign w:val="bottom"/>
            <w:gridSpan w:val="2"/>
          </w:tcPr>
          <w:p>
            <w:pPr>
              <w:ind w:left="600"/>
              <w:spacing w:after="0" w:line="191" w:lineRule="exact"/>
              <w:rPr>
                <w:sz w:val="20"/>
                <w:szCs w:val="20"/>
                <w:color w:val="auto"/>
              </w:rPr>
            </w:pPr>
            <w:r>
              <w:rPr>
                <w:rFonts w:ascii="Courier New" w:cs="Courier New" w:eastAsia="Courier New" w:hAnsi="Courier New"/>
                <w:sz w:val="17"/>
                <w:szCs w:val="17"/>
                <w:color w:val="auto"/>
              </w:rPr>
              <w:t>Authorizations are not to be Solicited</w:t>
            </w:r>
          </w:p>
        </w:tc>
        <w:tc>
          <w:tcPr>
            <w:tcW w:w="3880" w:type="dxa"/>
            <w:vAlign w:val="bottom"/>
          </w:tcPr>
          <w:p>
            <w:pPr>
              <w:spacing w:after="0"/>
              <w:rPr>
                <w:sz w:val="16"/>
                <w:szCs w:val="16"/>
                <w:color w:val="auto"/>
              </w:rPr>
            </w:pPr>
          </w:p>
        </w:tc>
      </w:tr>
      <w:tr>
        <w:trPr>
          <w:trHeight w:val="191"/>
        </w:trPr>
        <w:tc>
          <w:tcPr>
            <w:tcW w:w="900" w:type="dxa"/>
            <w:vAlign w:val="bottom"/>
          </w:tcPr>
          <w:p>
            <w:pPr>
              <w:spacing w:after="0"/>
              <w:rPr>
                <w:sz w:val="16"/>
                <w:szCs w:val="16"/>
                <w:color w:val="auto"/>
              </w:rPr>
            </w:pPr>
          </w:p>
        </w:tc>
        <w:tc>
          <w:tcPr>
            <w:tcW w:w="372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in an Exchange Offer</w:t>
            </w:r>
          </w:p>
        </w:tc>
        <w:tc>
          <w:tcPr>
            <w:tcW w:w="1640" w:type="dxa"/>
            <w:vAlign w:val="bottom"/>
          </w:tcPr>
          <w:p>
            <w:pPr>
              <w:spacing w:after="0"/>
              <w:rPr>
                <w:sz w:val="16"/>
                <w:szCs w:val="16"/>
                <w:color w:val="auto"/>
              </w:rPr>
            </w:pPr>
          </w:p>
        </w:tc>
        <w:tc>
          <w:tcPr>
            <w:tcW w:w="388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w:t>
      </w:r>
    </w:p>
    <w:p>
      <w:pPr>
        <w:spacing w:after="0" w:line="5" w:lineRule="exact"/>
        <w:rPr>
          <w:sz w:val="20"/>
          <w:szCs w:val="20"/>
          <w:color w:val="auto"/>
        </w:rPr>
      </w:pPr>
    </w:p>
    <w:p>
      <w:pPr>
        <w:ind w:left="500" w:right="3860" w:hanging="498"/>
        <w:spacing w:after="0" w:line="236"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Inapplicable (or partially inapplicable as indicted) upon filing of this Registration Statement - may be included in subsequent post-effective amendments under certain circumstances.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Not applicable or answer is negative.</w:t>
      </w:r>
    </w:p>
    <w:p>
      <w:pPr>
        <w:sectPr>
          <w:pgSz w:w="11900" w:h="16838" w:orient="portrait"/>
          <w:cols w:equalWidth="0" w:num="1">
            <w:col w:w="11520"/>
          </w:cols>
          <w:pgMar w:left="240" w:top="301" w:right="139"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38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SUBJECT TO COMPLETION, OCTOBER 15, 1996</w:t>
      </w:r>
    </w:p>
    <w:p>
      <w:pPr>
        <w:spacing w:after="0" w:line="238" w:lineRule="auto"/>
        <w:rPr>
          <w:sz w:val="20"/>
          <w:szCs w:val="20"/>
          <w:color w:val="auto"/>
        </w:rPr>
      </w:pPr>
      <w:r>
        <w:rPr>
          <w:rFonts w:ascii="Courier New" w:cs="Courier New" w:eastAsia="Courier New" w:hAnsi="Courier New"/>
          <w:sz w:val="17"/>
          <w:szCs w:val="17"/>
          <w:color w:val="auto"/>
        </w:rPr>
        <w:t>PROSPECTUS</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2,000,000 SHARES</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USA WASTE SERVICES, INC.</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COMMON STOCK</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This Prospectus covers 2,000,000 shares (the "Shares") of the Common Stock, $.01 par value ("Common Stock"), of USA Waste Services, Inc., a Delaware corporation (the "Company") that may be offered and issued by the Company from time to time in connection with the acquisition directly or indirectly by the Company of other businesses or properties or interests therein, and which may be reserved for issuance pursuant to, or offered and issued upon exercise or conversion of, warrants, options, convertible notes, or other similar instruments issued by the Company from time to time in connection with any such acquisitions.</w:t>
      </w:r>
    </w:p>
    <w:p>
      <w:pPr>
        <w:spacing w:after="0" w:line="201"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It is expected that the specific terms of any acquisition involving the issuance of securities covered by this Prospectus will be determined by direct negotiations with the owners or controlling persons of the businesses or properties or interests therein to be acquired by the Company, and that the shares of Common Stock issued will be valued at prices reasonably related to market prices current either at the time the terms of the acquisition are agreed upon or at or about the time of delivery of shares. No underwriting discounts or commissions will be paid, although finder's fees may be paid from time to time with respect to specific acquisitions. Any person receiving any such fees may be deemed to be an underwriter within the meaning of the Securities Act of 1933, as amended (the "Securities Act").</w:t>
      </w:r>
    </w:p>
    <w:p>
      <w:pPr>
        <w:spacing w:after="0" w:line="193"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With the consent of the Company, this Prospectus may also be used by persons who have received or will receive shares of Common Stock covered by this Prospectus and who may wish to sell such shares under circumstances requiring or making desirable its use. See "Outstanding Securities Covered by this Prospectus" for information relating to resales pursuant to this Prospectus of shares of Common Stock issued under this Registration Statement.</w:t>
      </w:r>
    </w:p>
    <w:p>
      <w:pPr>
        <w:spacing w:after="0" w:line="188"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At August 31, 1996, the Company had 134,290,000 shares of Common Stock outstanding. These shares are listed on the New York Stock Exchange, Inc. ("NYSE"). Application will be made to list the Shares offered hereby on the NYSE to the extent that they have not been previously listed. On October __, 1996, the closing price of the Common Stock on the NYSE was $__.___ per share as published in The Wall Street Journal.</w:t>
      </w:r>
    </w:p>
    <w:p>
      <w:pPr>
        <w:spacing w:after="0" w:line="19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All expenses of this offering will be paid by the Company. The Company is a Delaware corporation and all references herein to the "Company" or "USA Waste" refer to the Company and its subsidiaries, affiliates and predecessors, unless the context requires otherwise. The executive offices of the Company are located at 5400 LBJ Freeway, Suite 300 - Tower One, Dallas, Texas 75240. The telephone number is 214-383-7900.</w:t>
      </w:r>
    </w:p>
    <w:p>
      <w:pPr>
        <w:spacing w:after="0" w:line="198" w:lineRule="exact"/>
        <w:rPr>
          <w:sz w:val="20"/>
          <w:szCs w:val="20"/>
          <w:color w:val="auto"/>
        </w:rPr>
      </w:pPr>
    </w:p>
    <w:p>
      <w:pPr>
        <w:ind w:right="2859" w:firstLine="497"/>
        <w:spacing w:after="0" w:line="235" w:lineRule="auto"/>
        <w:rPr>
          <w:sz w:val="20"/>
          <w:szCs w:val="20"/>
          <w:color w:val="auto"/>
        </w:rPr>
      </w:pPr>
      <w:r>
        <w:rPr>
          <w:rFonts w:ascii="Courier New" w:cs="Courier New" w:eastAsia="Courier New" w:hAnsi="Courier New"/>
          <w:sz w:val="17"/>
          <w:szCs w:val="17"/>
          <w:color w:val="auto"/>
        </w:rPr>
        <w:t>SEE "RISK FACTORS" ON PAGE 5 FOR A DISCUSSION OF CERTAIN FACTORS THAT SHOULD BE CONSIDERED BY PROSPECTIVE PURCHASERS OF THE COMMON STOCK.</w:t>
      </w:r>
    </w:p>
    <w:p>
      <w:pPr>
        <w:spacing w:after="0" w:line="190" w:lineRule="exact"/>
        <w:rPr>
          <w:sz w:val="20"/>
          <w:szCs w:val="20"/>
          <w:color w:val="auto"/>
        </w:rPr>
      </w:pPr>
    </w:p>
    <w:p>
      <w:pPr>
        <w:ind w:left="1100"/>
        <w:spacing w:after="0"/>
        <w:rPr>
          <w:sz w:val="20"/>
          <w:szCs w:val="20"/>
          <w:color w:val="auto"/>
        </w:rPr>
      </w:pPr>
      <w:r>
        <w:rPr>
          <w:rFonts w:ascii="Courier New" w:cs="Courier New" w:eastAsia="Courier New" w:hAnsi="Courier New"/>
          <w:sz w:val="17"/>
          <w:szCs w:val="17"/>
          <w:color w:val="auto"/>
        </w:rPr>
        <w:t>THESE SECURITIES HAVE NOT BEEN APPROVED OR DISAPPROVED BY</w:t>
      </w:r>
    </w:p>
    <w:p>
      <w:pPr>
        <w:ind w:left="1400"/>
        <w:spacing w:after="0" w:line="238" w:lineRule="auto"/>
        <w:rPr>
          <w:sz w:val="20"/>
          <w:szCs w:val="20"/>
          <w:color w:val="auto"/>
        </w:rPr>
      </w:pPr>
      <w:r>
        <w:rPr>
          <w:rFonts w:ascii="Courier New" w:cs="Courier New" w:eastAsia="Courier New" w:hAnsi="Courier New"/>
          <w:sz w:val="17"/>
          <w:szCs w:val="17"/>
          <w:color w:val="auto"/>
        </w:rPr>
        <w:t>THE SECURITIES AND EXCHANGE COMMISSION OR ANY STATE</w:t>
      </w:r>
    </w:p>
    <w:p>
      <w:pPr>
        <w:ind w:left="1600"/>
        <w:spacing w:after="0" w:line="238" w:lineRule="auto"/>
        <w:rPr>
          <w:sz w:val="20"/>
          <w:szCs w:val="20"/>
          <w:color w:val="auto"/>
        </w:rPr>
      </w:pPr>
      <w:r>
        <w:rPr>
          <w:rFonts w:ascii="Courier New" w:cs="Courier New" w:eastAsia="Courier New" w:hAnsi="Courier New"/>
          <w:sz w:val="17"/>
          <w:szCs w:val="17"/>
          <w:color w:val="auto"/>
        </w:rPr>
        <w:t>SECURITIES COMMISSION NOR HAS THE COMMISSION OR</w:t>
      </w:r>
    </w:p>
    <w:p>
      <w:pPr>
        <w:ind w:left="1600"/>
        <w:spacing w:after="0"/>
        <w:rPr>
          <w:sz w:val="20"/>
          <w:szCs w:val="20"/>
          <w:color w:val="auto"/>
        </w:rPr>
      </w:pPr>
      <w:r>
        <w:rPr>
          <w:rFonts w:ascii="Courier New" w:cs="Courier New" w:eastAsia="Courier New" w:hAnsi="Courier New"/>
          <w:sz w:val="17"/>
          <w:szCs w:val="17"/>
          <w:color w:val="auto"/>
        </w:rPr>
        <w:t>ANY STATE SECURITIES COMMISSION PASSED UPON THE</w:t>
      </w:r>
    </w:p>
    <w:p>
      <w:pPr>
        <w:ind w:left="1800"/>
        <w:spacing w:after="0" w:line="237" w:lineRule="auto"/>
        <w:rPr>
          <w:sz w:val="20"/>
          <w:szCs w:val="20"/>
          <w:color w:val="auto"/>
        </w:rPr>
      </w:pPr>
      <w:r>
        <w:rPr>
          <w:rFonts w:ascii="Courier New" w:cs="Courier New" w:eastAsia="Courier New" w:hAnsi="Courier New"/>
          <w:sz w:val="17"/>
          <w:szCs w:val="17"/>
          <w:color w:val="auto"/>
        </w:rPr>
        <w:t>ACCURACY OR ADEQUACY OF THIS PROSPECTUS. ANY</w:t>
      </w:r>
    </w:p>
    <w:p>
      <w:pPr>
        <w:ind w:left="2180"/>
        <w:spacing w:after="0" w:line="238" w:lineRule="auto"/>
        <w:rPr>
          <w:sz w:val="20"/>
          <w:szCs w:val="20"/>
          <w:color w:val="auto"/>
        </w:rPr>
      </w:pPr>
      <w:r>
        <w:rPr>
          <w:rFonts w:ascii="Courier New" w:cs="Courier New" w:eastAsia="Courier New" w:hAnsi="Courier New"/>
          <w:sz w:val="17"/>
          <w:szCs w:val="17"/>
          <w:color w:val="auto"/>
        </w:rPr>
        <w:t>REPRESENTATION TO THE CONTRARY IS A</w:t>
      </w:r>
    </w:p>
    <w:p>
      <w:pPr>
        <w:ind w:left="3080"/>
        <w:spacing w:after="0"/>
        <w:rPr>
          <w:sz w:val="20"/>
          <w:szCs w:val="20"/>
          <w:color w:val="auto"/>
        </w:rPr>
      </w:pPr>
      <w:r>
        <w:rPr>
          <w:rFonts w:ascii="Courier New" w:cs="Courier New" w:eastAsia="Courier New" w:hAnsi="Courier New"/>
          <w:sz w:val="17"/>
          <w:szCs w:val="17"/>
          <w:color w:val="auto"/>
        </w:rPr>
        <w:t>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The date of this Prospectus is September __, 1996</w:t>
      </w:r>
    </w:p>
    <w:p>
      <w:pPr>
        <w:sectPr>
          <w:pgSz w:w="11900" w:h="16838" w:orient="portrait"/>
          <w:cols w:equalWidth="0" w:num="1">
            <w:col w:w="10219"/>
          </w:cols>
          <w:pgMar w:left="240" w:top="301"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388"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No dealer, salesman, or any other person has been authorized to give any information or to make any representations other than those contained in this Prospectus in connection with the offering contained herein, and, if given or made, such information or representations must not be relied upon as having been authorized by the Company or the Selling Shareholder. This Prospectus does not constitute an offer to sell or a solicitation of an offer to buy any of the securities offered hereby to any person to whom it is unlawful to make such offer or solicitation. Neither the delivery of this Prospectus nor any sale hereunder shall, under any circumstances, create any implication that there has been no change in the affairs of the Company since the date hereof.</w:t>
      </w:r>
    </w:p>
    <w:p>
      <w:pPr>
        <w:spacing w:after="0" w:line="378"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00"/>
        <w:spacing w:after="0"/>
        <w:tabs>
          <w:tab w:leader="dot" w:pos="6740" w:val="left"/>
        </w:tabs>
        <w:rPr>
          <w:sz w:val="20"/>
          <w:szCs w:val="20"/>
          <w:color w:val="auto"/>
        </w:rPr>
      </w:pPr>
      <w:r>
        <w:rPr>
          <w:rFonts w:ascii="Courier New" w:cs="Courier New" w:eastAsia="Courier New" w:hAnsi="Courier New"/>
          <w:sz w:val="17"/>
          <w:szCs w:val="17"/>
          <w:color w:val="auto"/>
        </w:rPr>
        <w:t>Available Information</w:t>
      </w:r>
      <w:r>
        <w:rPr>
          <w:sz w:val="20"/>
          <w:szCs w:val="20"/>
          <w:color w:val="auto"/>
        </w:rPr>
        <w:tab/>
      </w:r>
      <w:r>
        <w:rPr>
          <w:rFonts w:ascii="Courier New" w:cs="Courier New" w:eastAsia="Courier New" w:hAnsi="Courier New"/>
          <w:sz w:val="16"/>
          <w:szCs w:val="16"/>
          <w:color w:val="auto"/>
        </w:rPr>
        <w:t>2</w:t>
      </w:r>
    </w:p>
    <w:p>
      <w:pPr>
        <w:ind w:left="900"/>
        <w:spacing w:after="0" w:line="238" w:lineRule="auto"/>
        <w:rPr>
          <w:sz w:val="20"/>
          <w:szCs w:val="20"/>
          <w:color w:val="auto"/>
        </w:rPr>
      </w:pPr>
      <w:r>
        <w:rPr>
          <w:rFonts w:ascii="Courier New" w:cs="Courier New" w:eastAsia="Courier New" w:hAnsi="Courier New"/>
          <w:sz w:val="17"/>
          <w:szCs w:val="17"/>
          <w:color w:val="auto"/>
        </w:rPr>
        <w:t>Incorporation of Certain Information</w:t>
      </w:r>
    </w:p>
    <w:p>
      <w:pPr>
        <w:ind w:left="900"/>
        <w:spacing w:after="0"/>
        <w:tabs>
          <w:tab w:leader="dot" w:pos="6740" w:val="left"/>
        </w:tabs>
        <w:rPr>
          <w:sz w:val="20"/>
          <w:szCs w:val="20"/>
          <w:color w:val="auto"/>
        </w:rPr>
      </w:pPr>
      <w:r>
        <w:rPr>
          <w:rFonts w:ascii="Courier New" w:cs="Courier New" w:eastAsia="Courier New" w:hAnsi="Courier New"/>
          <w:sz w:val="17"/>
          <w:szCs w:val="17"/>
          <w:color w:val="auto"/>
        </w:rPr>
        <w:t>by Reference</w:t>
      </w:r>
      <w:r>
        <w:rPr>
          <w:sz w:val="20"/>
          <w:szCs w:val="20"/>
          <w:color w:val="auto"/>
        </w:rPr>
        <w:tab/>
      </w:r>
      <w:r>
        <w:rPr>
          <w:rFonts w:ascii="Courier New" w:cs="Courier New" w:eastAsia="Courier New" w:hAnsi="Courier New"/>
          <w:sz w:val="16"/>
          <w:szCs w:val="16"/>
          <w:color w:val="auto"/>
        </w:rPr>
        <w:t>3</w:t>
      </w:r>
    </w:p>
    <w:p>
      <w:pPr>
        <w:ind w:left="900"/>
        <w:spacing w:after="0"/>
        <w:tabs>
          <w:tab w:leader="none" w:pos="6740" w:val="left"/>
        </w:tabs>
        <w:rPr>
          <w:sz w:val="20"/>
          <w:szCs w:val="20"/>
          <w:color w:val="auto"/>
        </w:rPr>
      </w:pPr>
      <w:r>
        <w:rPr>
          <w:rFonts w:ascii="Courier New" w:cs="Courier New" w:eastAsia="Courier New" w:hAnsi="Courier New"/>
          <w:sz w:val="17"/>
          <w:szCs w:val="17"/>
          <w:color w:val="auto"/>
        </w:rPr>
        <w:t>Outstanding Securities Covered by this Prospectus ..</w:t>
      </w:r>
      <w:r>
        <w:rPr>
          <w:sz w:val="20"/>
          <w:szCs w:val="20"/>
          <w:color w:val="auto"/>
        </w:rPr>
        <w:tab/>
      </w:r>
      <w:r>
        <w:rPr>
          <w:rFonts w:ascii="Courier New" w:cs="Courier New" w:eastAsia="Courier New" w:hAnsi="Courier New"/>
          <w:sz w:val="16"/>
          <w:szCs w:val="16"/>
          <w:color w:val="auto"/>
        </w:rPr>
        <w:t>3</w:t>
      </w:r>
    </w:p>
    <w:p>
      <w:pPr>
        <w:ind w:left="900"/>
        <w:spacing w:after="0"/>
        <w:tabs>
          <w:tab w:leader="dot" w:pos="6740" w:val="left"/>
        </w:tabs>
        <w:rPr>
          <w:sz w:val="20"/>
          <w:szCs w:val="20"/>
          <w:color w:val="auto"/>
        </w:rPr>
      </w:pPr>
      <w:r>
        <w:rPr>
          <w:rFonts w:ascii="Courier New" w:cs="Courier New" w:eastAsia="Courier New" w:hAnsi="Courier New"/>
          <w:sz w:val="17"/>
          <w:szCs w:val="17"/>
          <w:color w:val="auto"/>
        </w:rPr>
        <w:t>The Company</w:t>
      </w:r>
      <w:r>
        <w:rPr>
          <w:sz w:val="20"/>
          <w:szCs w:val="20"/>
          <w:color w:val="auto"/>
        </w:rPr>
        <w:tab/>
      </w:r>
      <w:r>
        <w:rPr>
          <w:rFonts w:ascii="Courier New" w:cs="Courier New" w:eastAsia="Courier New" w:hAnsi="Courier New"/>
          <w:sz w:val="16"/>
          <w:szCs w:val="16"/>
          <w:color w:val="auto"/>
        </w:rPr>
        <w:t>4</w:t>
      </w:r>
    </w:p>
    <w:p>
      <w:pPr>
        <w:ind w:left="900"/>
        <w:spacing w:after="0"/>
        <w:tabs>
          <w:tab w:leader="dot" w:pos="6740" w:val="left"/>
        </w:tabs>
        <w:rPr>
          <w:sz w:val="20"/>
          <w:szCs w:val="20"/>
          <w:color w:val="auto"/>
        </w:rPr>
      </w:pPr>
      <w:r>
        <w:rPr>
          <w:rFonts w:ascii="Courier New" w:cs="Courier New" w:eastAsia="Courier New" w:hAnsi="Courier New"/>
          <w:sz w:val="17"/>
          <w:szCs w:val="17"/>
          <w:color w:val="auto"/>
        </w:rPr>
        <w:t>Recent Developments</w:t>
      </w:r>
      <w:r>
        <w:rPr>
          <w:sz w:val="20"/>
          <w:szCs w:val="20"/>
          <w:color w:val="auto"/>
        </w:rPr>
        <w:tab/>
      </w:r>
      <w:r>
        <w:rPr>
          <w:rFonts w:ascii="Courier New" w:cs="Courier New" w:eastAsia="Courier New" w:hAnsi="Courier New"/>
          <w:sz w:val="16"/>
          <w:szCs w:val="16"/>
          <w:color w:val="auto"/>
        </w:rPr>
        <w:t>4</w:t>
      </w:r>
    </w:p>
    <w:p>
      <w:pPr>
        <w:ind w:left="900"/>
        <w:spacing w:after="0"/>
        <w:tabs>
          <w:tab w:leader="dot" w:pos="674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6"/>
          <w:szCs w:val="16"/>
          <w:color w:val="auto"/>
        </w:rPr>
        <w:t>5</w:t>
      </w:r>
    </w:p>
    <w:p>
      <w:pPr>
        <w:ind w:left="900"/>
        <w:spacing w:after="0"/>
        <w:tabs>
          <w:tab w:leader="dot" w:pos="674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7</w:t>
      </w:r>
    </w:p>
    <w:p>
      <w:pPr>
        <w:ind w:left="900"/>
        <w:spacing w:after="0"/>
        <w:tabs>
          <w:tab w:leader="dot" w:pos="6740" w:val="left"/>
        </w:tabs>
        <w:rPr>
          <w:sz w:val="20"/>
          <w:szCs w:val="20"/>
          <w:color w:val="auto"/>
        </w:rPr>
      </w:pPr>
      <w:r>
        <w:rPr>
          <w:rFonts w:ascii="Courier New" w:cs="Courier New" w:eastAsia="Courier New" w:hAnsi="Courier New"/>
          <w:sz w:val="17"/>
          <w:szCs w:val="17"/>
          <w:color w:val="auto"/>
        </w:rPr>
        <w:t>Description of Capital Stock</w:t>
      </w:r>
      <w:r>
        <w:rPr>
          <w:sz w:val="20"/>
          <w:szCs w:val="20"/>
          <w:color w:val="auto"/>
        </w:rPr>
        <w:tab/>
      </w:r>
      <w:r>
        <w:rPr>
          <w:rFonts w:ascii="Courier New" w:cs="Courier New" w:eastAsia="Courier New" w:hAnsi="Courier New"/>
          <w:sz w:val="16"/>
          <w:szCs w:val="16"/>
          <w:color w:val="auto"/>
        </w:rPr>
        <w:t>8</w:t>
      </w:r>
    </w:p>
    <w:p>
      <w:pPr>
        <w:ind w:left="900"/>
        <w:spacing w:after="0"/>
        <w:tabs>
          <w:tab w:leader="dot" w:pos="6640" w:val="left"/>
        </w:tabs>
        <w:rPr>
          <w:sz w:val="20"/>
          <w:szCs w:val="20"/>
          <w:color w:val="auto"/>
        </w:rPr>
      </w:pPr>
      <w:r>
        <w:rPr>
          <w:rFonts w:ascii="Courier New" w:cs="Courier New" w:eastAsia="Courier New" w:hAnsi="Courier New"/>
          <w:sz w:val="17"/>
          <w:szCs w:val="17"/>
          <w:color w:val="auto"/>
        </w:rPr>
        <w:t>Price Range of Common Stock and Dividends</w:t>
      </w:r>
      <w:r>
        <w:rPr>
          <w:sz w:val="20"/>
          <w:szCs w:val="20"/>
          <w:color w:val="auto"/>
        </w:rPr>
        <w:tab/>
      </w:r>
      <w:r>
        <w:rPr>
          <w:rFonts w:ascii="Courier New" w:cs="Courier New" w:eastAsia="Courier New" w:hAnsi="Courier New"/>
          <w:sz w:val="16"/>
          <w:szCs w:val="16"/>
          <w:color w:val="auto"/>
        </w:rPr>
        <w:t>10</w:t>
      </w:r>
    </w:p>
    <w:p>
      <w:pPr>
        <w:ind w:left="900"/>
        <w:spacing w:after="0"/>
        <w:tabs>
          <w:tab w:leader="dot" w:pos="6640" w:val="left"/>
        </w:tabs>
        <w:rPr>
          <w:sz w:val="20"/>
          <w:szCs w:val="20"/>
          <w:color w:val="auto"/>
        </w:rPr>
      </w:pPr>
      <w:r>
        <w:rPr>
          <w:rFonts w:ascii="Courier New" w:cs="Courier New" w:eastAsia="Courier New" w:hAnsi="Courier New"/>
          <w:sz w:val="17"/>
          <w:szCs w:val="17"/>
          <w:color w:val="auto"/>
        </w:rPr>
        <w:t>Manner of Offering by Selling Shareholders</w:t>
      </w:r>
      <w:r>
        <w:rPr>
          <w:sz w:val="20"/>
          <w:szCs w:val="20"/>
          <w:color w:val="auto"/>
        </w:rPr>
        <w:tab/>
      </w:r>
      <w:r>
        <w:rPr>
          <w:rFonts w:ascii="Courier New" w:cs="Courier New" w:eastAsia="Courier New" w:hAnsi="Courier New"/>
          <w:sz w:val="16"/>
          <w:szCs w:val="16"/>
          <w:color w:val="auto"/>
        </w:rPr>
        <w:t>10</w:t>
      </w:r>
    </w:p>
    <w:p>
      <w:pPr>
        <w:ind w:left="900"/>
        <w:spacing w:after="0"/>
        <w:tabs>
          <w:tab w:leader="dot" w:pos="664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12</w:t>
      </w:r>
    </w:p>
    <w:p>
      <w:pPr>
        <w:ind w:left="900"/>
        <w:spacing w:after="0"/>
        <w:tabs>
          <w:tab w:leader="dot" w:pos="664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AVAILABLE INFORMATION</w:t>
      </w:r>
    </w:p>
    <w:p>
      <w:pPr>
        <w:spacing w:after="0" w:line="196" w:lineRule="exact"/>
        <w:rPr>
          <w:sz w:val="20"/>
          <w:szCs w:val="20"/>
          <w:color w:val="auto"/>
        </w:rPr>
      </w:pPr>
    </w:p>
    <w:p>
      <w:pPr>
        <w:ind w:right="2359" w:firstLine="497"/>
        <w:spacing w:after="0" w:line="238" w:lineRule="auto"/>
        <w:rPr>
          <w:sz w:val="20"/>
          <w:szCs w:val="20"/>
          <w:color w:val="auto"/>
        </w:rPr>
      </w:pPr>
      <w:r>
        <w:rPr>
          <w:rFonts w:ascii="Courier New" w:cs="Courier New" w:eastAsia="Courier New" w:hAnsi="Courier New"/>
          <w:sz w:val="17"/>
          <w:szCs w:val="17"/>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and information statements, and other information filed by the Company may be inspected and copied at the public reference facilities maintained by the Commission at Room 1024, Judiciary Plaza Building, 450 Fifth Street, N.W., Washington, D.C. 20549 and at the regional offices of the Commission located at 7 World Trade Center, Suite 1300, New York, New York 10048 and 500 West Madison, Suite 1400, Chicago, Illinois 60661-2511. Copies of such material may be obtained from the Public Reference Section of the Commission at 450 Fifth Street, N.W., Room 1024, Washington, D.C. 20549, at prescribed rates. The Commission maintains an Internet web site that contains reports, proxy and information statements, and other information regarding registrants that file electronically with the Commission (http://www.sec.gov). In addition, the Company's securities are listed on the New York Stock Exchange (the "NYSE") and reports, proxy and information statements, and other information concerning the Company described above may be inspected at the offices of the NYSE at 20 Broad Street, New York, New York 10005.</w:t>
      </w:r>
    </w:p>
    <w:p>
      <w:pPr>
        <w:spacing w:after="0" w:line="197"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This Prospectus constitutes part of a Registration Statement on Form S-4 (together with all amendments and exhibits thereto, the "Registration Statement") filed by the Company with the Commission under the Securities Act. This Prospectus omits certain of the information contained in the Registration Statement, and reference is hereby made to the Registration Statement for further information with respect to the Company and the Common Stock offered hereby. Any statements contained herein concerning the provisions of any document filed as an exhibit to the Registration Statement or otherwise filed with the Commission are not necessarily complete, and in each instance reference is made to the copy of such document as filed. Each such statement is qualified in its entirety by such reference. The Registration Statement, including exhibits and schedules thereto, may be inspected without charge at the offices of the Commission, and copies of such materials may be obtained therefrom at prescribed rates.</w:t>
      </w:r>
    </w:p>
    <w:p>
      <w:pPr>
        <w:sectPr>
          <w:pgSz w:w="11900" w:h="16838" w:orient="portrait"/>
          <w:cols w:equalWidth="0" w:num="1">
            <w:col w:w="10219"/>
          </w:cols>
          <w:pgMar w:left="240" w:top="301" w:right="1440" w:bottom="1058" w:gutter="0" w:footer="0" w:header="0"/>
        </w:sectPr>
      </w:pPr>
    </w:p>
    <w:p>
      <w:pPr>
        <w:spacing w:after="0" w:line="200" w:lineRule="exact"/>
        <w:rPr>
          <w:sz w:val="20"/>
          <w:szCs w:val="20"/>
          <w:color w:val="auto"/>
        </w:rPr>
      </w:pPr>
    </w:p>
    <w:p>
      <w:pPr>
        <w:spacing w:after="0" w:line="38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1" w:right="1440" w:bottom="1058"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81"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INCORPORATION OF CERTAIN INFORMATION BY REFERENCE</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THIS PROSPECTUS INCORPORATES DOCUMENTS BY REFERENCE THAT ARE NOT PRESENTED HEREIN OR DELIVERED HEREWITH. THESE DOCUMENTS WILL BE AVAILABLE UPON REQUEST FROM CORPORATE SECRETARY, USA WASTE SERVICES, INC., 5400 LBJ FREEWAY, SUITE 300</w:t>
      </w:r>
    </w:p>
    <w:p>
      <w:pPr>
        <w:spacing w:after="0" w:line="1" w:lineRule="exact"/>
        <w:rPr>
          <w:sz w:val="20"/>
          <w:szCs w:val="20"/>
          <w:color w:val="auto"/>
        </w:rPr>
      </w:pPr>
    </w:p>
    <w:p>
      <w:pPr>
        <w:ind w:right="2459" w:firstLine="2"/>
        <w:spacing w:after="0" w:line="236" w:lineRule="auto"/>
        <w:tabs>
          <w:tab w:leader="none" w:pos="19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TOWER ONE, DALLAS, TEXAS 75240, TELEPHONE NUMBER 972-383-7900. IN ORDER TO ENSURE TIMELY DELIVER OF THE DOCUMENTS, ANY REQUEST SHOULD BE MADE BY A DATE THAT IS AT LEAST FIVE DAYS PRIOR TO THE DATE ON WHICH THE FINAL INVESTMENT DECISION MUST BE MADE.</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following documents filed by the Company with the Commission under the Exchange Act (File No. 1-12154) are incorporated by reference in this Prospectus: (1) its Annual Report on Form 10-K for the fiscal year ended December 31, 1995, (2) its Current Report on Form 8-K dated January 9, 1996, its Current Report on Form 8-K dated May 7, 1996, as amended by its Form 8-K/A (Amendment No. 1) filed May 29, 1996, its Form 8-K/A (Amendment No. 2) filed June 28, 1996, and its Form 8-K/A (Amendment No. 3) filed July 1, 1996, its Current Report on Form 8-K dated June 22, 1996, its Current Report on Form 8-K dated September 3, 1996, and its Current Report on Form 8-K dated September 12, 1996, (3) its Quarterly Reports on Form 10-Q for the quarters ended March 31, 1996, and June 30, 1996 (4) its Joint Proxy Statement and Prospectus for the its Annual Meeting of Shareholders dated April 2, 1996, (5) its Joint Proxy Statement and Prospectus for the Special Meeting of Shareholders dated July 19, 1996, and (6) the description of Common Stock of the Company contained in the Company's Registration Statement on Form 8-A dated July 1, 1993, as amended by Form 8-B dated July 13, 1995.</w:t>
      </w:r>
    </w:p>
    <w:p>
      <w:pPr>
        <w:spacing w:after="0" w:line="209"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All documents filed by the Company pursuant to Sections 13(a), 13(c), 14, or 15(d) of the Exchange Act subsequent to the date of filing of the Company's Annual Report on Form 10-K referred to above and prior to the termination of the offering described herein shall be deemed to be incorporated by reference and to be a part of this Prospectus from the date of filing of such documents. All information appearing in this prospectus is qualified in its entirety by the information and financial statements (including the notes thereto) appearing in the documents incorporated by reference.</w:t>
      </w:r>
    </w:p>
    <w:p>
      <w:pPr>
        <w:spacing w:after="0" w:line="187" w:lineRule="exact"/>
        <w:rPr>
          <w:sz w:val="20"/>
          <w:szCs w:val="20"/>
          <w:color w:val="auto"/>
        </w:rPr>
      </w:pPr>
    </w:p>
    <w:p>
      <w:pPr>
        <w:ind w:right="2759" w:firstLine="497"/>
        <w:spacing w:after="0" w:line="237" w:lineRule="auto"/>
        <w:rPr>
          <w:sz w:val="20"/>
          <w:szCs w:val="20"/>
          <w:color w:val="auto"/>
        </w:rPr>
      </w:pPr>
      <w:r>
        <w:rPr>
          <w:rFonts w:ascii="Courier New" w:cs="Courier New" w:eastAsia="Courier New" w:hAnsi="Courier New"/>
          <w:sz w:val="17"/>
          <w:szCs w:val="17"/>
          <w:color w:val="auto"/>
        </w:rPr>
        <w:t>Any statement contained in a document incorporated by reference herein shall be deemed to be modified or superseded for all purposes to the extent that a statement contained in this Prospectus, or in any other subsequently filed document that is also incorporated by reference, modifies or replaces such statement. Any such statement so modified or superseded shall not be deemed, except as so modified or superseded, to constitute a part of this Prospectus.</w:t>
      </w:r>
    </w:p>
    <w:p>
      <w:pPr>
        <w:spacing w:after="0" w:line="19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 will provide without charge to each person to whom this Prospectus is delivered, on written or oral request of such person, a copy (without exhibits) of any and all information incorporated by reference in this Prospectus. Requests for such copies should be directed to Corporate Secretary, USA Waste Services, Inc., (i) if by telephone to (972) 383-7900 and</w:t>
      </w:r>
    </w:p>
    <w:p>
      <w:pPr>
        <w:spacing w:after="0" w:line="1" w:lineRule="exact"/>
        <w:rPr>
          <w:sz w:val="20"/>
          <w:szCs w:val="20"/>
          <w:color w:val="auto"/>
        </w:rPr>
      </w:pPr>
    </w:p>
    <w:p>
      <w:pPr>
        <w:ind w:right="2959" w:firstLine="2"/>
        <w:spacing w:after="0" w:line="235" w:lineRule="auto"/>
        <w:tabs>
          <w:tab w:leader="none" w:pos="49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by mail to 5400 LBJ Freeway, Suite 300 - Tower One, Dallas, Texas 75240.</w:t>
      </w:r>
    </w:p>
    <w:p>
      <w:pPr>
        <w:spacing w:after="0" w:line="381"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OUTSTANDING SECURITIES COVERED BY THIS PROSPECTUS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This Prospectus, as appropriately amended or supplemented, may, with the prior consent of the Company, be used from time to time by persons who have received Shares covered by the Registration Statement in acquisitions of businesses or properties or interests therein by the Company, or their transferees, and who wish to offer and sell such Shares (such persons are herein referred to as the "Selling Shareholders" or a "Selling Shareholder") in transactions in which they and any broker dealer through whom such Shares are sold may be deemed to be underwriters within the meaning of the Securities Act, as more fully described herein. The Company may consent to the use of this Prospectus for a limited period of time by the Selling Shareholders, subject to limitations and conditions that may be varied by agreement between the Company and the Selling Shareholders. Resales of such shares may be made on the NYSE, in the over-the-counter market, in private transactions, or pursuant to underwriting agreements. See "Manner of Offering by Selling Shareholders."</w:t>
      </w:r>
    </w:p>
    <w:p>
      <w:pPr>
        <w:spacing w:after="0" w:line="1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 will receive none of the proceeds from any such sales. Any commissions paid or concessions allowed to any broker-dealer, and, if any broker-dealer purchases such Shares as principal, any profits received on the resale of such Shares, may be deemed to be underwriting discounts and commissions under the Securities Act. Printing, certain legal, filing and other similar expenses of this offering will be paid by the Company. Selling Shareholders will bear all other expenses of this offering, including brokerage fees, any underwriting discounts or commissions.</w:t>
      </w:r>
    </w:p>
    <w:p>
      <w:pPr>
        <w:sectPr>
          <w:pgSz w:w="11900" w:h="16838" w:orient="portrait"/>
          <w:cols w:equalWidth="0" w:num="1">
            <w:col w:w="10219"/>
          </w:cols>
          <w:pgMar w:left="240" w:top="301" w:right="1440" w:bottom="483" w:gutter="0" w:footer="0" w:header="0"/>
        </w:sectPr>
      </w:pPr>
    </w:p>
    <w:bookmarkStart w:id="5" w:name="page6"/>
    <w:bookmarkEnd w:id="5"/>
    <w:p>
      <w:pPr>
        <w:ind w:left="25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142"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6</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There presently are no arrangements or understandings, formal or informal, pertaining to the distribution of any of the Shares by Selling Shareholders. See "Manner of Offering by Selling Shareholders."</w:t>
      </w:r>
    </w:p>
    <w:p>
      <w:pPr>
        <w:spacing w:after="0" w:line="382"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THE COMPANY</w:t>
      </w:r>
    </w:p>
    <w:p>
      <w:pPr>
        <w:spacing w:after="0" w:line="196"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USA Waste is the third largest integrated solid waste management company in North America and serves municipal, commercial, industrial and residential customers in 30 states, Canada, Mexico, and Puerto Rico. The Company's solid waste management services include collection, transfer and disposal operations and, to a lesser extent, recycling and certain other waste management services. USA Waste owns or operates [89] landfills, 52 transfer stations and 108 collection operations and serves more than [1.3] million customers.</w:t>
      </w:r>
    </w:p>
    <w:p>
      <w:pPr>
        <w:spacing w:after="0" w:line="1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 intends to continue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209" w:lineRule="exact"/>
        <w:rPr>
          <w:sz w:val="20"/>
          <w:szCs w:val="20"/>
          <w:color w:val="auto"/>
        </w:rPr>
      </w:pPr>
    </w:p>
    <w:p>
      <w:pPr>
        <w:ind w:right="2759" w:firstLine="497"/>
        <w:spacing w:after="0" w:line="253" w:lineRule="auto"/>
        <w:rPr>
          <w:sz w:val="20"/>
          <w:szCs w:val="20"/>
          <w:color w:val="auto"/>
        </w:rPr>
      </w:pPr>
      <w:r>
        <w:rPr>
          <w:rFonts w:ascii="Courier New" w:cs="Courier New" w:eastAsia="Courier New" w:hAnsi="Courier New"/>
          <w:sz w:val="16"/>
          <w:szCs w:val="16"/>
          <w:color w:val="auto"/>
        </w:rPr>
        <w:t>Additional information concerning the Company's business, assets, management, results of operations, and other matters is included in the Company's reports filed under the Exchange Act that are incorporated by reference in this Prospectus, including the Company's Annual Report on Form</w:t>
      </w:r>
    </w:p>
    <w:p>
      <w:pPr>
        <w:spacing w:after="0" w:line="1"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10-K for the year ended December 31, 1995, and the Joint Proxy Statement and Prospectus dated July 19, 1996. See "Incorporation of Certain Information by Reference."</w:t>
      </w:r>
    </w:p>
    <w:p>
      <w:pPr>
        <w:spacing w:after="0" w:line="197"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The term "Company" and "USA Waste" refer to USA Waste Services Inc., a Delaware corporation, and its subsidiaries and predecessors unless the context requires otherwise. The Company's executive offices are located at 5400 LBJ Freeway, Suite 300, Dallas, Texas 75240, and its telephone number is (214)</w:t>
      </w:r>
    </w:p>
    <w:p>
      <w:pPr>
        <w:spacing w:after="0" w:line="232" w:lineRule="auto"/>
        <w:rPr>
          <w:sz w:val="20"/>
          <w:szCs w:val="20"/>
          <w:color w:val="auto"/>
        </w:rPr>
      </w:pPr>
      <w:r>
        <w:rPr>
          <w:rFonts w:ascii="Courier New" w:cs="Courier New" w:eastAsia="Courier New" w:hAnsi="Courier New"/>
          <w:sz w:val="17"/>
          <w:szCs w:val="17"/>
          <w:color w:val="auto"/>
        </w:rPr>
        <w:t>383-7900.</w:t>
      </w:r>
    </w:p>
    <w:p>
      <w:pPr>
        <w:spacing w:after="0" w:line="382"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RECENT DEVELOPMENTS</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On June 22, 1996, the Company entered into an Agreement and Plan of Merger with Sanifill, Inc., a Delaware corporation ("Sanifill"), providing for, among other things, the merger (the "Sanifill Merger") of Quatro Acquisition Corp., a Delaware corporation and wholly-owned subsidiary of the Company with and into Sanifill and the conversion of each outstanding share of Sanifill common stock into 1.7 shares of the Company's Common Stock. The Sanifill Merger was approved by the Company's stockholders on August 27, 1996, was closed on August 30, 1996, and was completed on September 3, 1996. Upon consummation of the Sanifill Merger, the Company issued approximately 54.66 million shares of Common Stock. Sanifill owns and operates nonhazardous waste disposal, treatment, collection, transfer and recycling businesses and complementary operations. Since it was founded in 1989, Sanifill acquired 142 disposal, collection and related businesses. As of June 30, 1996, Sanifill operated 50 disposal and treatment facilities, 26 transfer stations, and 36 collection operations. In addition, Sanifill provided sludge treatment and organic recycling services. Additional information concerning Sanifill is included in Sanifill's reports filed under the Exchange Act that are incorporated by reference in the Joint Proxy Statement and Prospectus dated July 19, 1996. See "Available Information" and "Incorporation of Certain Information by Reference."</w:t>
      </w:r>
    </w:p>
    <w:p>
      <w:pPr>
        <w:spacing w:after="0" w:line="195"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Company expanded its operations and markets with its acquisition of Western Waste Industries ("Western") on May 7, 1996 (the "Western Merger"). With the addition of the Western operations, which include significant collection operations, the Company significantly increased its presence in California and added additional operations in Texas, Louisiana, Florida, Colorado, and Arkansas. Western had 91 municipal and regional authority contracts and served over 785,000 customers. As part of its business, Western operated six landfills, three transfer stations, and five recycling facilities.</w:t>
      </w:r>
    </w:p>
    <w:p>
      <w:pPr>
        <w:spacing w:after="0" w:line="200" w:lineRule="exact"/>
        <w:rPr>
          <w:sz w:val="20"/>
          <w:szCs w:val="20"/>
          <w:color w:val="auto"/>
        </w:rPr>
      </w:pPr>
    </w:p>
    <w:p>
      <w:pPr>
        <w:spacing w:after="0" w:line="36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1" w:right="1440" w:bottom="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7</w:t>
      </w:r>
    </w:p>
    <w:p>
      <w:pPr>
        <w:spacing w:after="0" w:line="381"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RISK FACTORS</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In addition to the other information set forth in this Prospectus, the following factors should be considered by prospective investors when evaluating an investment in the Common Stock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 MAY NOT PROVE ACCURATE</w:t>
      </w:r>
    </w:p>
    <w:p>
      <w:pPr>
        <w:spacing w:after="0" w:line="196" w:lineRule="exact"/>
        <w:rPr>
          <w:sz w:val="20"/>
          <w:szCs w:val="20"/>
          <w:color w:val="auto"/>
        </w:rPr>
      </w:pPr>
    </w:p>
    <w:p>
      <w:pPr>
        <w:ind w:right="2659" w:firstLine="497"/>
        <w:spacing w:after="0" w:line="237" w:lineRule="auto"/>
        <w:rPr>
          <w:sz w:val="20"/>
          <w:szCs w:val="20"/>
          <w:color w:val="auto"/>
        </w:rPr>
      </w:pPr>
      <w:r>
        <w:rPr>
          <w:rFonts w:ascii="Courier New" w:cs="Courier New" w:eastAsia="Courier New" w:hAnsi="Courier New"/>
          <w:sz w:val="17"/>
          <w:szCs w:val="17"/>
          <w:color w:val="auto"/>
        </w:rPr>
        <w:t>When used or incorporated by reference in this Prospectus, the words "anticipate," "estimate," "project" and similar expressions are intended to identify forward-looking statements. Such statements are subject to certain risks, uncertainties and assumptions. Should one or more of these risks or uncertainties materialize, or should underlying assumptions prove incorrect, actual results may vary materially from those anticipated, estimated or projected.</w:t>
      </w:r>
    </w:p>
    <w:p>
      <w:pPr>
        <w:spacing w:after="0" w:line="199"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Among the key factors that have a direct bearing on the Company's ability to attain its goals are the level and nature of competition from other waste companies, evaluation of the current regulatory environment and the costs associated with such regulations, the availability of attractive acquisition opportunities, successful integration of acquired businesses, improvement of operating efficiencies, availability of working capital, ability to maintain margins and the management of costs in a changing regulatory environment. The Company has also made certain assumptions relating to the outcome of various commercial, legal and regulatory proceedings relating to the Company's operations and the industry generally. These and other risk factors are discussed below.</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EXPECTED BENEFITS OF SANIFILL MERGER MAY NOT BE ACHIEVED</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There can be no assurance that the expected benefits of the Sanifill Merger relative to the combined business as described in the Joint Proxy Statement and Prospectus dated July 19, 1996 under "The Merger and Related Transactions -- USA Waste's Reasons for the Merger" and "The Merger and Related Transactions -- Sanifill's Reasons for the Merger" will be achieved. Whether the anticipated benefits of the Merger are ultimately achieved will depend on a number of factors, including the ability of the combined companies to achieve administrative cost savings, rationalization of collection routes, insurance and bonding cost reductions, general economies of scale and, generally, to capitalize on the combined asset base and strategic position of the combined entity.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ASSURANCE OF SUCCESSFUL MANAGEMENT AND MAINTENANCE OF GROWTH</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Sanifill and Western, the Company's most recent large acquisitions.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NEED FOR CAPITAL; DEBT FINANCING</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long-term debt of the Company (including Western), including current maturities, as of June 30, 1996, was approximately $571 million and on a pro forma basis including Sanifill was approximately $953 million. The Company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203" w:lineRule="exact"/>
        <w:rPr>
          <w:sz w:val="20"/>
          <w:szCs w:val="20"/>
          <w:color w:val="auto"/>
        </w:rPr>
      </w:pPr>
    </w:p>
    <w:p>
      <w:pPr>
        <w:ind w:right="2859" w:firstLine="497"/>
        <w:spacing w:after="0" w:line="256" w:lineRule="auto"/>
        <w:rPr>
          <w:sz w:val="20"/>
          <w:szCs w:val="20"/>
          <w:color w:val="auto"/>
        </w:rPr>
      </w:pPr>
      <w:r>
        <w:rPr>
          <w:rFonts w:ascii="Courier New" w:cs="Courier New" w:eastAsia="Courier New" w:hAnsi="Courier New"/>
          <w:sz w:val="16"/>
          <w:szCs w:val="16"/>
          <w:color w:val="auto"/>
        </w:rPr>
        <w:t>In addition, approximately $446 million of the Company's existing indebtedness at June 30, 1996, and approximately $95 million of Sanifill's existing indebtedness at June 30, 1996, is priced at variable interest</w:t>
      </w:r>
    </w:p>
    <w:p>
      <w:pPr>
        <w:sectPr>
          <w:pgSz w:w="11900" w:h="16838" w:orient="portrait"/>
          <w:cols w:equalWidth="0" w:num="1">
            <w:col w:w="10219"/>
          </w:cols>
          <w:pgMar w:left="240" w:top="301" w:right="1440" w:bottom="0" w:gutter="0" w:footer="0" w:header="0"/>
        </w:sectPr>
      </w:pPr>
    </w:p>
    <w:p>
      <w:pPr>
        <w:spacing w:after="0" w:line="200" w:lineRule="exact"/>
        <w:rPr>
          <w:sz w:val="20"/>
          <w:szCs w:val="20"/>
          <w:color w:val="auto"/>
        </w:rPr>
      </w:pPr>
    </w:p>
    <w:p>
      <w:pPr>
        <w:spacing w:after="0" w:line="36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1" w:right="1440" w:bottom="0" w:gutter="0" w:footer="0" w:header="0"/>
          <w:type w:val="continuous"/>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8</w:t>
      </w:r>
    </w:p>
    <w:p>
      <w:pPr>
        <w:spacing w:after="0" w:line="196" w:lineRule="exact"/>
        <w:rPr>
          <w:sz w:val="20"/>
          <w:szCs w:val="20"/>
          <w:color w:val="auto"/>
        </w:rPr>
      </w:pPr>
    </w:p>
    <w:p>
      <w:pPr>
        <w:ind w:right="2359"/>
        <w:spacing w:after="0" w:line="259" w:lineRule="auto"/>
        <w:rPr>
          <w:sz w:val="20"/>
          <w:szCs w:val="20"/>
          <w:color w:val="auto"/>
        </w:rPr>
      </w:pPr>
      <w:r>
        <w:rPr>
          <w:rFonts w:ascii="Courier New" w:cs="Courier New" w:eastAsia="Courier New" w:hAnsi="Courier New"/>
          <w:sz w:val="16"/>
          <w:szCs w:val="16"/>
          <w:color w:val="auto"/>
        </w:rPr>
        <w:t>rates that fluctuate as general interest rates change. As a result, an increase in interest rates could adversely impact the Company's future earnings.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PROFITABILITY MAY BE AFFECTED BY COMPETITION</w:t>
      </w:r>
    </w:p>
    <w:p>
      <w:pPr>
        <w:spacing w:after="0" w:line="19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ADVERSE EFFECT OF GOVERNMENT REGULATIONS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 impose fines on the Company, (ii) revoke or deny renewal of the Company's operating permits or licenses for violations of environmental laws or regulations, or (iii) require remediation of environmental problems at its sites or nearby properties, or resulting from transportation or predecessors' transportation and collection operations, all of which could have a material adverse effect on the Company. Liability may also arise from actions brought by individuals or community groups in connection with the permitting or licensing of its operations, any alleged violations of such permits and licenses, or other matters.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POTENTIAL ENVIRONMENTAL LIABILITY</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 is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w:t>
      </w:r>
    </w:p>
    <w:p>
      <w:pPr>
        <w:spacing w:after="0" w:line="1"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Liability may also arise from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ELIGIBLE FOR FUTURE SALE MAY ADVERSELY AFFECT MARKET PRICE STOCK</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Sales of substantial amounts of Common Stock in the public market could adversely affect the market price of such stock. The Company recently filed a shelf registration statement for the benefit of certain stockholders relating to 4 million shares of the Company's Common Stock. In connection with the Sanifill Merger, the Company entered into an agreement with these stockholders that provides that if the number of shares of Common Stock so registered falls below 2 million shares, such stockholders shall be entitled at their request to have the Company register additional shares of Common Stock; provided that at no time shall more than 4 million shares of Common Stock be registered. All of the initial 4 million shares of Common Stock remain available to be sold pursuant to such registration statement. Such shares are immediately saleable in the open market. In addition, the Company has a shelf registration statement covering approximately 2.5 million shares of Common Stock that may be used for acquisitions. In the event that the market price of Common Stock were adversely affected by such sales, the Company's access to equity capital markets could be adversely affected, and issuances of stock by the Company in connection with acquisitions, or otherwise, could dilute earnings per share.</w:t>
      </w:r>
    </w:p>
    <w:p>
      <w:pPr>
        <w:spacing w:after="0" w:line="200" w:lineRule="exact"/>
        <w:rPr>
          <w:sz w:val="20"/>
          <w:szCs w:val="20"/>
          <w:color w:val="auto"/>
        </w:rPr>
      </w:pPr>
    </w:p>
    <w:p>
      <w:pPr>
        <w:spacing w:after="0" w:line="37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1"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9</w:t>
      </w:r>
    </w:p>
    <w:p>
      <w:pPr>
        <w:spacing w:after="0" w:line="381"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USE OF PROCEEDS</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This Prospectus relates to shares of Common Stock of the Company that may be offered and issued by the Company from time to time in connection with the acquisition of other businesses and properties and interests therein, and upon exercise or conversion of, warrants, options, convertible debentures, or other similar instruments issued by the Company from time to time in connection with any such acquisition. Other than the businesses or properties acquired, there usually will be no proceeds to the Company from these offerings. However, in situations where the Company issues warrants or options to purchase Common Stock in connection with an acquisition, any proceeds received by the Company upon the exercise of such warrants or options will be used for general corporate purposes. When this Prospectus is used by a Selling Shareholder in a public reoffering or resale of Common Stock acquired pursuant to this Prospectus, the Company will not receive any proceeds from such sale by the Selling Shareholder.</w:t>
      </w:r>
    </w:p>
    <w:p>
      <w:pPr>
        <w:spacing w:after="0" w:line="200" w:lineRule="exact"/>
        <w:rPr>
          <w:sz w:val="20"/>
          <w:szCs w:val="20"/>
          <w:color w:val="auto"/>
        </w:rPr>
      </w:pPr>
    </w:p>
    <w:p>
      <w:pPr>
        <w:spacing w:after="0" w:line="38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1"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372"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DESCRIPTION OF CAPITAL STOCK</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The Company is authorized to issue 300,000,000 shares of Common Stock, par value $0.010 per share, of which 134,290,000 shares were outstanding at August 31, 1996. The Company is also authorized to issue 10,000,000 shares of Preferred Stock, $.01 par value (the ``Preferred Stock''), none of which are outstanding.</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Each holder of Common Stock is entitled to one vote per share held of record on each matter submitted to shareholders. Cumulative voting for the election of directors is not permitted, and the holders of a majority of shares voting for the election of directors can elect all members of the Board of Directors.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Subject to the rights of any holders of Preferred Stock, holders of record of shares of Common Stock are entitled to receive ratably dividends when and if declared by the Board of Directors out of funds of the Company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200" w:lineRule="exact"/>
        <w:rPr>
          <w:sz w:val="20"/>
          <w:szCs w:val="20"/>
          <w:color w:val="auto"/>
        </w:rPr>
      </w:pPr>
    </w:p>
    <w:p>
      <w:pPr>
        <w:ind w:right="2859" w:firstLine="497"/>
        <w:spacing w:after="0" w:line="236" w:lineRule="auto"/>
        <w:rPr>
          <w:sz w:val="20"/>
          <w:szCs w:val="20"/>
          <w:color w:val="auto"/>
        </w:rPr>
      </w:pPr>
      <w:r>
        <w:rPr>
          <w:rFonts w:ascii="Courier New" w:cs="Courier New" w:eastAsia="Courier New" w:hAnsi="Courier New"/>
          <w:sz w:val="17"/>
          <w:szCs w:val="17"/>
          <w:color w:val="auto"/>
        </w:rPr>
        <w:t>Holders of Common Stock have no conversion, redemption, or preemptive rights. All outstanding shares of Common Stock are, and the Shares offered hereby will be, upon issuance and sale, validly issued, fully paid, and nonassessable.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Board of Directors is authorized, without further approval of the shareholders,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the Company, without shareholder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AUTHORIZED BUT UNISSUED SHARES</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Authorized but unissued shares of Common Stock or Preferred Stock can be reserved for issuance by the Board of Directors from time to time without further shareholder action for proper corporate purposes, including stock dividends or stock splits, raising equity capital, and structuring future corporate transactions, including acquisitions.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196"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The transfer agent and registrar for the Common Stock is Boston Equiserv, Boston, Massachusetts.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LIMITATION OF LIABILITY AND INDEMNIFICATION OF OFFICERS AND DIRECTORS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Certificate of Incorporation of the Company provides that the directors of the Company shall not be liable to the Company or its shareholders for monetary damages for breach of fiduciary duty as a director to the fullest extent permitted by the Delaware General Corporation Law (the "DGCL"). The foregoing limitation does not eliminate or limit the liability of a director for any breach of a director's duty of loyalty to the Company or its shareholders, for acts or omissions not in good faith or which involved intentional misconduct or a knowing violation of law, for any transaction from which the director derived an improper personal benefit, or for approval of the unlawful payment of a dividend or an unlawful stock purchase or redemption. The Certificate of Incorporation of the Company also provides that the Company shall indemnify, and advance litigation expenses to, its officers, directors, employees, and agents to the fullest extent permitted by the DGCL and all other laws of the State of Delaware.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1" w:right="1440" w:bottom="289"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11</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DGCL provides that the Company has the power to indemnify any person who is sued or threatened to be made a named party in a proceeding, other than an action by or in the right of the Company, because such person is or was a director, officer, employee, or agent of the Company or is or was serving at the request of the Company as a director, officer, employee, or agent of another corporation, partnership, joint venture, trust, or other enterprise, against expenses actually and reasonably incurred by him in connection with such proceeding. In order to be indemnified, the person must have (1) acted in good faith; (2) acted in a manner he reasonably believed to be in or not opposed to the best interests of the Company; and (3) with respect to any criminal action or proceeding, had no reasonable cause to believe his conduct was unlawful. The indemnification includes attorneys' fees, judgments, fines, and amounts paid in settlement.</w:t>
      </w:r>
    </w:p>
    <w:p>
      <w:pPr>
        <w:spacing w:after="0" w:line="205"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DGCL also provides that the Company may indemnify any person who is sued or threatened to be made a named party in a proceeding by or in the right of the Company to procure a judgment in its favor because such person is or was a director, officer, employee, or agent of the Company, or is or was serving at the request of the Company as a director, officer, employee, or agent of another corporation, partnership, joint venture, trust, or other enterprise. In order to be indemnified, the person must have conducted himself in good faith and in a manner he reasonably believed to be in or not opposed to the best interests of the Company. No indemnification may be made, however, with respect to any claim, issue, or matter as to which such person shall have been judged to be liable to the Company unless and only to the extent that the court in which such action or suit was brought shall determine upon application that, despite the adjudication of liability but in view of all the circumstances of the case, such person is fairly and reasonably entitled to indemnification for such expenses which the court shall deem proper.</w:t>
      </w:r>
    </w:p>
    <w:p>
      <w:pPr>
        <w:spacing w:after="0" w:line="194"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Indemnification by the Company is subject to a determination that the director, officer, employee, or agent has met the applicable standard of conduct. The determination must be made (1) by a majority vote of a quorum of the Board of Directors, consisting only of directors who were not parties to such action, suit or proceeding; (2) if such a quorum cannot be obtained, or even if obtainable, if a quorum of disinterested directors so directs, by independent legal counsel in a written opinion; or (3) by the shareholders of the Company.</w:t>
      </w:r>
    </w:p>
    <w:p>
      <w:pPr>
        <w:spacing w:after="0" w:line="200"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Company has entered into an Indemnification Agreement with each of its directors and executive officers (the "Indemnitees") pursuant to which the Company has agreed to indemnify and hold each of the Indemnitees harmless from and against all expenses, including reasonable fees and expenses of counsel, and all liabilities, including the amounts of any judgments, fines, penalties, excise taxes, and amounts paid in settlement actually incurred by an Indemnitee in connection with any threatened, pending or completed claim, action (including any action by or in the right of the Company), suit, or proceeding (whether formal or informal, or civil, criminal, administrative, legislative, arbitrative, or investigative) in respect of which the Indemnitee is, was, or at any time becomes, or is threatened to be made, a party, witness, subject, or target, by reason of the fact that the Indemnitee is or was an authorized representative of the Company; provided, however, no indemnity shall be paid on account of the Indemnitee's conduct that is finally adjudged to constitute willful misconduct or to have been knowingly fraudulent, deliberately dishonest, or from which the Indemnitee derives an improper personal benefit.</w:t>
      </w:r>
    </w:p>
    <w:p>
      <w:pPr>
        <w:spacing w:after="0" w:line="1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 maintains an officers and directors liability insurance policy insuring officers and directors of the Company and its subsidiaries against certain liabilities, including liabilities under the Securities Act. The effect of such policy is to indemnify the officers and directors of the Company against losses incurred by them while acting in such capacities.</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Insofar as indemnification for liabilities arising under the Securities Act may be permitted to directors, officers, or person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spacing w:after="0" w:line="200" w:lineRule="exact"/>
        <w:rPr>
          <w:sz w:val="20"/>
          <w:szCs w:val="20"/>
          <w:color w:val="auto"/>
        </w:rPr>
      </w:pPr>
    </w:p>
    <w:p>
      <w:pPr>
        <w:spacing w:after="0" w:line="37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1"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12</w:t>
      </w:r>
    </w:p>
    <w:p>
      <w:pPr>
        <w:spacing w:after="0" w:line="38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PRICE RANGE OF COMMON STOCK AND DIVIDENDS</w:t>
      </w:r>
    </w:p>
    <w:p>
      <w:pPr>
        <w:spacing w:after="0" w:line="196" w:lineRule="exact"/>
        <w:rPr>
          <w:sz w:val="20"/>
          <w:szCs w:val="20"/>
          <w:color w:val="auto"/>
        </w:rPr>
      </w:pPr>
    </w:p>
    <w:p>
      <w:pPr>
        <w:ind w:right="2659" w:firstLine="497"/>
        <w:spacing w:after="0" w:line="256" w:lineRule="auto"/>
        <w:rPr>
          <w:sz w:val="20"/>
          <w:szCs w:val="20"/>
          <w:color w:val="auto"/>
        </w:rPr>
      </w:pPr>
      <w:r>
        <w:rPr>
          <w:rFonts w:ascii="Courier New" w:cs="Courier New" w:eastAsia="Courier New" w:hAnsi="Courier New"/>
          <w:sz w:val="16"/>
          <w:szCs w:val="16"/>
          <w:color w:val="auto"/>
        </w:rPr>
        <w:t>The Common Stock is traded on the NYSE under the symbol "UW." The following table sets forth the high and low per share closing prices for the Common Stock for the calendar quarters indicated as reported on the NYSE.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278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HIGH</w:t>
            </w:r>
          </w:p>
        </w:tc>
        <w:tc>
          <w:tcPr>
            <w:tcW w:w="10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LOW</w:t>
            </w:r>
          </w:p>
        </w:tc>
      </w:tr>
      <w:tr>
        <w:trPr>
          <w:trHeight w:val="191"/>
        </w:trPr>
        <w:tc>
          <w:tcPr>
            <w:tcW w:w="3740" w:type="dxa"/>
            <w:vAlign w:val="bottom"/>
          </w:tcPr>
          <w:p>
            <w:pPr>
              <w:spacing w:after="0"/>
              <w:rPr>
                <w:sz w:val="16"/>
                <w:szCs w:val="16"/>
                <w:color w:val="auto"/>
              </w:rPr>
            </w:pPr>
          </w:p>
        </w:tc>
        <w:tc>
          <w:tcPr>
            <w:tcW w:w="278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First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$15.00</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$11.38</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Second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13.38</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10.38</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Third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15.13</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11.50</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Fourth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15.13</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11.00</w:t>
            </w:r>
          </w:p>
        </w:tc>
      </w:tr>
      <w:tr>
        <w:trPr>
          <w:trHeight w:val="382"/>
        </w:trPr>
        <w:tc>
          <w:tcPr>
            <w:tcW w:w="374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First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$12.38</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Second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16.63</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11.50</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Third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21.88</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14.75</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Fourth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22.50</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17.00</w:t>
            </w:r>
          </w:p>
        </w:tc>
      </w:tr>
      <w:tr>
        <w:trPr>
          <w:trHeight w:val="3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1996</w:t>
            </w: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First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$25.63</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$17.25</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Second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32.50</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24.00</w:t>
            </w:r>
          </w:p>
        </w:tc>
      </w:tr>
      <w:tr>
        <w:trPr>
          <w:trHeight w:val="191"/>
        </w:trPr>
        <w:tc>
          <w:tcPr>
            <w:tcW w:w="37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Third Quarter</w:t>
            </w:r>
          </w:p>
        </w:tc>
        <w:tc>
          <w:tcPr>
            <w:tcW w:w="278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34.00</w:t>
            </w:r>
          </w:p>
        </w:tc>
        <w:tc>
          <w:tcPr>
            <w:tcW w:w="10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23.00</w:t>
            </w:r>
          </w:p>
        </w:tc>
      </w:tr>
    </w:tbl>
    <w:p>
      <w:pPr>
        <w:spacing w:after="0" w:line="200" w:lineRule="exact"/>
        <w:rPr>
          <w:sz w:val="20"/>
          <w:szCs w:val="20"/>
          <w:color w:val="auto"/>
        </w:rPr>
      </w:pPr>
    </w:p>
    <w:p>
      <w:pPr>
        <w:spacing w:after="0" w:line="379" w:lineRule="exact"/>
        <w:rPr>
          <w:sz w:val="20"/>
          <w:szCs w:val="20"/>
          <w:color w:val="auto"/>
        </w:rPr>
      </w:pPr>
    </w:p>
    <w:p>
      <w:pPr>
        <w:jc w:val="both"/>
        <w:ind w:right="2659" w:firstLine="497"/>
        <w:spacing w:after="0" w:line="235" w:lineRule="auto"/>
        <w:rPr>
          <w:sz w:val="20"/>
          <w:szCs w:val="20"/>
          <w:color w:val="auto"/>
        </w:rPr>
      </w:pPr>
      <w:r>
        <w:rPr>
          <w:rFonts w:ascii="Courier New" w:cs="Courier New" w:eastAsia="Courier New" w:hAnsi="Courier New"/>
          <w:sz w:val="17"/>
          <w:szCs w:val="17"/>
          <w:color w:val="auto"/>
        </w:rPr>
        <w:t>According to the Company's transfer agent, on July 18, 1996, there were 3,789 holders of record of the Company's Common Stock.</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Company has never paid cash dividends on its Common Stock. Envirofil Inc. paid stock dividends on its preferred stock prior to its acquisition by the Company, the holders of such preferred stock received Common Stock in that acquisition, and no dividends have been paid by the Company. In addition, Chambers Development Company, Inc. paid dividends on its Class A common stock in November 1990; the holders of Chambers' Class A common stock received Common Stock in the merger with the Company, and no dividends have been paid by the Company. The Board of Directors of the Company presently intends to retain any earnings in the foreseeable future for the Company's business. In addition, payment of dividends on the Common Stock is restricted by the terms of the Company's bank credit agreement.</w:t>
      </w:r>
    </w:p>
    <w:p>
      <w:pPr>
        <w:spacing w:after="0" w:line="388"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MANNER OF OFFERING BY SELLING SHAREHOLDERS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This Prospectus, as appropriately amended or supplemented, may, with the consent of the Company, be used from time to time by a Selling Shareholder, or its transferees, to offer and sell the Shares in transactions in which the Selling Shareholder and any broker-dealer through whom any of the Shares are sold may be deemed to be underwriters within the meaning of the Securities Act. The Company will receive none of the proceeds from any such sales. There presently are no arrangements or understandings, formal or informal, pertaining to the distribution of the Shares.</w:t>
      </w:r>
    </w:p>
    <w:p>
      <w:pPr>
        <w:spacing w:after="0" w:line="200"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Agreements with Selling Shareholders permitting use of this Prospectus may provide that any such offering be effected in an orderly manner through securities dealers, acting as broker or dealer, selected by the Company; that Selling Shareholders enter into custody agreements with one or more banks with respect to such shares; and that sales be made only by one or more of the methods described in this Prospectus, as appropriately supplemented or amended when required.</w:t>
      </w:r>
    </w:p>
    <w:p>
      <w:pPr>
        <w:spacing w:after="0" w:line="199" w:lineRule="exact"/>
        <w:rPr>
          <w:sz w:val="20"/>
          <w:szCs w:val="20"/>
          <w:color w:val="auto"/>
        </w:rPr>
      </w:pPr>
    </w:p>
    <w:p>
      <w:pPr>
        <w:ind w:right="2459" w:firstLine="497"/>
        <w:spacing w:after="0" w:line="253" w:lineRule="auto"/>
        <w:rPr>
          <w:sz w:val="20"/>
          <w:szCs w:val="20"/>
          <w:color w:val="auto"/>
        </w:rPr>
      </w:pPr>
      <w:r>
        <w:rPr>
          <w:rFonts w:ascii="Courier New" w:cs="Courier New" w:eastAsia="Courier New" w:hAnsi="Courier New"/>
          <w:sz w:val="16"/>
          <w:szCs w:val="16"/>
          <w:color w:val="auto"/>
        </w:rPr>
        <w:t>The Company anticipates that resales of the Shares by a Selling Shareholder may be effected from time to time on the open market in ordinary brokerage transactions on the NYSE, or such other security exchange on which the Common Stock may be listed, in the over-the-counter market, or in private transactions (which may involve crosses and block transactions). The Shares will be offered for sale at market prices prevailing at the time of sale or at negotiated prices and on terms to be determined when the agreement to sell is made or at the time of sale, as the case may be. The Shares may be offered directly, through agents designated from time to time, or through brokers or dealers. A member firm of the NYSE may be engaged to act as the</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1" w:right="1440" w:bottom="289"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13</w:t>
      </w:r>
    </w:p>
    <w:p>
      <w:pPr>
        <w:spacing w:after="0" w:line="388"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Selling Shareholder's agent in the sale of the Shares by the Selling Shareholder and/or may acquire Shares as principal. Broker-dealers participating in such transactions as agent may receive commissions from the Selling Shareholder (and, if they act as agent for the purchaser of such Shares, from such purchaser), such commissions computed in appropriate cases in accordance with the applicable rules of the NYSE, which commissions may be at negotiated rates where permissible.</w:t>
      </w:r>
    </w:p>
    <w:p>
      <w:pPr>
        <w:spacing w:after="0" w:line="199"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Participating broker-dealers may agree with the Selling Shareholder to sell a specified number of shares at a stipulated price per share and, to the extent such broker-dealer is unable to do so acting as agent for the Selling Shareholder to purchase as principal any unsold shares at the price required to fulfill the broker-dealer's commitment to the Selling Shareholder. In addition or alternatively, shares may be sold by the Selling Shareholder, and/or by or through other broker-dealers in special offerings, exchange distributions, or secondary distributions pursuant to and in compliance with the governing rules of the NYSE, and in connection therewith commissions in excess of the customary commission prescribed by the rules of the NYSE may be paid to participating broker-dealers, or, in the case of certain secondary distributions, a discount or concession from the offering price may be allowed to participating broker-dealers in excess of such customary commission. Broker-dealers who acquire shares as principal may thereafter resell such Shares from time to time in transactions (which may involve cross and block transactions and which may involve sales to and through other broker-dealers, including transactions of the nature described in the preceding two sentences) on the NYSE or such other security exchange on which the Common Stock may be listed, in negotiated transactions, or otherwise, at market prices prevailing at the time of sale or at negotiated prices, and in connection with such resales may pay to or receive commissions from the purchasers of such shares.</w:t>
      </w:r>
    </w:p>
    <w:p>
      <w:pPr>
        <w:spacing w:after="0" w:line="195"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Upon the Company's being notified by the Selling Shareholder that a particular offer to sell the Shares is made, a material arrangement has been entered into with a broker-dealer for the sale of shares through a block trade, special offering, exchange distribution, or secondary distribution, or any block trade has taken place, to the extent required, a supplement to this Prospectus will be delivered together with this Prospectus and filed pursuant to Rule 424(b) under the Securities Act setting forth with respect to such offer or trade the terms of the offer or trade; including (i) the name of each Selling Shareholder, (ii) the number of Shares involved, (iii) the price at which the Shares were sold , (iv) any participating brokers, dealers, agents or member firm involved, (v) any discounts, commissions and other items paid as compensation from, and the resulting net proceeds to, the Selling Shareholder,</w:t>
      </w:r>
    </w:p>
    <w:p>
      <w:pPr>
        <w:spacing w:after="0" w:line="2" w:lineRule="exact"/>
        <w:rPr>
          <w:sz w:val="20"/>
          <w:szCs w:val="20"/>
          <w:color w:val="auto"/>
        </w:rPr>
      </w:pPr>
    </w:p>
    <w:p>
      <w:pPr>
        <w:jc w:val="both"/>
        <w:ind w:right="2559" w:firstLine="2"/>
        <w:spacing w:after="0" w:line="236" w:lineRule="auto"/>
        <w:tabs>
          <w:tab w:leader="none" w:pos="49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such broker-dealers did not conduct any investigation to verify the information set out in this Prospectus, and (vii) other facts material to the transaction.</w:t>
      </w:r>
    </w:p>
    <w:p>
      <w:pPr>
        <w:spacing w:after="0" w:line="197"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Shares may be sold directly by the Selling Shareholder or through agents designated by the Selling Shareholder from time to time. Unless otherwise indicated in the a supplement to this Prospectus, any such agent will be acting on a best efforts basis for the period of its appointment.</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Selling Shareholder and any brokers, dealers, agents, member firm or others that participate with the Selling Shareholder in the distribution of the Shares may be deemed to be "underwriters" within the meaning of the Securities Act, and any commissions or fees received by such persons and any profit on the resale of the Shares purchased by such person may be deemed to be underwriting commissions or discounts under the Securities Act.</w:t>
      </w:r>
    </w:p>
    <w:p>
      <w:pPr>
        <w:spacing w:after="0" w:line="19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Company may agree to indemnify the Selling Shareholder as an underwriter under the Securities Act against certain liabilities, including liabilities arising under the Securities Act. Agents may be entitled under agreements entered into with the Selling Shareholder to indemnification against certain civil liabilities, including liabilities under the Securities Act.</w:t>
      </w:r>
    </w:p>
    <w:p>
      <w:pPr>
        <w:spacing w:after="0" w:line="188"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Selling Shareholder will be subject to the applicable provisions of the Exchange Act, and the rules and regulations thereunder, including without limitation Rules 10b-2, 10b-6, and 10b-7, which provisions may limit the timing of purchases and sales of any of the Common Stock by the Selling Shareholder. All of the foregoing may affect the marketability of the Common Stock.</w:t>
      </w:r>
    </w:p>
    <w:p>
      <w:pPr>
        <w:spacing w:after="0" w:line="380" w:lineRule="exact"/>
        <w:rPr>
          <w:sz w:val="20"/>
          <w:szCs w:val="20"/>
          <w:color w:val="auto"/>
        </w:rPr>
      </w:pPr>
    </w:p>
    <w:p>
      <w:pPr>
        <w:ind w:right="2759" w:firstLine="497"/>
        <w:spacing w:after="0" w:line="236" w:lineRule="auto"/>
        <w:rPr>
          <w:sz w:val="20"/>
          <w:szCs w:val="20"/>
          <w:color w:val="auto"/>
        </w:rPr>
      </w:pPr>
      <w:r>
        <w:rPr>
          <w:rFonts w:ascii="Courier New" w:cs="Courier New" w:eastAsia="Courier New" w:hAnsi="Courier New"/>
          <w:sz w:val="17"/>
          <w:szCs w:val="17"/>
          <w:color w:val="auto"/>
        </w:rPr>
        <w:t>The Company will pay substantially all the expenses incident to this offering of the Common Stock by the Selling Shareholder to the public other than brokerage fees, commissions and discounts of underwriters, dealers or agents.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1" w:right="1440" w:bottom="671"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14</w:t>
      </w:r>
    </w:p>
    <w:p>
      <w:pPr>
        <w:spacing w:after="0" w:line="38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In order to comply with certain states' securities laws, if applicable, the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complied with.</w:t>
      </w:r>
    </w:p>
    <w:p>
      <w:pPr>
        <w:spacing w:after="0" w:line="382"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LEGAL MATTERS</w:t>
      </w:r>
    </w:p>
    <w:p>
      <w:pPr>
        <w:spacing w:after="0" w:line="196"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Certain legal matters in connection with the Shares have been passed upon for the Company by Snell &amp; Smith, a Professional Corporation, Houston, Texas.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EXPERTS</w:t>
      </w:r>
    </w:p>
    <w:p>
      <w:pPr>
        <w:spacing w:after="0" w:line="196"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The consolidated financial statements of the Company and subsidiaries as of December 31, 1994 and 1995, and for each of the three years in the period ended December 31, 1995, which are included in the Company's Annual Report on Form 10-K for the year ended December 31, 1995, and the supplemental consolidated balance sheets of the Company as of December 31, 1994 and 1995, and the supplemental consolidated statements of operations, stockholders' equity, and cash flows for each of the years in the three-year period ended December 31, 1995, appearing in the Company's Current Report on Form 8-K/A filed July 1, 1996 incorporated by reference in this Prospectus, have been incorporated herein in reliance on the report of Coopers &amp; Lybrand L.L.P., independent accountants, given on the authority of that firm as experts in accounting and auditing.</w:t>
      </w:r>
    </w:p>
    <w:p>
      <w:pPr>
        <w:spacing w:after="0" w:line="204"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The consolidated financial statements of Western at June 30, 1995 and 1994, and for each of the three years in the period ended June 30, 1995, included in the Company's Current Report on Form 8-K dated January 9, 1996, have been audited by Ernst &amp; Young LLP, independent auditors, as set forth in their report thereon included in Western's Annual Report (Form 10-K) and incorporated herein by reference. Such consolidated financial statements are incorporated herein by reference in reliance upon such report given upon the authority of such firm as experts in accounting and auditing.</w:t>
      </w:r>
    </w:p>
    <w:p>
      <w:pPr>
        <w:spacing w:after="0" w:line="200"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consolidated financial statements of Sanifill appearing in Sanifill's Annual Report on Form 10-K for the year ended December 31, 1995 and the financial statements of various companies acquired by Sanifill appearing in Sanifill's Current Reports on Form 8-K dated February 5, 1996, February 11, 1996 and March 20, 1996 incorporated by reference in the Registration Statement of the Company on Form S-4 and the related Prospectus have been audited by Arthur Andersen LLP, independent public accountants, as indicated in their reports with respect thereto, and are incorporated herein by reference in reliance upon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1"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15</w:t>
      </w:r>
    </w:p>
    <w:p>
      <w:pPr>
        <w:spacing w:after="0" w:line="196"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5"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2,000,000 SHARES</w:t>
      </w:r>
    </w:p>
    <w:p>
      <w:pPr>
        <w:spacing w:after="0" w:line="200" w:lineRule="exact"/>
        <w:rPr>
          <w:sz w:val="20"/>
          <w:szCs w:val="20"/>
          <w:color w:val="auto"/>
        </w:rPr>
      </w:pPr>
    </w:p>
    <w:p>
      <w:pPr>
        <w:spacing w:after="0" w:line="372" w:lineRule="exact"/>
        <w:rPr>
          <w:sz w:val="20"/>
          <w:szCs w:val="20"/>
          <w:color w:val="auto"/>
        </w:rPr>
      </w:pPr>
    </w:p>
    <w:p>
      <w:pPr>
        <w:ind w:left="5680"/>
        <w:spacing w:after="0"/>
        <w:rPr>
          <w:sz w:val="20"/>
          <w:szCs w:val="20"/>
          <w:color w:val="auto"/>
        </w:rPr>
      </w:pPr>
      <w:r>
        <w:rPr>
          <w:rFonts w:ascii="Courier New" w:cs="Courier New" w:eastAsia="Courier New" w:hAnsi="Courier New"/>
          <w:sz w:val="17"/>
          <w:szCs w:val="17"/>
          <w:color w:val="auto"/>
        </w:rPr>
        <w:t>USA WASTE</w:t>
      </w:r>
    </w:p>
    <w:p>
      <w:pPr>
        <w:ind w:left="5480"/>
        <w:spacing w:after="0" w:line="238" w:lineRule="auto"/>
        <w:rPr>
          <w:sz w:val="20"/>
          <w:szCs w:val="20"/>
          <w:color w:val="auto"/>
        </w:rPr>
      </w:pPr>
      <w:r>
        <w:rPr>
          <w:rFonts w:ascii="Courier New" w:cs="Courier New" w:eastAsia="Courier New" w:hAnsi="Courier New"/>
          <w:sz w:val="17"/>
          <w:szCs w:val="17"/>
          <w:color w:val="auto"/>
        </w:rPr>
        <w:t>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580"/>
        <w:spacing w:after="0"/>
        <w:rPr>
          <w:sz w:val="20"/>
          <w:szCs w:val="20"/>
          <w:color w:val="auto"/>
        </w:rPr>
      </w:pPr>
      <w:r>
        <w:rPr>
          <w:rFonts w:ascii="Courier New" w:cs="Courier New" w:eastAsia="Courier New" w:hAnsi="Courier New"/>
          <w:sz w:val="17"/>
          <w:szCs w:val="17"/>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680"/>
        <w:spacing w:after="0"/>
        <w:rPr>
          <w:sz w:val="20"/>
          <w:szCs w:val="20"/>
          <w:color w:val="auto"/>
        </w:rPr>
      </w:pPr>
      <w:r>
        <w:rPr>
          <w:rFonts w:ascii="Courier New" w:cs="Courier New" w:eastAsia="Courier New" w:hAnsi="Courier New"/>
          <w:sz w:val="17"/>
          <w:szCs w:val="17"/>
          <w:color w:val="auto"/>
        </w:rPr>
        <w:t>----------</w:t>
      </w:r>
    </w:p>
    <w:p>
      <w:pPr>
        <w:ind w:left="5680"/>
        <w:spacing w:after="0" w:line="238" w:lineRule="auto"/>
        <w:rPr>
          <w:sz w:val="20"/>
          <w:szCs w:val="20"/>
          <w:color w:val="auto"/>
        </w:rPr>
      </w:pPr>
      <w:r>
        <w:rPr>
          <w:rFonts w:ascii="Courier New" w:cs="Courier New" w:eastAsia="Courier New" w:hAnsi="Courier New"/>
          <w:sz w:val="17"/>
          <w:szCs w:val="17"/>
          <w:color w:val="auto"/>
        </w:rPr>
        <w:t>PROSPECTUS</w:t>
      </w:r>
    </w:p>
    <w:p>
      <w:pPr>
        <w:ind w:left="5680"/>
        <w:spacing w:after="0" w:line="238" w:lineRule="auto"/>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380"/>
        <w:spacing w:after="0"/>
        <w:rPr>
          <w:sz w:val="20"/>
          <w:szCs w:val="20"/>
          <w:color w:val="auto"/>
        </w:rPr>
      </w:pPr>
      <w:r>
        <w:rPr>
          <w:rFonts w:ascii="Courier New" w:cs="Courier New" w:eastAsia="Courier New" w:hAnsi="Courier New"/>
          <w:sz w:val="17"/>
          <w:szCs w:val="17"/>
          <w:color w:val="auto"/>
        </w:rPr>
        <w:t>OCTOBER __, 1996</w:t>
      </w:r>
    </w:p>
    <w:p>
      <w:pPr>
        <w:spacing w:after="0" w:line="200" w:lineRule="exact"/>
        <w:rPr>
          <w:sz w:val="20"/>
          <w:szCs w:val="20"/>
          <w:color w:val="auto"/>
        </w:rPr>
      </w:pPr>
    </w:p>
    <w:p>
      <w:pPr>
        <w:spacing w:after="0" w:line="379" w:lineRule="exact"/>
        <w:rPr>
          <w:sz w:val="20"/>
          <w:szCs w:val="20"/>
          <w:color w:val="auto"/>
        </w:rPr>
      </w:pPr>
    </w:p>
    <w:p>
      <w:pPr>
        <w:spacing w:after="0"/>
        <w:tabs>
          <w:tab w:leader="none" w:pos="4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01"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16</w:t>
      </w:r>
    </w:p>
    <w:p>
      <w:pPr>
        <w:spacing w:after="0" w:line="38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7"/>
          <w:szCs w:val="17"/>
          <w:color w:val="auto"/>
        </w:rPr>
        <w:t>PART II</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381"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7"/>
          <w:szCs w:val="17"/>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3"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The Restated Certificate of Incorporation of the registrant includes the following provisions:</w:t>
      </w:r>
    </w:p>
    <w:p>
      <w:pPr>
        <w:spacing w:after="0" w:line="197" w:lineRule="exact"/>
        <w:rPr>
          <w:sz w:val="20"/>
          <w:szCs w:val="20"/>
          <w:color w:val="auto"/>
        </w:rPr>
      </w:pPr>
    </w:p>
    <w:p>
      <w:pPr>
        <w:ind w:left="300" w:right="2959" w:firstLine="497"/>
        <w:spacing w:after="0" w:line="253" w:lineRule="auto"/>
        <w:rPr>
          <w:sz w:val="20"/>
          <w:szCs w:val="20"/>
          <w:color w:val="auto"/>
        </w:rPr>
      </w:pPr>
      <w:r>
        <w:rPr>
          <w:rFonts w:ascii="Courier New" w:cs="Courier New" w:eastAsia="Courier New" w:hAnsi="Courier New"/>
          <w:sz w:val="16"/>
          <w:szCs w:val="16"/>
          <w:color w:val="auto"/>
        </w:rPr>
        <w:t>Seventh: No director of the Corporation shall not be personally liable to the Corporation or its stockholders for monetary damages for breach of fiduciary duty as a director, provided that this provision shall not eliminate or limit the liability of a director for liability</w:t>
      </w:r>
    </w:p>
    <w:p>
      <w:pPr>
        <w:spacing w:after="0" w:line="1" w:lineRule="exact"/>
        <w:rPr>
          <w:sz w:val="20"/>
          <w:szCs w:val="20"/>
          <w:color w:val="auto"/>
        </w:rPr>
      </w:pPr>
    </w:p>
    <w:p>
      <w:pPr>
        <w:ind w:left="300" w:right="2859"/>
        <w:spacing w:after="0" w:line="253" w:lineRule="auto"/>
        <w:tabs>
          <w:tab w:leader="none" w:pos="69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breach of the director's duty of loyalty to the Corporation or its stockholders, (ii) for acts or omissions not in good faith or which involve intentional misconduct or a knowing violation of law,</w:t>
      </w:r>
    </w:p>
    <w:p>
      <w:pPr>
        <w:ind w:left="900" w:hanging="600"/>
        <w:spacing w:after="0" w:line="238" w:lineRule="auto"/>
        <w:tabs>
          <w:tab w:leader="none" w:pos="9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Section 174 of the General Corporation Law of Delaware or</w:t>
      </w:r>
    </w:p>
    <w:p>
      <w:pPr>
        <w:spacing w:after="0" w:line="5" w:lineRule="exact"/>
        <w:rPr>
          <w:rFonts w:ascii="Courier New" w:cs="Courier New" w:eastAsia="Courier New" w:hAnsi="Courier New"/>
          <w:sz w:val="17"/>
          <w:szCs w:val="17"/>
          <w:color w:val="auto"/>
        </w:rPr>
      </w:pPr>
    </w:p>
    <w:p>
      <w:pPr>
        <w:ind w:left="300" w:right="2759"/>
        <w:spacing w:after="0" w:line="253" w:lineRule="auto"/>
        <w:tabs>
          <w:tab w:leader="none" w:pos="79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38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Section 145 of the Delaware General Corporation Law provides as follows:</w:t>
      </w:r>
    </w:p>
    <w:p>
      <w:pPr>
        <w:spacing w:after="0" w:line="388" w:lineRule="exact"/>
        <w:rPr>
          <w:sz w:val="20"/>
          <w:szCs w:val="20"/>
          <w:color w:val="auto"/>
        </w:rPr>
      </w:pPr>
    </w:p>
    <w:p>
      <w:pPr>
        <w:ind w:right="2359" w:firstLine="499"/>
        <w:spacing w:after="0" w:line="237" w:lineRule="auto"/>
        <w:tabs>
          <w:tab w:leader="none" w:pos="109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w:t>
      </w:r>
    </w:p>
    <w:p>
      <w:pPr>
        <w:spacing w:after="0" w:line="200" w:lineRule="exact"/>
        <w:rPr>
          <w:sz w:val="20"/>
          <w:szCs w:val="20"/>
          <w:color w:val="auto"/>
        </w:rPr>
      </w:pPr>
    </w:p>
    <w:p>
      <w:pPr>
        <w:spacing w:after="0" w:line="379"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01" w:right="1440" w:bottom="1054"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17</w:t>
      </w:r>
    </w:p>
    <w:p>
      <w:pPr>
        <w:spacing w:after="0" w:line="38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2" w:lineRule="exact"/>
        <w:rPr>
          <w:sz w:val="20"/>
          <w:szCs w:val="20"/>
          <w:color w:val="auto"/>
        </w:rPr>
      </w:pPr>
    </w:p>
    <w:p>
      <w:pPr>
        <w:ind w:right="2359" w:firstLine="499"/>
        <w:spacing w:after="0" w:line="237" w:lineRule="auto"/>
        <w:tabs>
          <w:tab w:leader="none" w:pos="895"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10" w:lineRule="exact"/>
        <w:rPr>
          <w:rFonts w:ascii="Courier New" w:cs="Courier New" w:eastAsia="Courier New" w:hAnsi="Courier New"/>
          <w:sz w:val="17"/>
          <w:szCs w:val="17"/>
          <w:color w:val="auto"/>
        </w:rPr>
      </w:pPr>
    </w:p>
    <w:p>
      <w:pPr>
        <w:ind w:right="2659" w:firstLine="499"/>
        <w:spacing w:after="0" w:line="237" w:lineRule="auto"/>
        <w:tabs>
          <w:tab w:leader="none" w:pos="895"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97" w:lineRule="exact"/>
        <w:rPr>
          <w:rFonts w:ascii="Courier New" w:cs="Courier New" w:eastAsia="Courier New" w:hAnsi="Courier New"/>
          <w:sz w:val="17"/>
          <w:szCs w:val="17"/>
          <w:color w:val="auto"/>
        </w:rPr>
      </w:pPr>
    </w:p>
    <w:p>
      <w:pPr>
        <w:ind w:right="2359" w:firstLine="499"/>
        <w:spacing w:after="0" w:line="253" w:lineRule="auto"/>
        <w:tabs>
          <w:tab w:leader="none" w:pos="895"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w:t>
      </w:r>
    </w:p>
    <w:p>
      <w:pPr>
        <w:ind w:right="2359" w:firstLine="2"/>
        <w:spacing w:after="0" w:line="237" w:lineRule="auto"/>
        <w:tabs>
          <w:tab w:leader="none" w:pos="3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96"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fees)incurred by other employees and agents may be so paid upon such terms and conditions, if any, as the board of directors deems appropriate.</w:t>
      </w:r>
    </w:p>
    <w:p>
      <w:pPr>
        <w:spacing w:after="0" w:line="202"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98" w:lineRule="exact"/>
        <w:rPr>
          <w:rFonts w:ascii="Courier New" w:cs="Courier New" w:eastAsia="Courier New" w:hAnsi="Courier New"/>
          <w:sz w:val="17"/>
          <w:szCs w:val="17"/>
          <w:color w:val="auto"/>
        </w:rPr>
      </w:pPr>
    </w:p>
    <w:p>
      <w:pPr>
        <w:ind w:right="2459" w:firstLine="499"/>
        <w:spacing w:after="0" w:line="255" w:lineRule="auto"/>
        <w:tabs>
          <w:tab w:leader="none" w:pos="895"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w:t>
      </w:r>
    </w:p>
    <w:p>
      <w:pPr>
        <w:spacing w:after="0" w:line="200" w:lineRule="exact"/>
        <w:rPr>
          <w:sz w:val="20"/>
          <w:szCs w:val="20"/>
          <w:color w:val="auto"/>
        </w:rPr>
      </w:pP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01" w:right="1440" w:bottom="1054"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379"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pacing w:after="0" w:line="199" w:lineRule="exact"/>
        <w:rPr>
          <w:sz w:val="20"/>
          <w:szCs w:val="20"/>
          <w:color w:val="auto"/>
        </w:rPr>
      </w:pPr>
    </w:p>
    <w:p>
      <w:pPr>
        <w:ind w:right="2359" w:firstLine="499"/>
        <w:spacing w:after="0" w:line="253" w:lineRule="auto"/>
        <w:tabs>
          <w:tab w:leader="none" w:pos="89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3" w:lineRule="exact"/>
        <w:rPr>
          <w:rFonts w:ascii="Courier New" w:cs="Courier New" w:eastAsia="Courier New" w:hAnsi="Courier New"/>
          <w:sz w:val="16"/>
          <w:szCs w:val="16"/>
          <w:color w:val="auto"/>
        </w:rPr>
      </w:pPr>
    </w:p>
    <w:p>
      <w:pPr>
        <w:ind w:right="2359" w:firstLine="499"/>
        <w:spacing w:after="0" w:line="237" w:lineRule="auto"/>
        <w:tabs>
          <w:tab w:leader="none" w:pos="89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204"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6" w:lineRule="exact"/>
        <w:rPr>
          <w:rFonts w:ascii="Courier New" w:cs="Courier New" w:eastAsia="Courier New" w:hAnsi="Courier New"/>
          <w:sz w:val="17"/>
          <w:szCs w:val="17"/>
          <w:color w:val="auto"/>
        </w:rPr>
      </w:pPr>
    </w:p>
    <w:p>
      <w:pPr>
        <w:ind w:right="2459" w:firstLine="499"/>
        <w:spacing w:after="0" w:line="237" w:lineRule="auto"/>
        <w:tabs>
          <w:tab w:leader="none" w:pos="89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98"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The Restated Certificate of Incorporation of the Registrant includes the following provision:</w:t>
      </w:r>
    </w:p>
    <w:p>
      <w:pPr>
        <w:spacing w:after="0" w:line="197" w:lineRule="exact"/>
        <w:rPr>
          <w:sz w:val="20"/>
          <w:szCs w:val="20"/>
          <w:color w:val="auto"/>
        </w:rPr>
      </w:pPr>
    </w:p>
    <w:p>
      <w:pPr>
        <w:ind w:left="300" w:right="2359" w:firstLine="497"/>
        <w:spacing w:after="0" w:line="238" w:lineRule="auto"/>
        <w:rPr>
          <w:sz w:val="20"/>
          <w:szCs w:val="20"/>
          <w:color w:val="auto"/>
        </w:rPr>
      </w:pPr>
      <w:r>
        <w:rPr>
          <w:rFonts w:ascii="Courier New" w:cs="Courier New" w:eastAsia="Courier New" w:hAnsi="Courier New"/>
          <w:sz w:val="17"/>
          <w:szCs w:val="17"/>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01"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spacing w:after="0" w:line="379"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97"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21. EXHIBITS AND FINANCIAL STATEMENT SCHEDULES.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16"/>
                <w:szCs w:val="16"/>
                <w:color w:val="auto"/>
              </w:rPr>
            </w:pPr>
          </w:p>
        </w:tc>
        <w:tc>
          <w:tcPr>
            <w:tcW w:w="9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Restated Certificate of Incorporation [Incorporated by</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3.1 to the Post-Effective Amendment</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 1 to the Registrant's Registration Statement on Form</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S-4 (File No. 33-60103)].</w:t>
            </w:r>
          </w:p>
        </w:tc>
      </w:tr>
      <w:tr>
        <w:trPr>
          <w:trHeight w:val="383"/>
        </w:trPr>
        <w:tc>
          <w:tcPr>
            <w:tcW w:w="2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3.1(a)</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Amendment to Registrant's Restated Certificate of</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Incorporation [Incorporated by reference to Exhibit 3.1(a) to</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the Registrant's Quarterly Report on Form 10-Q for the three</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months ended March 31, 1996].</w:t>
            </w:r>
          </w:p>
        </w:tc>
      </w:tr>
      <w:tr>
        <w:trPr>
          <w:trHeight w:val="383"/>
        </w:trPr>
        <w:tc>
          <w:tcPr>
            <w:tcW w:w="260" w:type="dxa"/>
            <w:vAlign w:val="bottom"/>
          </w:tcPr>
          <w:p>
            <w:pPr>
              <w:spacing w:after="0"/>
              <w:rPr>
                <w:sz w:val="24"/>
                <w:szCs w:val="24"/>
                <w:color w:val="auto"/>
              </w:rPr>
            </w:pPr>
          </w:p>
        </w:tc>
        <w:tc>
          <w:tcPr>
            <w:tcW w:w="9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3.1(b)</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Conformed Copy of Registrant's Restated Certificate of</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Incorporation [Incorporated by reference to Exhibit 3.1(b) to</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the Registrant's Quarterly Report on Form 10-Q for the three</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months ended March 31, 1996].</w:t>
            </w:r>
          </w:p>
        </w:tc>
      </w:tr>
      <w:tr>
        <w:trPr>
          <w:trHeight w:val="383"/>
        </w:trPr>
        <w:tc>
          <w:tcPr>
            <w:tcW w:w="260" w:type="dxa"/>
            <w:vAlign w:val="bottom"/>
          </w:tcPr>
          <w:p>
            <w:pPr>
              <w:spacing w:after="0"/>
              <w:rPr>
                <w:sz w:val="24"/>
                <w:szCs w:val="24"/>
                <w:color w:val="auto"/>
              </w:rPr>
            </w:pPr>
          </w:p>
        </w:tc>
        <w:tc>
          <w:tcPr>
            <w:tcW w:w="9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3.2</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Bylaws [Incorporated by reference to Exhibit 3.2 to the</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Post-Effective Amendment No. 1 to the Registrant's</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Registration Statement on Form S-4 (File No. 33-60103)].</w:t>
            </w:r>
          </w:p>
        </w:tc>
      </w:tr>
      <w:tr>
        <w:trPr>
          <w:trHeight w:val="382"/>
        </w:trPr>
        <w:tc>
          <w:tcPr>
            <w:tcW w:w="260" w:type="dxa"/>
            <w:vAlign w:val="bottom"/>
          </w:tcPr>
          <w:p>
            <w:pPr>
              <w:spacing w:after="0"/>
              <w:rPr>
                <w:sz w:val="24"/>
                <w:szCs w:val="24"/>
                <w:color w:val="auto"/>
              </w:rPr>
            </w:pPr>
          </w:p>
        </w:tc>
        <w:tc>
          <w:tcPr>
            <w:tcW w:w="9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4.2</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Specimen Stock Certificate [Incorporated by reference to</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4.3 of the Registrant's Registration Statement on</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S-3 (File No. 33-76224)].</w:t>
            </w:r>
          </w:p>
        </w:tc>
      </w:tr>
      <w:tr>
        <w:trPr>
          <w:trHeight w:val="383"/>
        </w:trPr>
        <w:tc>
          <w:tcPr>
            <w:tcW w:w="260" w:type="dxa"/>
            <w:vAlign w:val="bottom"/>
          </w:tcPr>
          <w:p>
            <w:pPr>
              <w:jc w:val="right"/>
              <w:ind w:right="77"/>
              <w:spacing w:after="0"/>
              <w:rPr>
                <w:sz w:val="20"/>
                <w:szCs w:val="20"/>
                <w:color w:val="auto"/>
              </w:rPr>
            </w:pPr>
            <w:r>
              <w:rPr>
                <w:rFonts w:ascii="Courier New" w:cs="Courier New" w:eastAsia="Courier New" w:hAnsi="Courier New"/>
                <w:sz w:val="17"/>
                <w:szCs w:val="17"/>
                <w:color w:val="auto"/>
                <w:w w:val="77"/>
              </w:rPr>
              <w:t>*</w:t>
            </w:r>
          </w:p>
        </w:tc>
        <w:tc>
          <w:tcPr>
            <w:tcW w:w="9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Opinion of Snell &amp; Smith, A Professional Corporation.</w:t>
            </w:r>
          </w:p>
        </w:tc>
      </w:tr>
      <w:tr>
        <w:trPr>
          <w:trHeight w:val="383"/>
        </w:trPr>
        <w:tc>
          <w:tcPr>
            <w:tcW w:w="260" w:type="dxa"/>
            <w:vAlign w:val="bottom"/>
          </w:tcPr>
          <w:p>
            <w:pPr>
              <w:spacing w:after="0"/>
              <w:rPr>
                <w:sz w:val="24"/>
                <w:szCs w:val="24"/>
                <w:color w:val="auto"/>
              </w:rPr>
            </w:pPr>
          </w:p>
        </w:tc>
        <w:tc>
          <w:tcPr>
            <w:tcW w:w="9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1990 Stock Option Plan [Incorporated by reference to Exhibit</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10.1 of the Registrant's Annual Report on Form 10-K for the</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year ended December 31, 1990].</w:t>
            </w:r>
          </w:p>
        </w:tc>
      </w:tr>
      <w:tr>
        <w:trPr>
          <w:trHeight w:val="383"/>
        </w:trPr>
        <w:tc>
          <w:tcPr>
            <w:tcW w:w="260" w:type="dxa"/>
            <w:vAlign w:val="bottom"/>
          </w:tcPr>
          <w:p>
            <w:pPr>
              <w:spacing w:after="0"/>
              <w:rPr>
                <w:sz w:val="24"/>
                <w:szCs w:val="24"/>
                <w:color w:val="auto"/>
              </w:rPr>
            </w:pPr>
          </w:p>
        </w:tc>
        <w:tc>
          <w:tcPr>
            <w:tcW w:w="9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10.2</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1993 Stock Incentive Plan [Incorporated by reference to</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Exhibit 4.4 of the Registrant's Registration Statement on Form</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S-8 (File No. 33-72436)].</w:t>
            </w:r>
          </w:p>
        </w:tc>
      </w:tr>
      <w:tr>
        <w:trPr>
          <w:trHeight w:val="383"/>
        </w:trPr>
        <w:tc>
          <w:tcPr>
            <w:tcW w:w="260" w:type="dxa"/>
            <w:vAlign w:val="bottom"/>
          </w:tcPr>
          <w:p>
            <w:pPr>
              <w:spacing w:after="0"/>
              <w:rPr>
                <w:sz w:val="24"/>
                <w:szCs w:val="24"/>
                <w:color w:val="auto"/>
              </w:rPr>
            </w:pPr>
          </w:p>
        </w:tc>
        <w:tc>
          <w:tcPr>
            <w:tcW w:w="9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10.3</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360" w:type="dxa"/>
            <w:vAlign w:val="bottom"/>
          </w:tcPr>
          <w:p>
            <w:pPr>
              <w:ind w:left="200"/>
              <w:spacing w:after="0"/>
              <w:rPr>
                <w:sz w:val="20"/>
                <w:szCs w:val="20"/>
                <w:color w:val="auto"/>
              </w:rPr>
            </w:pPr>
            <w:r>
              <w:rPr>
                <w:rFonts w:ascii="Courier New" w:cs="Courier New" w:eastAsia="Courier New" w:hAnsi="Courier New"/>
                <w:sz w:val="17"/>
                <w:szCs w:val="17"/>
                <w:color w:val="auto"/>
              </w:rPr>
              <w:t>Envirofil, Inc. 1993 Stock Incentive Plan [Incorporated by</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10.3 of the Registrant's Annual Report</w:t>
            </w:r>
          </w:p>
        </w:tc>
      </w:tr>
      <w:tr>
        <w:trPr>
          <w:trHeight w:val="191"/>
        </w:trPr>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3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on Form 10-K for the year ended December 31, 1994].</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0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20</w:t>
      </w:r>
    </w:p>
    <w:tbl>
      <w:tblPr>
        <w:tblLayout w:type="fixed"/>
        <w:tblInd w:w="300" w:type="dxa"/>
        <w:tblCellMar>
          <w:top w:w="0" w:type="dxa"/>
          <w:left w:w="0" w:type="dxa"/>
          <w:bottom w:w="0" w:type="dxa"/>
          <w:right w:w="0" w:type="dxa"/>
        </w:tblCellMar>
      </w:tblPr>
      <w:tr>
        <w:trPr>
          <w:trHeight w:val="191"/>
        </w:trPr>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w:t>
            </w:r>
          </w:p>
        </w:tc>
        <w:tc>
          <w:tcPr>
            <w:tcW w:w="4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Form of Employment Agreement between the Registrant and each</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John E. Drury, Donald F. Moorehead, Jr., David</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Sutherland-Yoest, and Charles A. Wilcox [Incorporated by</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reference to Exhibit 10.18 of the Registrant's Annual Report</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on Form 10-K for the year ended December 31, 1994].</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10.5</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between the Registrant and Earl E.</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DeFrates [Incorporated by reference to Exhibit 10.19 of the</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Registrant's Annual Report on Form 10-K for the year ended</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31, 1994].</w:t>
            </w:r>
          </w:p>
        </w:tc>
      </w:tr>
      <w:tr>
        <w:trPr>
          <w:trHeight w:val="382"/>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10.6</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between the Registrant and Gregory T.</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Sangalis [Incorporated by reference to Exhibit 10.17 to</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the Registrant's Registration Statement on Form S-4, File No.</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33-59259].</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10.7</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 Revolving Credit Agreement dated as of</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August 30, 1996, among the Registrant, The First National</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Bank of Boston, Bank of America Illinois, Morgan Guaranty</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Trust Company of New York J. P. Morgan Canada and other</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financial institutions [Incorporated by reference to</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10.1 of the Registrant's Current Report on</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8-K dated September 3, 1996].</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10.8</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Shareholders Agreement dated December 18, 1995, among USA</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Waste Services, Inc., Donald F. Moorehead, Jr., John E.</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Drury, John G. Rangos, Sr., John G. Rangos, Jr., Alexander W.</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Rangos, and John Rangos Development Corporation, Inc.</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[Incorporated by reference to Exhibit 1 to Schedule 13D dated</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17, 1995 relating to the Registrant].</w:t>
            </w:r>
          </w:p>
        </w:tc>
      </w:tr>
      <w:tr>
        <w:trPr>
          <w:trHeight w:val="382"/>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10.9</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Consulting and Non-Compete Agreement dated June 25, 1995,</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between the Registrant and John G. Rangos, Sr. [Incorporated</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by reference to Exhibit 10.21 to the Registrant's Quarterly</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Report on Form 10-Q/A for the three months ended</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June 30, 1995].</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4"/>
              </w:rPr>
              <w:t>10.10</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dated June 25, 1995, between the</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 and Alexander W. Rangos [Incorporated by reference</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 Exhibit 10.22 to the Registrant's  Quarterly report on</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10-Q/A for the three months ended June 30, 1995].</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4"/>
              </w:rPr>
              <w:t>10.11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dated December 19, 1995, between the</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 and Kosti Shirvanian [Incorporated by reference to</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Exhibit 10.18 to the Registrant's Annual Report on Form 10-K</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 the year ended December 31, 1995].</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4"/>
              </w:rPr>
              <w:t>10.12</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 Plan and Agreement of Reorganization</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dated March 29, 1994, among the Registrant, Envirofil</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Corporation, a Delaware corporation and wholly</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owned subsidiary of the Registrant, and Envirofil, Inc., a</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Delaware corporation [Incorporated by reference to Exhibit</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2.1 to the Registrant's Registration Statement on Form S-4</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(File No. 33-77110)].</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4"/>
              </w:rPr>
              <w:t>10.13</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7"/>
              </w:rPr>
              <w:t>Amended and Restated Agreement and Plan of Merger dated as of</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November 28, 1994, among the Registrant, Chambers Acquisition</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Corporation, a Delaware corporation and wholly owned</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subsidiary of the Registrant, and Chambers Development</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Company, Inc., a Delaware corporation [Incorporated by</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2.1 of the Registrant's  Registration</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Statement on Form S-4 (File No. 33-59259)].</w:t>
            </w:r>
          </w:p>
        </w:tc>
      </w:tr>
      <w:tr>
        <w:trPr>
          <w:trHeight w:val="383"/>
        </w:trPr>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4"/>
              </w:rPr>
              <w:t>10.14</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Amendment to Amended and Restated Agreement and Plan of</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Merger dated June 27, 1995, among the Registrant, Chambers</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Corporation, and Chambers Development Company,</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 [Incorporated by reference to Exhibit 2.2 to the</w:t>
            </w:r>
          </w:p>
        </w:tc>
      </w:tr>
      <w:tr>
        <w:trPr>
          <w:trHeight w:val="191"/>
        </w:trPr>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Registrant's Current Report on Form 8-K dated June 30, 1995].</w:t>
            </w:r>
          </w:p>
        </w:tc>
      </w:tr>
    </w:tbl>
    <w:p>
      <w:pPr>
        <w:spacing w:after="0" w:line="200" w:lineRule="exact"/>
        <w:rPr>
          <w:sz w:val="20"/>
          <w:szCs w:val="20"/>
          <w:color w:val="auto"/>
        </w:rPr>
      </w:pPr>
    </w:p>
    <w:p>
      <w:pPr>
        <w:sectPr>
          <w:pgSz w:w="11900" w:h="16838" w:orient="portrait"/>
          <w:cols w:equalWidth="0" w:num="1">
            <w:col w:w="9919"/>
          </w:cols>
          <w:pgMar w:left="540" w:top="3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919"/>
          </w:cols>
          <w:pgMar w:left="540" w:top="301" w:right="1440" w:bottom="1440" w:gutter="0" w:footer="0" w:header="0"/>
          <w:type w:val="continuous"/>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21</w:t>
      </w:r>
    </w:p>
    <w:p>
      <w:pPr>
        <w:spacing w:after="0" w:line="196" w:lineRule="exact"/>
        <w:rPr>
          <w:sz w:val="20"/>
          <w:szCs w:val="20"/>
          <w:color w:val="auto"/>
        </w:rPr>
      </w:pPr>
    </w:p>
    <w:p>
      <w:pPr>
        <w:ind w:left="1300" w:right="2559" w:hanging="1192"/>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10.15</w:t>
        <w:tab/>
        <w:t>- Agreement and Plan of Merger dated as of December 18, 1995, among the Registrant, Riviera Acquisition Corporation, and Western waste Industries [Incorporated by reference to Appendix A to the Registrant's Registration Statement on Form S-4 (Registration No. 333-02181)].</w:t>
      </w:r>
    </w:p>
    <w:p>
      <w:pPr>
        <w:spacing w:after="0" w:line="197" w:lineRule="exact"/>
        <w:rPr>
          <w:sz w:val="20"/>
          <w:szCs w:val="20"/>
          <w:color w:val="auto"/>
        </w:rPr>
      </w:pPr>
    </w:p>
    <w:p>
      <w:pPr>
        <w:ind w:left="1300" w:right="2559" w:hanging="1192"/>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10.16</w:t>
        <w:tab/>
        <w:t>- Amendment No. 1 to the Agreement and Plan of Merger dated May 1, 1996, among the Registrant, Riviera Acquisition Corporation, and Western Waste Industries [Incorporated by reference to Exhibit 2.2 to the Registrant's Current Report on Form 8-K dated May 7, 1996].</w:t>
      </w:r>
    </w:p>
    <w:p>
      <w:pPr>
        <w:spacing w:after="0" w:line="197" w:lineRule="exact"/>
        <w:rPr>
          <w:sz w:val="20"/>
          <w:szCs w:val="20"/>
          <w:color w:val="auto"/>
        </w:rPr>
      </w:pPr>
    </w:p>
    <w:p>
      <w:pPr>
        <w:ind w:left="1300" w:right="23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10.17</w:t>
        <w:tab/>
        <w:t>- Agreement and Plan of Merger dated as of June 22, 1996, among the Registrant, Quatro Acquisition Corp., and Sanifill, Inc. [Incorporated by reference to Exhibit 2.1 to the Registrant's Registration Statement on Form S-4 (Registration</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No. 333-08161)].</w:t>
      </w:r>
    </w:p>
    <w:p>
      <w:pPr>
        <w:spacing w:after="0" w:line="196" w:lineRule="exact"/>
        <w:rPr>
          <w:sz w:val="20"/>
          <w:szCs w:val="20"/>
          <w:color w:val="auto"/>
        </w:rPr>
      </w:pPr>
    </w:p>
    <w:p>
      <w:pPr>
        <w:ind w:left="1300" w:right="2359" w:hanging="1192"/>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10.18</w:t>
        <w:tab/>
        <w:t>- Agreement dated June 21, 1996, among the Registrant, D. Moorehead, Jr., J. Drury, J. Rangos, Sr., A. Rangos, J. Rangos, Jr., and Rangos Development Corporation [Incorporated by reference to Exhibit 10.1 to Registrant's Registration Statement on Form S-4 (Registration No. 333-08161)].</w:t>
      </w:r>
    </w:p>
    <w:p>
      <w:pPr>
        <w:spacing w:after="0" w:line="197" w:lineRule="exact"/>
        <w:rPr>
          <w:sz w:val="20"/>
          <w:szCs w:val="20"/>
          <w:color w:val="auto"/>
        </w:rPr>
      </w:pPr>
    </w:p>
    <w:p>
      <w:pPr>
        <w:ind w:left="1300" w:right="24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10.19</w:t>
        <w:tab/>
        <w:t>- Employment and Noncompetition Agreement dated June 22, 1996, among the Registrant, Sanifill, Inc., and Lorne D. Bain [Incorporated by reference to Exhibit 10.2 to Registrant's Registration Statement on Form S-4 (Registration No.</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333-08161)].</w:t>
      </w:r>
    </w:p>
    <w:p>
      <w:pPr>
        <w:spacing w:after="0" w:line="196" w:lineRule="exact"/>
        <w:rPr>
          <w:sz w:val="20"/>
          <w:szCs w:val="20"/>
          <w:color w:val="auto"/>
        </w:rPr>
      </w:pPr>
    </w:p>
    <w:p>
      <w:pPr>
        <w:ind w:left="1300" w:right="23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10.20</w:t>
        <w:tab/>
        <w:t>- Letter Agreement dated December 18, 1996, between the Registrant and Kosti Shirvanian [Incorporated by reference to Exhibit 10.3 to Registrant's Registration Statement on Form S-4 (Registration No. 333-08161)].</w:t>
      </w:r>
    </w:p>
    <w:p>
      <w:pPr>
        <w:spacing w:after="0" w:line="199" w:lineRule="exact"/>
        <w:rPr>
          <w:sz w:val="20"/>
          <w:szCs w:val="20"/>
          <w:color w:val="auto"/>
        </w:rPr>
      </w:pPr>
    </w:p>
    <w:p>
      <w:pPr>
        <w:ind w:left="1300" w:right="24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10.21</w:t>
        <w:tab/>
        <w:t>- Letter Agreement dated June 21, 1996, between the Registrant and Kosti Shirvanian [Incorporated by reference to Exhibit 10.4 to Registrant's Registration Statement on Form S-4 (Registration No. 333-08161)].</w:t>
      </w:r>
    </w:p>
    <w:p>
      <w:pPr>
        <w:spacing w:after="0" w:line="199" w:lineRule="exact"/>
        <w:rPr>
          <w:sz w:val="20"/>
          <w:szCs w:val="20"/>
          <w:color w:val="auto"/>
        </w:rPr>
      </w:pPr>
    </w:p>
    <w:p>
      <w:pPr>
        <w:ind w:left="1300" w:right="2459" w:hanging="1192"/>
        <w:spacing w:after="0" w:line="237" w:lineRule="auto"/>
        <w:tabs>
          <w:tab w:leader="none" w:pos="1280" w:val="left"/>
        </w:tabs>
        <w:rPr>
          <w:sz w:val="20"/>
          <w:szCs w:val="20"/>
          <w:color w:val="auto"/>
        </w:rPr>
      </w:pPr>
      <w:r>
        <w:rPr>
          <w:rFonts w:ascii="Courier New" w:cs="Courier New" w:eastAsia="Courier New" w:hAnsi="Courier New"/>
          <w:sz w:val="17"/>
          <w:szCs w:val="17"/>
          <w:color w:val="auto"/>
        </w:rPr>
        <w:t>10.22</w:t>
        <w:tab/>
        <w:t>- Letter Agreement dated June 17, 1996, between the Registrant and Sanifill, Inc., regarding indemnification provisions of certificate of incorporation [Incorporated by reference to Exhibit 10.5 to Registrant's Registration Statement on Form S-4 (Registration No. 333-08161)].</w:t>
      </w:r>
    </w:p>
    <w:p>
      <w:pPr>
        <w:spacing w:after="0" w:line="197" w:lineRule="exact"/>
        <w:rPr>
          <w:sz w:val="20"/>
          <w:szCs w:val="20"/>
          <w:color w:val="auto"/>
        </w:rPr>
      </w:pPr>
    </w:p>
    <w:p>
      <w:pPr>
        <w:ind w:left="1300" w:right="24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10.23</w:t>
        <w:tab/>
        <w:t>- Employment and Noncompetition Agreement dated July 19, 1996, among the Registrant, Sanifill, Inc., and J. Chris Brewster [Incorporated by reference to Exhibit 10.8 to Registrant's Registration Statement on Form S-4 (Registration No.</w:t>
      </w:r>
    </w:p>
    <w:p>
      <w:pPr>
        <w:spacing w:after="0" w:line="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333-08161)].</w:t>
      </w:r>
    </w:p>
    <w:p>
      <w:pPr>
        <w:spacing w:after="0" w:line="196" w:lineRule="exact"/>
        <w:rPr>
          <w:sz w:val="20"/>
          <w:szCs w:val="20"/>
          <w:color w:val="auto"/>
        </w:rPr>
      </w:pPr>
    </w:p>
    <w:p>
      <w:pPr>
        <w:jc w:val="both"/>
        <w:ind w:left="1300" w:right="29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10.24</w:t>
        <w:tab/>
        <w:t>- Sanifill 1994 Long-Term Incentive Plan [Incorporated by reference to Exhibit 99.1 to Registrant's Registration Statement on Form S-8 to Form S-4 (Registration No.</w:t>
      </w:r>
    </w:p>
    <w:p>
      <w:pPr>
        <w:ind w:left="1800"/>
        <w:spacing w:after="0"/>
        <w:rPr>
          <w:sz w:val="20"/>
          <w:szCs w:val="20"/>
          <w:color w:val="auto"/>
        </w:rPr>
      </w:pPr>
      <w:r>
        <w:rPr>
          <w:rFonts w:ascii="Courier New" w:cs="Courier New" w:eastAsia="Courier New" w:hAnsi="Courier New"/>
          <w:sz w:val="17"/>
          <w:szCs w:val="17"/>
          <w:color w:val="auto"/>
        </w:rPr>
        <w:t>333-08161)].</w:t>
      </w:r>
    </w:p>
    <w:p>
      <w:pPr>
        <w:spacing w:after="0" w:line="196" w:lineRule="exact"/>
        <w:rPr>
          <w:sz w:val="20"/>
          <w:szCs w:val="20"/>
          <w:color w:val="auto"/>
        </w:rPr>
      </w:pPr>
    </w:p>
    <w:p>
      <w:pPr>
        <w:jc w:val="both"/>
        <w:ind w:left="1300" w:right="30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10.25</w:t>
        <w:tab/>
        <w:t>- Sanifill, Inc. 1989 Stock Option Plan [Incorporated by reference to Exhibit 99.2 to Registrant's Registration Statement on Form S-8 to Form S-4 (Registration No.</w:t>
      </w:r>
    </w:p>
    <w:p>
      <w:pPr>
        <w:ind w:left="1800"/>
        <w:spacing w:after="0"/>
        <w:rPr>
          <w:sz w:val="20"/>
          <w:szCs w:val="20"/>
          <w:color w:val="auto"/>
        </w:rPr>
      </w:pPr>
      <w:r>
        <w:rPr>
          <w:rFonts w:ascii="Courier New" w:cs="Courier New" w:eastAsia="Courier New" w:hAnsi="Courier New"/>
          <w:sz w:val="17"/>
          <w:szCs w:val="17"/>
          <w:color w:val="auto"/>
        </w:rPr>
        <w:t>333-08161)].</w:t>
      </w:r>
    </w:p>
    <w:p>
      <w:pPr>
        <w:spacing w:after="0" w:line="196" w:lineRule="exact"/>
        <w:rPr>
          <w:sz w:val="20"/>
          <w:szCs w:val="20"/>
          <w:color w:val="auto"/>
        </w:rPr>
      </w:pPr>
    </w:p>
    <w:p>
      <w:pPr>
        <w:ind w:left="1300" w:right="2459" w:hanging="1192"/>
        <w:spacing w:after="0" w:line="236" w:lineRule="auto"/>
        <w:tabs>
          <w:tab w:leader="none" w:pos="1280" w:val="left"/>
        </w:tabs>
        <w:rPr>
          <w:sz w:val="20"/>
          <w:szCs w:val="20"/>
          <w:color w:val="auto"/>
        </w:rPr>
      </w:pPr>
      <w:r>
        <w:rPr>
          <w:rFonts w:ascii="Courier New" w:cs="Courier New" w:eastAsia="Courier New" w:hAnsi="Courier New"/>
          <w:sz w:val="17"/>
          <w:szCs w:val="17"/>
          <w:color w:val="auto"/>
        </w:rPr>
        <w:t>10.26</w:t>
        <w:tab/>
        <w:t>- Warrant to Purchase 100,000 shares of Common Stock of Sanifill, Inc. [Incorporated by reference to Exhibit 99.3 to Registrant's Registration Statement on Form S-8 to Form S-4 (Registration No. 333-08161)].</w:t>
      </w:r>
    </w:p>
    <w:p>
      <w:pPr>
        <w:spacing w:after="0" w:line="199" w:lineRule="exact"/>
        <w:rPr>
          <w:sz w:val="20"/>
          <w:szCs w:val="20"/>
          <w:color w:val="auto"/>
        </w:rPr>
      </w:pPr>
    </w:p>
    <w:p>
      <w:pPr>
        <w:ind w:left="1800" w:right="2459" w:hanging="1201"/>
        <w:spacing w:after="0" w:line="236" w:lineRule="auto"/>
        <w:tabs>
          <w:tab w:leader="none" w:pos="1303"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-Subsidiaries of the Registrant [Incorporated by reference to Exhibit 21.1 to the Registrant's Registration Statement on Form S-4 (Registration No. 333-08161)].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740" w:type="dxa"/>
            <w:vAlign w:val="bottom"/>
          </w:tcPr>
          <w:p>
            <w:pPr>
              <w:ind w:left="200"/>
              <w:spacing w:after="0"/>
              <w:rPr>
                <w:sz w:val="20"/>
                <w:szCs w:val="20"/>
                <w:color w:val="auto"/>
              </w:rPr>
            </w:pPr>
            <w:r>
              <w:rPr>
                <w:rFonts w:ascii="Courier New" w:cs="Courier New" w:eastAsia="Courier New" w:hAnsi="Courier New"/>
                <w:sz w:val="17"/>
                <w:szCs w:val="17"/>
                <w:color w:val="auto"/>
              </w:rPr>
              <w:t>23.1</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536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6"/>
              </w:rPr>
              <w:t>Consent of Snell &amp; Smith, A Professional Corporation</w:t>
            </w:r>
          </w:p>
        </w:tc>
      </w:tr>
      <w:tr>
        <w:trPr>
          <w:trHeight w:val="191"/>
        </w:trPr>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[(Contained in Exhibit 5.1)].</w:t>
            </w:r>
          </w:p>
        </w:tc>
        <w:tc>
          <w:tcPr>
            <w:tcW w:w="2280" w:type="dxa"/>
            <w:vAlign w:val="bottom"/>
          </w:tcPr>
          <w:p>
            <w:pPr>
              <w:spacing w:after="0"/>
              <w:rPr>
                <w:sz w:val="16"/>
                <w:szCs w:val="16"/>
                <w:color w:val="auto"/>
              </w:rPr>
            </w:pPr>
          </w:p>
        </w:tc>
      </w:tr>
      <w:tr>
        <w:trPr>
          <w:trHeight w:val="382"/>
        </w:trPr>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87"/>
              </w:rPr>
              <w:t>**</w:t>
            </w:r>
          </w:p>
        </w:tc>
        <w:tc>
          <w:tcPr>
            <w:tcW w:w="740" w:type="dxa"/>
            <w:vAlign w:val="bottom"/>
          </w:tcPr>
          <w:p>
            <w:pPr>
              <w:ind w:left="200"/>
              <w:spacing w:after="0"/>
              <w:rPr>
                <w:sz w:val="20"/>
                <w:szCs w:val="20"/>
                <w:color w:val="auto"/>
              </w:rPr>
            </w:pPr>
            <w:r>
              <w:rPr>
                <w:rFonts w:ascii="Courier New" w:cs="Courier New" w:eastAsia="Courier New" w:hAnsi="Courier New"/>
                <w:sz w:val="17"/>
                <w:szCs w:val="17"/>
                <w:color w:val="auto"/>
              </w:rPr>
              <w:t>23.2</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Consent of Coopers &amp; Lybrand</w:t>
            </w: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L.L.P.</w:t>
            </w:r>
          </w:p>
        </w:tc>
      </w:tr>
      <w:tr>
        <w:trPr>
          <w:trHeight w:val="383"/>
        </w:trPr>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87"/>
              </w:rPr>
              <w:t>**</w:t>
            </w:r>
          </w:p>
        </w:tc>
        <w:tc>
          <w:tcPr>
            <w:tcW w:w="740" w:type="dxa"/>
            <w:vAlign w:val="bottom"/>
          </w:tcPr>
          <w:p>
            <w:pPr>
              <w:ind w:left="200"/>
              <w:spacing w:after="0"/>
              <w:rPr>
                <w:sz w:val="20"/>
                <w:szCs w:val="20"/>
                <w:color w:val="auto"/>
              </w:rPr>
            </w:pPr>
            <w:r>
              <w:rPr>
                <w:rFonts w:ascii="Courier New" w:cs="Courier New" w:eastAsia="Courier New" w:hAnsi="Courier New"/>
                <w:sz w:val="17"/>
                <w:szCs w:val="17"/>
                <w:color w:val="auto"/>
              </w:rPr>
              <w:t>23.3</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Consent of Deloitte &amp; Touche</w:t>
            </w: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LLP.</w:t>
            </w:r>
          </w:p>
        </w:tc>
      </w:tr>
      <w:tr>
        <w:trPr>
          <w:trHeight w:val="382"/>
        </w:trPr>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87"/>
              </w:rPr>
              <w:t>**</w:t>
            </w:r>
          </w:p>
        </w:tc>
        <w:tc>
          <w:tcPr>
            <w:tcW w:w="740" w:type="dxa"/>
            <w:vAlign w:val="bottom"/>
          </w:tcPr>
          <w:p>
            <w:pPr>
              <w:ind w:left="200"/>
              <w:spacing w:after="0"/>
              <w:rPr>
                <w:sz w:val="20"/>
                <w:szCs w:val="20"/>
                <w:color w:val="auto"/>
              </w:rPr>
            </w:pPr>
            <w:r>
              <w:rPr>
                <w:rFonts w:ascii="Courier New" w:cs="Courier New" w:eastAsia="Courier New" w:hAnsi="Courier New"/>
                <w:sz w:val="17"/>
                <w:szCs w:val="17"/>
                <w:color w:val="auto"/>
              </w:rPr>
              <w:t>23.4</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w w:val="96"/>
              </w:rPr>
              <w:t>Consent of Ernst &amp; Young LLP.</w:t>
            </w:r>
          </w:p>
        </w:tc>
        <w:tc>
          <w:tcPr>
            <w:tcW w:w="2280" w:type="dxa"/>
            <w:vAlign w:val="bottom"/>
          </w:tcPr>
          <w:p>
            <w:pPr>
              <w:spacing w:after="0"/>
              <w:rPr>
                <w:sz w:val="24"/>
                <w:szCs w:val="24"/>
                <w:color w:val="auto"/>
              </w:rPr>
            </w:pPr>
          </w:p>
        </w:tc>
      </w:tr>
      <w:tr>
        <w:trPr>
          <w:trHeight w:val="383"/>
        </w:trPr>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87"/>
              </w:rPr>
              <w:t>**</w:t>
            </w:r>
          </w:p>
        </w:tc>
        <w:tc>
          <w:tcPr>
            <w:tcW w:w="740" w:type="dxa"/>
            <w:vAlign w:val="bottom"/>
          </w:tcPr>
          <w:p>
            <w:pPr>
              <w:ind w:left="200"/>
              <w:spacing w:after="0"/>
              <w:rPr>
                <w:sz w:val="20"/>
                <w:szCs w:val="20"/>
                <w:color w:val="auto"/>
              </w:rPr>
            </w:pPr>
            <w:r>
              <w:rPr>
                <w:rFonts w:ascii="Courier New" w:cs="Courier New" w:eastAsia="Courier New" w:hAnsi="Courier New"/>
                <w:sz w:val="17"/>
                <w:szCs w:val="17"/>
                <w:color w:val="auto"/>
              </w:rPr>
              <w:t>23.5</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53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Consent of Arthur Andersen LLP.</w:t>
            </w:r>
          </w:p>
        </w:tc>
      </w:tr>
      <w:tr>
        <w:trPr>
          <w:trHeight w:val="382"/>
        </w:trPr>
        <w:tc>
          <w:tcPr>
            <w:tcW w:w="400" w:type="dxa"/>
            <w:vAlign w:val="bottom"/>
          </w:tcPr>
          <w:p>
            <w:pPr>
              <w:jc w:val="right"/>
              <w:ind w:right="217"/>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ind w:left="200"/>
              <w:spacing w:after="0"/>
              <w:rPr>
                <w:sz w:val="20"/>
                <w:szCs w:val="20"/>
                <w:color w:val="auto"/>
              </w:rPr>
            </w:pPr>
            <w:r>
              <w:rPr>
                <w:rFonts w:ascii="Courier New" w:cs="Courier New" w:eastAsia="Courier New" w:hAnsi="Courier New"/>
                <w:sz w:val="17"/>
                <w:szCs w:val="17"/>
                <w:color w:val="auto"/>
              </w:rPr>
              <w:t>24</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3080" w:type="dxa"/>
            <w:vAlign w:val="bottom"/>
          </w:tcPr>
          <w:p>
            <w:pPr>
              <w:ind w:left="200"/>
              <w:spacing w:after="0"/>
              <w:rPr>
                <w:sz w:val="20"/>
                <w:szCs w:val="20"/>
                <w:color w:val="auto"/>
              </w:rPr>
            </w:pPr>
            <w:r>
              <w:rPr>
                <w:rFonts w:ascii="Courier New" w:cs="Courier New" w:eastAsia="Courier New" w:hAnsi="Courier New"/>
                <w:sz w:val="17"/>
                <w:szCs w:val="17"/>
                <w:color w:val="auto"/>
              </w:rPr>
              <w:t>Powers of Attorney [Included</w:t>
            </w:r>
          </w:p>
        </w:tc>
        <w:tc>
          <w:tcPr>
            <w:tcW w:w="2280" w:type="dxa"/>
            <w:vAlign w:val="bottom"/>
          </w:tcPr>
          <w:p>
            <w:pPr>
              <w:spacing w:after="0"/>
              <w:rPr>
                <w:sz w:val="20"/>
                <w:szCs w:val="20"/>
                <w:color w:val="auto"/>
              </w:rPr>
            </w:pPr>
            <w:r>
              <w:rPr>
                <w:rFonts w:ascii="Courier New" w:cs="Courier New" w:eastAsia="Courier New" w:hAnsi="Courier New"/>
                <w:sz w:val="17"/>
                <w:szCs w:val="17"/>
                <w:color w:val="auto"/>
              </w:rPr>
              <w:t>on Page II-9].</w:t>
            </w:r>
          </w:p>
        </w:tc>
      </w:tr>
    </w:tbl>
    <w:p>
      <w:pPr>
        <w:sectPr>
          <w:pgSz w:w="11900" w:h="16838" w:orient="portrait"/>
          <w:cols w:equalWidth="0" w:num="1">
            <w:col w:w="10219"/>
          </w:cols>
          <w:pgMar w:left="240" w:top="301"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900" w:hanging="898"/>
        <w:spacing w:after="0"/>
        <w:tabs>
          <w:tab w:leader="none" w:pos="9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196" w:lineRule="exact"/>
        <w:rPr>
          <w:sz w:val="20"/>
          <w:szCs w:val="20"/>
          <w:color w:val="auto"/>
        </w:rPr>
      </w:pPr>
    </w:p>
    <w:p>
      <w:pPr>
        <w:ind w:right="6839" w:firstLine="2"/>
        <w:spacing w:after="0" w:line="468" w:lineRule="auto"/>
        <w:tabs>
          <w:tab w:leader="none" w:pos="895"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be filed by amendment. ITEM 22. UNDERTAKINGS.</w:t>
      </w:r>
    </w:p>
    <w:p>
      <w:pPr>
        <w:spacing w:after="0" w:line="7" w:lineRule="exact"/>
        <w:rPr>
          <w:rFonts w:ascii="Courier New" w:cs="Courier New" w:eastAsia="Courier New" w:hAnsi="Courier New"/>
          <w:sz w:val="17"/>
          <w:szCs w:val="17"/>
          <w:color w:val="auto"/>
        </w:rPr>
      </w:pPr>
    </w:p>
    <w:p>
      <w:pPr>
        <w:ind w:left="900" w:hanging="401"/>
        <w:spacing w:after="0"/>
        <w:tabs>
          <w:tab w:leader="none" w:pos="90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6" w:lineRule="exact"/>
        <w:rPr>
          <w:rFonts w:ascii="Courier New" w:cs="Courier New" w:eastAsia="Courier New" w:hAnsi="Courier New"/>
          <w:sz w:val="17"/>
          <w:szCs w:val="17"/>
          <w:color w:val="auto"/>
        </w:rPr>
      </w:pPr>
    </w:p>
    <w:p>
      <w:pPr>
        <w:ind w:left="500" w:right="2859" w:firstLine="397"/>
        <w:spacing w:after="0" w:line="259" w:lineRule="auto"/>
        <w:tabs>
          <w:tab w:leader="none" w:pos="1296"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2" w:lineRule="exact"/>
        <w:rPr>
          <w:rFonts w:ascii="Courier New" w:cs="Courier New" w:eastAsia="Courier New" w:hAnsi="Courier New"/>
          <w:sz w:val="16"/>
          <w:szCs w:val="16"/>
          <w:color w:val="auto"/>
        </w:rPr>
      </w:pPr>
    </w:p>
    <w:p>
      <w:pPr>
        <w:ind w:left="900" w:right="2859" w:firstLine="395"/>
        <w:spacing w:after="0" w:line="235" w:lineRule="auto"/>
        <w:tabs>
          <w:tab w:leader="none" w:pos="1696" w:val="left"/>
        </w:tabs>
        <w:numPr>
          <w:ilvl w:val="3"/>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6" w:lineRule="exact"/>
        <w:rPr>
          <w:rFonts w:ascii="Courier New" w:cs="Courier New" w:eastAsia="Courier New" w:hAnsi="Courier New"/>
          <w:sz w:val="17"/>
          <w:szCs w:val="17"/>
          <w:color w:val="auto"/>
        </w:rPr>
      </w:pPr>
    </w:p>
    <w:p>
      <w:pPr>
        <w:ind w:left="900" w:right="2359" w:firstLine="295"/>
        <w:spacing w:after="0" w:line="237" w:lineRule="auto"/>
        <w:tabs>
          <w:tab w:leader="none" w:pos="1696" w:val="left"/>
        </w:tabs>
        <w:numPr>
          <w:ilvl w:val="3"/>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97" w:lineRule="exact"/>
        <w:rPr>
          <w:sz w:val="20"/>
          <w:szCs w:val="20"/>
          <w:color w:val="auto"/>
        </w:rPr>
      </w:pPr>
    </w:p>
    <w:p>
      <w:pPr>
        <w:ind w:left="900" w:right="2859" w:firstLine="295"/>
        <w:spacing w:after="0" w:line="236" w:lineRule="auto"/>
        <w:tabs>
          <w:tab w:leader="none" w:pos="1795"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99" w:lineRule="exact"/>
        <w:rPr>
          <w:sz w:val="20"/>
          <w:szCs w:val="20"/>
          <w:color w:val="auto"/>
        </w:rPr>
      </w:pPr>
    </w:p>
    <w:p>
      <w:pPr>
        <w:ind w:left="400" w:right="2359"/>
        <w:spacing w:after="0" w:line="254"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8" w:lineRule="exact"/>
        <w:rPr>
          <w:sz w:val="20"/>
          <w:szCs w:val="20"/>
          <w:color w:val="auto"/>
        </w:rPr>
      </w:pPr>
    </w:p>
    <w:p>
      <w:pPr>
        <w:ind w:left="400" w:right="2759" w:firstLine="696"/>
        <w:spacing w:after="0" w:line="236" w:lineRule="auto"/>
        <w:tabs>
          <w:tab w:leader="none" w:pos="1494"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26"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22</w:t>
      </w:r>
    </w:p>
    <w:p>
      <w:pPr>
        <w:spacing w:after="0" w:line="5" w:lineRule="exact"/>
        <w:rPr>
          <w:sz w:val="20"/>
          <w:szCs w:val="20"/>
          <w:color w:val="auto"/>
        </w:rPr>
      </w:pPr>
    </w:p>
    <w:p>
      <w:pPr>
        <w:ind w:left="500" w:right="2459"/>
        <w:spacing w:after="0" w:line="259" w:lineRule="auto"/>
        <w:rPr>
          <w:sz w:val="20"/>
          <w:szCs w:val="20"/>
          <w:color w:val="auto"/>
        </w:rPr>
      </w:pPr>
      <w:r>
        <w:rPr>
          <w:rFonts w:ascii="Courier New" w:cs="Courier New" w:eastAsia="Courier New" w:hAnsi="Courier New"/>
          <w:sz w:val="16"/>
          <w:szCs w:val="16"/>
          <w:color w:val="auto"/>
        </w:rPr>
        <w:t>to the securities offered therein, and the offering of such securities at that time shall be deemed to be the initial bona fide offering thereof.</w:t>
      </w:r>
    </w:p>
    <w:p>
      <w:pPr>
        <w:spacing w:after="0" w:line="183" w:lineRule="exact"/>
        <w:rPr>
          <w:sz w:val="20"/>
          <w:szCs w:val="20"/>
          <w:color w:val="auto"/>
        </w:rPr>
      </w:pPr>
    </w:p>
    <w:p>
      <w:pPr>
        <w:ind w:left="500" w:right="2659" w:firstLine="496"/>
        <w:spacing w:after="0" w:line="236" w:lineRule="auto"/>
        <w:tabs>
          <w:tab w:leader="none" w:pos="1395"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6" w:lineRule="exact"/>
        <w:rPr>
          <w:rFonts w:ascii="Courier New" w:cs="Courier New" w:eastAsia="Courier New" w:hAnsi="Courier New"/>
          <w:sz w:val="17"/>
          <w:szCs w:val="17"/>
          <w:color w:val="auto"/>
        </w:rPr>
      </w:pPr>
    </w:p>
    <w:p>
      <w:pPr>
        <w:ind w:right="2459" w:firstLine="499"/>
        <w:spacing w:after="0" w:line="254" w:lineRule="auto"/>
        <w:tabs>
          <w:tab w:leader="none" w:pos="89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9" w:lineRule="exact"/>
        <w:rPr>
          <w:rFonts w:ascii="Courier New" w:cs="Courier New" w:eastAsia="Courier New" w:hAnsi="Courier New"/>
          <w:sz w:val="16"/>
          <w:szCs w:val="16"/>
          <w:color w:val="auto"/>
        </w:rPr>
      </w:pPr>
    </w:p>
    <w:p>
      <w:pPr>
        <w:ind w:left="900" w:hanging="401"/>
        <w:spacing w:after="0"/>
        <w:tabs>
          <w:tab w:leader="none" w:pos="9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w:t>
      </w:r>
    </w:p>
    <w:p>
      <w:pPr>
        <w:spacing w:after="0" w:line="5" w:lineRule="exact"/>
        <w:rPr>
          <w:rFonts w:ascii="Courier New" w:cs="Courier New" w:eastAsia="Courier New" w:hAnsi="Courier New"/>
          <w:sz w:val="17"/>
          <w:szCs w:val="17"/>
          <w:color w:val="auto"/>
        </w:rPr>
      </w:pPr>
    </w:p>
    <w:p>
      <w:pPr>
        <w:ind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7" w:lineRule="exact"/>
        <w:rPr>
          <w:rFonts w:ascii="Courier New" w:cs="Courier New" w:eastAsia="Courier New" w:hAnsi="Courier New"/>
          <w:sz w:val="17"/>
          <w:szCs w:val="17"/>
          <w:color w:val="auto"/>
        </w:rPr>
      </w:pPr>
    </w:p>
    <w:p>
      <w:pPr>
        <w:ind w:right="2359" w:firstLine="499"/>
        <w:spacing w:after="0" w:line="237" w:lineRule="auto"/>
        <w:tabs>
          <w:tab w:leader="none" w:pos="89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registrations statement through the date of responding to the request.</w:t>
      </w:r>
    </w:p>
    <w:p>
      <w:pPr>
        <w:spacing w:after="0" w:line="198"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38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II-7</w:t>
      </w:r>
    </w:p>
    <w:p>
      <w:pPr>
        <w:sectPr>
          <w:pgSz w:w="11900" w:h="16838" w:orient="portrait"/>
          <w:cols w:equalWidth="0" w:num="1">
            <w:col w:w="10219"/>
          </w:cols>
          <w:pgMar w:left="240" w:top="301"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23</w:t>
      </w:r>
    </w:p>
    <w:p>
      <w:pPr>
        <w:spacing w:after="0" w:line="388"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duly caused this registration statement to be signed on its behalf by the undersigned, thereunto duly authorized, in the City of Dallas, State of Texas on October 11, 1996.</w:t>
      </w:r>
    </w:p>
    <w:p>
      <w:pPr>
        <w:spacing w:after="0" w:line="19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USA Waste Services, Inc.</w:t>
      </w:r>
    </w:p>
    <w:p>
      <w:pPr>
        <w:spacing w:after="0" w:line="200" w:lineRule="exact"/>
        <w:rPr>
          <w:sz w:val="20"/>
          <w:szCs w:val="20"/>
          <w:color w:val="auto"/>
        </w:rPr>
      </w:pPr>
    </w:p>
    <w:p>
      <w:pPr>
        <w:spacing w:after="0" w:line="372" w:lineRule="exact"/>
        <w:rPr>
          <w:sz w:val="20"/>
          <w:szCs w:val="20"/>
          <w:color w:val="auto"/>
        </w:rPr>
      </w:pPr>
    </w:p>
    <w:p>
      <w:pPr>
        <w:ind w:left="3280"/>
        <w:spacing w:after="0"/>
        <w:tabs>
          <w:tab w:leader="none" w:pos="37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JOHN E. DRURY</w:t>
      </w:r>
    </w:p>
    <w:p>
      <w:pPr>
        <w:ind w:left="3780"/>
        <w:spacing w:after="0" w:line="238" w:lineRule="auto"/>
        <w:rPr>
          <w:sz w:val="20"/>
          <w:szCs w:val="20"/>
          <w:color w:val="auto"/>
        </w:rPr>
      </w:pPr>
      <w:r>
        <w:rPr>
          <w:rFonts w:ascii="Courier New" w:cs="Courier New" w:eastAsia="Courier New" w:hAnsi="Courier New"/>
          <w:sz w:val="17"/>
          <w:szCs w:val="17"/>
          <w:color w:val="auto"/>
        </w:rPr>
        <w:t>--------------------------------------</w:t>
      </w:r>
    </w:p>
    <w:p>
      <w:pPr>
        <w:ind w:left="3780"/>
        <w:spacing w:after="0" w:line="238" w:lineRule="auto"/>
        <w:rPr>
          <w:sz w:val="20"/>
          <w:szCs w:val="20"/>
          <w:color w:val="auto"/>
        </w:rPr>
      </w:pPr>
      <w:r>
        <w:rPr>
          <w:rFonts w:ascii="Courier New" w:cs="Courier New" w:eastAsia="Courier New" w:hAnsi="Courier New"/>
          <w:sz w:val="17"/>
          <w:szCs w:val="17"/>
          <w:color w:val="auto"/>
        </w:rPr>
        <w:t>John E. Drury, Chief Executive Officer</w:t>
      </w:r>
    </w:p>
    <w:p>
      <w:pPr>
        <w:spacing w:after="0" w:line="200" w:lineRule="exact"/>
        <w:rPr>
          <w:sz w:val="20"/>
          <w:szCs w:val="20"/>
          <w:color w:val="auto"/>
        </w:rPr>
      </w:pPr>
    </w:p>
    <w:p>
      <w:pPr>
        <w:spacing w:after="0" w:line="373"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II-8</w:t>
      </w:r>
    </w:p>
    <w:p>
      <w:pPr>
        <w:sectPr>
          <w:pgSz w:w="11900" w:h="16838" w:orient="portrait"/>
          <w:cols w:equalWidth="0" w:num="1">
            <w:col w:w="10219"/>
          </w:cols>
          <w:pgMar w:left="240" w:top="301"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24</w:t>
      </w:r>
    </w:p>
    <w:p>
      <w:pPr>
        <w:spacing w:after="0" w:line="38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S-4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Witness our hands on the date set forth below.</w:t>
      </w:r>
    </w:p>
    <w:p>
      <w:pPr>
        <w:spacing w:after="0" w:line="196" w:lineRule="exact"/>
        <w:rPr>
          <w:sz w:val="20"/>
          <w:szCs w:val="20"/>
          <w:color w:val="auto"/>
        </w:rPr>
      </w:pPr>
    </w:p>
    <w:p>
      <w:pPr>
        <w:ind w:right="26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October 11, 1996.</w:t>
      </w:r>
    </w:p>
    <w:p>
      <w:pPr>
        <w:sectPr>
          <w:pgSz w:w="11900" w:h="16838" w:orient="portrait"/>
          <w:cols w:equalWidth="0" w:num="1">
            <w:col w:w="10219"/>
          </w:cols>
          <w:pgMar w:left="240" w:top="3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Signature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260" w:space="720"/>
            <w:col w:w="5239"/>
          </w:cols>
          <w:pgMar w:left="240" w:top="30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jc w:val="center"/>
        <w:ind w:right="2759"/>
        <w:spacing w:after="0"/>
        <w:rPr>
          <w:sz w:val="20"/>
          <w:szCs w:val="20"/>
          <w:color w:val="auto"/>
        </w:rPr>
      </w:pPr>
      <w:r>
        <w:rPr>
          <w:rFonts w:ascii="Courier New" w:cs="Courier New" w:eastAsia="Courier New" w:hAnsi="Courier New"/>
          <w:sz w:val="16"/>
          <w:szCs w:val="16"/>
          <w:color w:val="auto"/>
        </w:rPr>
        <w:t>Chairman of the Board and Chief Executive Officer</w:t>
      </w:r>
    </w:p>
    <w:p>
      <w:pPr>
        <w:spacing w:after="0" w:line="10" w:lineRule="exact"/>
        <w:rPr>
          <w:sz w:val="20"/>
          <w:szCs w:val="20"/>
          <w:color w:val="auto"/>
        </w:rPr>
      </w:pPr>
    </w:p>
    <w:p>
      <w:pPr>
        <w:sectPr>
          <w:pgSz w:w="11900" w:h="16838" w:orient="portrait"/>
          <w:cols w:equalWidth="0" w:num="2">
            <w:col w:w="1860" w:space="720"/>
            <w:col w:w="7639"/>
          </w:cols>
          <w:pgMar w:left="240" w:top="301" w:right="1440" w:bottom="1440" w:gutter="0" w:footer="0" w:header="0"/>
          <w:type w:val="continuous"/>
        </w:sectPr>
      </w:pPr>
    </w:p>
    <w:p>
      <w:pPr>
        <w:ind w:left="200" w:hanging="198"/>
        <w:spacing w:after="0"/>
        <w:tabs>
          <w:tab w:leader="none" w:pos="2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John E. Drury</w:t>
      </w:r>
    </w:p>
    <w:p>
      <w:pPr>
        <w:sectPr>
          <w:pgSz w:w="11900" w:h="16838" w:orient="portrait"/>
          <w:cols w:equalWidth="0" w:num="1">
            <w:col w:w="10219"/>
          </w:cols>
          <w:pgMar w:left="240" w:top="301" w:right="1440"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and Chief Development</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Officer</w:t>
      </w:r>
    </w:p>
    <w:p>
      <w:pPr>
        <w:spacing w:after="0" w:line="387" w:lineRule="exact"/>
        <w:rPr>
          <w:sz w:val="20"/>
          <w:szCs w:val="20"/>
          <w:color w:val="auto"/>
        </w:rPr>
      </w:pPr>
    </w:p>
    <w:p>
      <w:pPr>
        <w:sectPr>
          <w:pgSz w:w="11900" w:h="16838" w:orient="portrait"/>
          <w:cols w:equalWidth="0" w:num="2">
            <w:col w:w="2580" w:space="0"/>
            <w:col w:w="763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KOSTI SHIRVANIAN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Chairman of the Board</w:t>
      </w:r>
    </w:p>
    <w:p>
      <w:pPr>
        <w:spacing w:after="0" w:line="10" w:lineRule="exact"/>
        <w:rPr>
          <w:sz w:val="20"/>
          <w:szCs w:val="20"/>
          <w:color w:val="auto"/>
        </w:rPr>
      </w:pPr>
    </w:p>
    <w:p>
      <w:pPr>
        <w:sectPr>
          <w:pgSz w:w="11900" w:h="16838" w:orient="portrait"/>
          <w:cols w:equalWidth="0" w:num="2">
            <w:col w:w="1860" w:space="720"/>
            <w:col w:w="7639"/>
          </w:cols>
          <w:pgMar w:left="240" w:top="301" w:right="1440" w:bottom="1440" w:gutter="0" w:footer="0" w:header="0"/>
          <w:type w:val="continuous"/>
        </w:sectPr>
      </w:pPr>
    </w:p>
    <w:p>
      <w:pPr>
        <w:ind w:left="200" w:hanging="198"/>
        <w:spacing w:after="0"/>
        <w:tabs>
          <w:tab w:leader="none" w:pos="2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Kosti Shirvanian</w:t>
      </w:r>
    </w:p>
    <w:p>
      <w:pPr>
        <w:sectPr>
          <w:pgSz w:w="11900" w:h="16838" w:orient="portrait"/>
          <w:cols w:equalWidth="0" w:num="1">
            <w:col w:w="10219"/>
          </w:cols>
          <w:pgMar w:left="240" w:top="301" w:right="1440"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SUTHERLAND-YOEST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Sutherland-Yoest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and Regional</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Vice President - Atlantic Region</w:t>
      </w:r>
    </w:p>
    <w:p>
      <w:pPr>
        <w:spacing w:after="0" w:line="381" w:lineRule="exact"/>
        <w:rPr>
          <w:sz w:val="20"/>
          <w:szCs w:val="20"/>
          <w:color w:val="auto"/>
        </w:rPr>
      </w:pPr>
    </w:p>
    <w:p>
      <w:pPr>
        <w:sectPr>
          <w:pgSz w:w="11900" w:h="16838" w:orient="portrait"/>
          <w:cols w:equalWidth="0" w:num="2">
            <w:col w:w="2580" w:space="0"/>
            <w:col w:w="763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 Chief Financial Officer and</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Treasurer</w:t>
      </w:r>
    </w:p>
    <w:p>
      <w:pPr>
        <w:spacing w:after="0" w:line="381" w:lineRule="exact"/>
        <w:rPr>
          <w:sz w:val="20"/>
          <w:szCs w:val="20"/>
          <w:color w:val="auto"/>
        </w:rPr>
      </w:pPr>
    </w:p>
    <w:p>
      <w:pPr>
        <w:sectPr>
          <w:pgSz w:w="11900" w:h="16838" w:orient="portrait"/>
          <w:cols w:equalWidth="0" w:num="2">
            <w:col w:w="2580" w:space="0"/>
            <w:col w:w="763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BRUCE E. SNYDER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Corporate Controller (Chief</w:t>
      </w:r>
    </w:p>
    <w:p>
      <w:pPr>
        <w:spacing w:after="0" w:line="3"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Accounting Officer)</w:t>
      </w:r>
    </w:p>
    <w:p>
      <w:pPr>
        <w:spacing w:after="0" w:line="387" w:lineRule="exact"/>
        <w:rPr>
          <w:sz w:val="20"/>
          <w:szCs w:val="20"/>
          <w:color w:val="auto"/>
        </w:rPr>
      </w:pPr>
    </w:p>
    <w:p>
      <w:pPr>
        <w:sectPr>
          <w:pgSz w:w="11900" w:h="16838" w:orient="portrait"/>
          <w:cols w:equalWidth="0" w:num="2">
            <w:col w:w="2580" w:space="0"/>
            <w:col w:w="7639"/>
          </w:cols>
          <w:pgMar w:left="240" w:top="30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RICHARD J. HECKMANN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3" w:lineRule="exact"/>
        <w:rPr>
          <w:sz w:val="20"/>
          <w:szCs w:val="20"/>
          <w:color w:val="auto"/>
        </w:rPr>
      </w:pPr>
    </w:p>
    <w:p>
      <w:pPr>
        <w:sectPr>
          <w:pgSz w:w="11900" w:h="16838" w:orient="portrait"/>
          <w:cols w:equalWidth="0" w:num="2">
            <w:col w:w="1900" w:space="680"/>
            <w:col w:w="7639"/>
          </w:cols>
          <w:pgMar w:left="240" w:top="301" w:right="1440" w:bottom="1440" w:gutter="0" w:footer="0" w:header="0"/>
          <w:type w:val="continuous"/>
        </w:sectPr>
      </w:pPr>
    </w:p>
    <w:p>
      <w:pPr>
        <w:ind w:left="200" w:hanging="198"/>
        <w:spacing w:after="0"/>
        <w:tabs>
          <w:tab w:leader="none" w:pos="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Heckmann</w:t>
      </w:r>
    </w:p>
    <w:p>
      <w:pPr>
        <w:spacing w:after="0" w:line="190"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7"/>
          <w:szCs w:val="17"/>
          <w:color w:val="auto"/>
        </w:rPr>
        <w:t>WILLIAM E. MOFFETT</w:t>
      </w:r>
      <w:r>
        <w:rPr>
          <w:sz w:val="20"/>
          <w:szCs w:val="20"/>
          <w:color w:val="auto"/>
        </w:rPr>
        <w:tab/>
      </w:r>
      <w:r>
        <w:rPr>
          <w:rFonts w:ascii="Courier New" w:cs="Courier New" w:eastAsia="Courier New" w:hAnsi="Courier New"/>
          <w:sz w:val="16"/>
          <w:szCs w:val="16"/>
          <w:color w:val="auto"/>
        </w:rPr>
        <w:t>Director</w:t>
      </w:r>
    </w:p>
    <w:p>
      <w:pPr>
        <w:ind w:left="200" w:hanging="198"/>
        <w:spacing w:after="0" w:line="238" w:lineRule="auto"/>
        <w:tabs>
          <w:tab w:leader="none" w:pos="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William E. Moffett</w:t>
      </w:r>
    </w:p>
    <w:p>
      <w:pPr>
        <w:spacing w:after="0" w:line="190"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7"/>
          <w:szCs w:val="17"/>
          <w:color w:val="auto"/>
        </w:rPr>
        <w:t>JOHN G. RANGOS, SR.</w:t>
      </w:r>
      <w:r>
        <w:rPr>
          <w:sz w:val="20"/>
          <w:szCs w:val="20"/>
          <w:color w:val="auto"/>
        </w:rPr>
        <w:tab/>
      </w:r>
      <w:r>
        <w:rPr>
          <w:rFonts w:ascii="Courier New" w:cs="Courier New" w:eastAsia="Courier New" w:hAnsi="Courier New"/>
          <w:sz w:val="16"/>
          <w:szCs w:val="16"/>
          <w:color w:val="auto"/>
        </w:rPr>
        <w:t>Director</w:t>
      </w:r>
    </w:p>
    <w:p>
      <w:pPr>
        <w:ind w:left="200" w:hanging="198"/>
        <w:spacing w:after="0" w:line="238" w:lineRule="auto"/>
        <w:tabs>
          <w:tab w:leader="none" w:pos="20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John G. Rangos, Sr.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19"/>
          </w:cols>
          <w:pgMar w:left="240" w:top="301" w:right="1440" w:bottom="1440" w:gutter="0" w:footer="0" w:header="0"/>
          <w:type w:val="continuous"/>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25</w:t>
      </w:r>
    </w:p>
    <w:p>
      <w:pPr>
        <w:spacing w:after="0" w:line="190"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7"/>
          <w:szCs w:val="17"/>
          <w:color w:val="auto"/>
        </w:rPr>
        <w:t>ALEXANDER W. RANGOS</w:t>
      </w:r>
      <w:r>
        <w:rPr>
          <w:sz w:val="20"/>
          <w:szCs w:val="20"/>
          <w:color w:val="auto"/>
        </w:rPr>
        <w:tab/>
      </w:r>
      <w:r>
        <w:rPr>
          <w:rFonts w:ascii="Courier New" w:cs="Courier New" w:eastAsia="Courier New" w:hAnsi="Courier New"/>
          <w:sz w:val="16"/>
          <w:szCs w:val="16"/>
          <w:color w:val="auto"/>
        </w:rPr>
        <w:t>Vice Chairman of the Board</w:t>
      </w:r>
    </w:p>
    <w:p>
      <w:pPr>
        <w:ind w:left="200" w:hanging="198"/>
        <w:spacing w:after="0" w:line="238" w:lineRule="auto"/>
        <w:tabs>
          <w:tab w:leader="none" w:pos="20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Alexander W. Rangos</w:t>
      </w:r>
    </w:p>
    <w:p>
      <w:pPr>
        <w:spacing w:after="0" w:line="190"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7"/>
          <w:szCs w:val="17"/>
          <w:color w:val="auto"/>
        </w:rPr>
        <w:t>SAVEY TUFENKIAN</w:t>
      </w:r>
      <w:r>
        <w:rPr>
          <w:sz w:val="20"/>
          <w:szCs w:val="20"/>
          <w:color w:val="auto"/>
        </w:rPr>
        <w:tab/>
      </w:r>
      <w:r>
        <w:rPr>
          <w:rFonts w:ascii="Courier New" w:cs="Courier New" w:eastAsia="Courier New" w:hAnsi="Courier New"/>
          <w:sz w:val="16"/>
          <w:szCs w:val="16"/>
          <w:color w:val="auto"/>
        </w:rPr>
        <w:t>Director</w:t>
      </w:r>
    </w:p>
    <w:p>
      <w:pPr>
        <w:ind w:left="200" w:hanging="198"/>
        <w:spacing w:after="0" w:line="238" w:lineRule="auto"/>
        <w:tabs>
          <w:tab w:leader="none" w:pos="2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Savey Tufenkian</w:t>
      </w:r>
    </w:p>
    <w:p>
      <w:pPr>
        <w:spacing w:after="0" w:line="381"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II-10</w:t>
      </w:r>
    </w:p>
    <w:p>
      <w:pPr>
        <w:sectPr>
          <w:pgSz w:w="11900" w:h="16838" w:orient="portrait"/>
          <w:cols w:equalWidth="0" w:num="1">
            <w:col w:w="10219"/>
          </w:cols>
          <w:pgMar w:left="240" w:top="30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7"/>
                <w:szCs w:val="17"/>
                <w:color w:val="auto"/>
              </w:rPr>
              <w:t>26</w:t>
            </w:r>
          </w:p>
        </w:tc>
        <w:tc>
          <w:tcPr>
            <w:tcW w:w="400" w:type="dxa"/>
            <w:vAlign w:val="bottom"/>
          </w:tcPr>
          <w:p>
            <w:pPr>
              <w:spacing w:after="0"/>
              <w:rPr>
                <w:sz w:val="16"/>
                <w:szCs w:val="16"/>
                <w:color w:val="auto"/>
              </w:rPr>
            </w:pPr>
          </w:p>
        </w:tc>
        <w:tc>
          <w:tcPr>
            <w:tcW w:w="6260" w:type="dxa"/>
            <w:vAlign w:val="bottom"/>
          </w:tcPr>
          <w:p>
            <w:pPr>
              <w:spacing w:after="0"/>
              <w:rPr>
                <w:sz w:val="16"/>
                <w:szCs w:val="16"/>
                <w:color w:val="auto"/>
              </w:rPr>
            </w:pPr>
          </w:p>
        </w:tc>
      </w:tr>
      <w:tr>
        <w:trPr>
          <w:trHeight w:val="574"/>
        </w:trPr>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60" w:type="dxa"/>
            <w:vAlign w:val="bottom"/>
          </w:tcPr>
          <w:p>
            <w:pPr>
              <w:ind w:left="1680"/>
              <w:spacing w:after="0"/>
              <w:rPr>
                <w:sz w:val="20"/>
                <w:szCs w:val="20"/>
                <w:color w:val="auto"/>
              </w:rPr>
            </w:pPr>
            <w:r>
              <w:rPr>
                <w:rFonts w:ascii="Courier New" w:cs="Courier New" w:eastAsia="Courier New" w:hAnsi="Courier New"/>
                <w:sz w:val="17"/>
                <w:szCs w:val="17"/>
                <w:color w:val="auto"/>
              </w:rPr>
              <w:t>Exhibit Index</w:t>
            </w:r>
          </w:p>
        </w:tc>
      </w:tr>
      <w:tr>
        <w:trPr>
          <w:trHeight w:val="574"/>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3.1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Restated Certificate of Incorporation [Incorporated by</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3.1 to the Post-Effective Amendment</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No. 1 to the Registrant's Registration Statement on Form S-4</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(File No. 33-60103)].</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3.1(a)</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Amendment to Registrant's Restated Certificate of</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Incorporation [Incorporated by reference to Exhibit 3.1(a) to</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the Registrant's Quarterly Report on Form 10-Q for the three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months ended March 31, 1996].</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3.1(b)</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Conformed Copy of Registrant's Restated Certificate of</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Incorporation [Incorporated by reference to Exhibit 3.1(b) to</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the Registrant's Quarterly Report on Form 10-Q for the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three months ended March 31, 1996].</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3.2</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Bylaws [Incorporated by reference to Exhibit 3.2 to the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Post-Effective Amendment No. 1 to the Registrant's</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Registration Statement on Form S-4 (File No. 33-60103)].</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4.1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Specimen Stock Certificate [Incorporated by reference to</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4.3 of the Registrant's Registration Statement on</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S-3 (File No. 33-76224)].</w:t>
            </w:r>
          </w:p>
        </w:tc>
      </w:tr>
      <w:tr>
        <w:trPr>
          <w:trHeight w:val="383"/>
        </w:trPr>
        <w:tc>
          <w:tcPr>
            <w:tcW w:w="2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77"/>
              </w:rPr>
              <w:t>*</w:t>
            </w: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5.1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Opinion of Snell &amp; Smith, A Professional Corporation.</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10.1</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1990 Stock Option Plan [Incorporated by reference to</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10.1 of the Registrant's Annual Report on Form 10-K</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 the year ended December 31, 1990].</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10.2</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1993 Stock Incentive Plan [Incorporated by reference to</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4.4 of the Registrants Registration Statement on</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S-8, File No. 33-72436].</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10.3</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Envirofil, Inc. 1993 Stock Incentive Plan [Incorporated by</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10.3 of the Registrant's Annual Report</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on Form 10-K for the year ended December 31, 1994].</w:t>
            </w:r>
          </w:p>
        </w:tc>
      </w:tr>
      <w:tr>
        <w:trPr>
          <w:trHeight w:val="382"/>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10.4</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8"/>
              </w:rPr>
              <w:t>Form of Employment Agreement between the Registrant and each</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John E. Drury, Donald F. Moorehead, Jr., David</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Sutherland-Yoest, and Charles A. Wilcox [Incorporated by</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reference to Exhibit 10.18 of the Registrant's Annual Report</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on Form 10-K for the year ended December 31, 1994].</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10.5</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between the Registrant and Earl 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DeFrates [Incorporated by reference to Exhibit 10.19 of the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Registrant's Annual Report on Form 10-K for the year ended</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31, 1994].</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10.6</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between the Registrant and Gregory T.</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Sangalis [Incorporated by reference to Exhibit 10.17 to the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Registrant's Registration Statement on Form S-4, File No.</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33-59259].</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10.7</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 Revolving Credit Agreement dated as of</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August 30, 1996, among the Registrant, The First National</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Bank of Boston, Bank of America Illinois, Morgan Guaranty</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Trust Company of New York, J.P. Morgan Canada and other</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financial institutions [Incorporated by reference to Exhibit</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10.1 of the Registrant's Current Report on Form 8-K dated</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September 3, 1996].</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10.8</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Shareholders Agreement dated December 18, 1995, among USA</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Waste Services, Inc., Donald F. Moorehead, Jr., John 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Drury, John G. Rangos, Sr., John G. Rangos, Jr., Alexander W.</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Rangos, and John Rangos Development Corporation, Inc.</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[Incorporated by reference to Exhibit 1 to Schedule 13D dated</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December 17, 1995 relating to the Registrant].</w:t>
            </w:r>
          </w:p>
        </w:tc>
      </w:tr>
      <w:tr>
        <w:trPr>
          <w:trHeight w:val="383"/>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10.9</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Consulting and Non-Compete Agreement dated June 25, 1995,</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between the Registrant and John G. Rangos, Sr. [Incorporated</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by reference to Exhibit 10.21 to the Registrant's Quarterly</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Report on Form 10-Q/A for the three months ended June 30,</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1995].</w:t>
            </w:r>
          </w:p>
        </w:tc>
      </w:tr>
      <w:tr>
        <w:trPr>
          <w:trHeight w:val="382"/>
        </w:trPr>
        <w:tc>
          <w:tcPr>
            <w:tcW w:w="20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Courier New" w:cs="Courier New" w:eastAsia="Courier New" w:hAnsi="Courier New"/>
                <w:sz w:val="17"/>
                <w:szCs w:val="17"/>
                <w:color w:val="auto"/>
              </w:rPr>
              <w:t>10.10</w:t>
            </w:r>
          </w:p>
        </w:tc>
        <w:tc>
          <w:tcPr>
            <w:tcW w:w="4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dated June 25, 1995, between the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 and Alexander W. Rangos [Incorporated by reference</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 Exhibit 10.22 to the Registrant's  Quarterly report on</w:t>
            </w:r>
          </w:p>
        </w:tc>
      </w:tr>
      <w:tr>
        <w:trPr>
          <w:trHeight w:val="191"/>
        </w:trPr>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10-Q/A for the three months ended June 30, 1995].</w:t>
            </w:r>
          </w:p>
        </w:tc>
      </w:tr>
    </w:tbl>
    <w:p>
      <w:pPr>
        <w:sectPr>
          <w:pgSz w:w="11900" w:h="16838" w:orient="portrait"/>
          <w:cols w:equalWidth="0" w:num="1">
            <w:col w:w="10219"/>
          </w:cols>
          <w:pgMar w:left="240" w:top="301" w:right="1440" w:bottom="0" w:gutter="0" w:footer="0" w:header="0"/>
        </w:sectPr>
      </w:pPr>
    </w:p>
    <w:bookmarkStart w:id="30" w:name="page31"/>
    <w:bookmarkEnd w:id="30"/>
    <w:p>
      <w:pPr>
        <w:ind w:left="2380"/>
        <w:spacing w:after="0"/>
        <w:rPr>
          <w:sz w:val="20"/>
          <w:szCs w:val="20"/>
          <w:color w:val="auto"/>
        </w:rPr>
      </w:pPr>
      <w:r>
        <w:rPr>
          <w:rFonts w:ascii="Courier New" w:cs="Courier New" w:eastAsia="Courier New" w:hAnsi="Courier New"/>
          <w:sz w:val="16"/>
          <w:szCs w:val="16"/>
          <w:color w:val="auto"/>
        </w:rPr>
        <w:t>II-11</w:t>
      </w:r>
    </w:p>
    <w:p>
      <w:pPr>
        <w:sectPr>
          <w:pgSz w:w="11900" w:h="16838" w:orient="portrait"/>
          <w:cols w:equalWidth="0" w:num="1">
            <w:col w:w="9019"/>
          </w:cols>
          <w:pgMar w:left="1440" w:top="90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27</w:t>
      </w:r>
    </w:p>
    <w:p>
      <w:pPr>
        <w:spacing w:after="0" w:line="381"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10.11</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Employment Agreement dated December 19, 1995, between the</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Registrant and Kosti Shirvanian [Incorporated by</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10.18 to the Registrant's Annual</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Report on Form 10-K for the year ended December 31, 1995]</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10.12</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 Plan and Agreement of Reorganization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dated March 29, 1994, among the Registrant, Envirofil</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Corporation, a Delaware corporation and wholly</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owned subsidiary of the Registrant, and Envirofil, Inc., a</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Delaware corporation [Incorporated by reference to</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2.1 to the Registrant's Registration Statement 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S-4 (File No. 33-77110)].</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10.13</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Amended and Restated Agreement and Plan of Merger dated as</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November 28, 1994, among the Registrant, Chambers</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Corporation, a Delaware corporation and wholly</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owned subsidiary of the Registrant, and Chambers Development</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Company, Inc., a Delaware corporation [Incorporated by</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2.1 of the Registrant's Registration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Statement on Form S-4 (File No. 33-59259)].</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10.14</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Amendment to Amended and Restated Agreement and Plan of</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Merger dated June 27, 1995, among the Registrant, Chambers</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Corporation, and Chambers Development Company,</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 [Incorporated by reference to Exhibit 2.2 to the</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Registrant's Current Report on Form 8-K dated June 30, 1995].</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10.15</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Agreement and Plan of Merger dated as of December 18, 1995,</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among the Registrant, Riviera Acquisition Corporation,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Western waste Industries [Incorporated by reference to</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Appendix A to the Registrant's Registration Statement 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S-4 (Registration No. 333-02181)].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10.16</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Amendment No. 1 to the Agreement and Plan of Merger dated</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May 1, 1996, among the Registrant, Riviera Acquisition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Corporation, and Western Waste Industries [Incorporated by</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2.2 to the Registrant's Current</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Report on Form 8-K dated May 7, 1996].</w:t>
            </w:r>
          </w:p>
        </w:tc>
      </w:tr>
      <w:tr>
        <w:trPr>
          <w:trHeight w:val="382"/>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10.17</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7"/>
              </w:rPr>
              <w:t>Agreement and Plan of Merger dated as of June 22, 1996, among</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the Registrant, Quatro Acquisition Corp., and Sanifill, Inc.</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[Incorporated by reference to Exhibit 2.1 to the Registrant's</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Registration Statement on Form S-4 (Registration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 333-08161)].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10.18</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Agreement dated June 21, 1996, among the Registrant, D.</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Moorehead, Jr., J. Drury, J. Rangos, Sr., A. Rangos, J.</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Rangos, Jr., and Rangos Development Corporation [Incorporated</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by reference to Exhibit 10.1 to Registrant's Registration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Statement on Form S-4 (Registration No. 333-08161)].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10.19</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8"/>
              </w:rPr>
              <w:t>Employment and Noncompetition Agreement dated June 22, 1996,</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among the Registrant, Sanifill, Inc., and Lorne D. Bain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[Incorporated by reference to Exhibit 10.2 to Registrant's</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Registration Statement on Form S-4 (Registration No.</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333-08161)].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10.20</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Letter Agreement dated December 18, 1996, between the</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Registrant and Kosti Shirvanian [Incorporated by reference to</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10.3 to Registrant's Registration Statement on Form</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S-4 (Registration No. 333-08161)].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10.21</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8"/>
              </w:rPr>
              <w:t>Letter Agreement dated June 21, 1996, between the Registrant</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Kosti Shirvanian [Incorporated by reference to Exhibit</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10.4 to Registrant's Registration Statement on Form S-4</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(Registration No. 333-08161)].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10.22</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8"/>
              </w:rPr>
              <w:t>Letter Agreement dated June 17, 1996, between the Registrant</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and Sanifill, Inc., regarding indemnification provisions of</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certificate of incorporation [Incorporated by reference to</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 10.5 to Registrant's Registration Statement on Form</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S-4 (Registration No. 333-08161)].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10.23</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w w:val="98"/>
              </w:rPr>
              <w:t>Employment and Noncompetition Agreement dated July 19, 1996,</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among the Registrant, Sanifill, Inc., and J. Chris Brewster</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[Incorporated by reference to Exhibit 10.8 to Registrant's</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Registration Statement on Form S-4 (Registration No.</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333-08161)].</w:t>
            </w:r>
          </w:p>
        </w:tc>
      </w:tr>
      <w:tr>
        <w:trPr>
          <w:trHeight w:val="383"/>
        </w:trPr>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4"/>
              </w:rPr>
              <w:t>10.24</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Sanifill 1994 Long-Term Incentive Plan [Incorporated by</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99.1 to Registrant's Registration</w:t>
            </w:r>
          </w:p>
        </w:tc>
      </w:tr>
      <w:tr>
        <w:trPr>
          <w:trHeight w:val="191"/>
        </w:trPr>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Statement on Form S-8 to Form S-4 (Registration No.</w:t>
            </w:r>
          </w:p>
        </w:tc>
      </w:tr>
    </w:tbl>
    <w:p>
      <w:pPr>
        <w:sectPr>
          <w:pgSz w:w="11900" w:h="16838" w:orient="portrait"/>
          <w:cols w:equalWidth="0" w:num="1">
            <w:col w:w="9919"/>
          </w:cols>
          <w:pgMar w:left="540" w:top="301" w:right="1440"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333-08161)].</w:t>
            </w:r>
          </w:p>
        </w:tc>
      </w:tr>
      <w:tr>
        <w:trPr>
          <w:trHeight w:val="383"/>
        </w:trPr>
        <w:tc>
          <w:tcPr>
            <w:tcW w:w="360" w:type="dxa"/>
            <w:vAlign w:val="bottom"/>
          </w:tcPr>
          <w:p>
            <w:pPr>
              <w:spacing w:after="0"/>
              <w:rPr>
                <w:sz w:val="24"/>
                <w:szCs w:val="2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10.25</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Sanifill, Inc. 1989 Stock Option Plan [Incorporated by</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reference to Exhibit 99.2 to Registrant's Registration</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Statement on Form S-8 to Form S-4 (Registration No.</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333-08161)].</w:t>
            </w:r>
          </w:p>
        </w:tc>
      </w:tr>
      <w:tr>
        <w:trPr>
          <w:trHeight w:val="383"/>
        </w:trPr>
        <w:tc>
          <w:tcPr>
            <w:tcW w:w="360" w:type="dxa"/>
            <w:vAlign w:val="bottom"/>
          </w:tcPr>
          <w:p>
            <w:pPr>
              <w:spacing w:after="0"/>
              <w:rPr>
                <w:sz w:val="24"/>
                <w:szCs w:val="2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10.26</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Warrant to Purchase 100,000 shares of Common Stock of</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Sanifill, Inc. [Incorporated by reference to Exhibit 99.3 to</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Registrant's Registration Statement on Form S-8 to Form S-4</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(Registration No. 333-08161)].</w:t>
            </w:r>
          </w:p>
        </w:tc>
      </w:tr>
      <w:tr>
        <w:trPr>
          <w:trHeight w:val="383"/>
        </w:trPr>
        <w:tc>
          <w:tcPr>
            <w:tcW w:w="360" w:type="dxa"/>
            <w:vAlign w:val="bottom"/>
          </w:tcPr>
          <w:p>
            <w:pPr>
              <w:spacing w:after="0"/>
              <w:rPr>
                <w:sz w:val="24"/>
                <w:szCs w:val="24"/>
                <w:color w:val="auto"/>
              </w:rPr>
            </w:pP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21</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Subsidiaries of the Registrant [Incorporated by reference</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to Exhibit 21.1 to the Registrant's Registration Statement on</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Form S-1 (Registration No. 333-08161)].</w:t>
            </w:r>
          </w:p>
        </w:tc>
      </w:tr>
      <w:tr>
        <w:trPr>
          <w:trHeight w:val="383"/>
        </w:trPr>
        <w:tc>
          <w:tcPr>
            <w:tcW w:w="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23.1</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Consent of Snell &amp; Smith, A Professional Corporation</w:t>
            </w:r>
          </w:p>
        </w:tc>
      </w:tr>
      <w:tr>
        <w:trPr>
          <w:trHeight w:val="191"/>
        </w:trPr>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[(Contained in Exhibit 5.1)].</w:t>
            </w:r>
          </w:p>
        </w:tc>
      </w:tr>
      <w:tr>
        <w:trPr>
          <w:trHeight w:val="383"/>
        </w:trPr>
        <w:tc>
          <w:tcPr>
            <w:tcW w:w="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23.2</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Consent of Coopers &amp; Lybrand L.L.P.</w:t>
            </w:r>
          </w:p>
        </w:tc>
      </w:tr>
      <w:tr>
        <w:trPr>
          <w:trHeight w:val="383"/>
        </w:trPr>
        <w:tc>
          <w:tcPr>
            <w:tcW w:w="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23.3</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383"/>
        </w:trPr>
        <w:tc>
          <w:tcPr>
            <w:tcW w:w="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23.4</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Consent of Ernst &amp; Young LLP.</w:t>
            </w:r>
          </w:p>
        </w:tc>
      </w:tr>
      <w:tr>
        <w:trPr>
          <w:trHeight w:val="383"/>
        </w:trPr>
        <w:tc>
          <w:tcPr>
            <w:tcW w:w="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23.5</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Consent of Arthur Andersen LLP.</w:t>
            </w:r>
          </w:p>
        </w:tc>
      </w:tr>
      <w:tr>
        <w:trPr>
          <w:trHeight w:val="383"/>
        </w:trPr>
        <w:tc>
          <w:tcPr>
            <w:tcW w:w="3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40"/>
              <w:spacing w:after="0"/>
              <w:rPr>
                <w:sz w:val="20"/>
                <w:szCs w:val="20"/>
                <w:color w:val="auto"/>
              </w:rPr>
            </w:pPr>
            <w:r>
              <w:rPr>
                <w:rFonts w:ascii="Courier New" w:cs="Courier New" w:eastAsia="Courier New" w:hAnsi="Courier New"/>
                <w:sz w:val="17"/>
                <w:szCs w:val="17"/>
                <w:color w:val="auto"/>
              </w:rPr>
              <w:t>24</w:t>
            </w:r>
          </w:p>
        </w:tc>
        <w:tc>
          <w:tcPr>
            <w:tcW w:w="4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6260" w:type="dxa"/>
            <w:vAlign w:val="bottom"/>
          </w:tcPr>
          <w:p>
            <w:pPr>
              <w:ind w:left="200"/>
              <w:spacing w:after="0"/>
              <w:rPr>
                <w:sz w:val="20"/>
                <w:szCs w:val="20"/>
                <w:color w:val="auto"/>
              </w:rPr>
            </w:pPr>
            <w:r>
              <w:rPr>
                <w:rFonts w:ascii="Courier New" w:cs="Courier New" w:eastAsia="Courier New" w:hAnsi="Courier New"/>
                <w:sz w:val="17"/>
                <w:szCs w:val="17"/>
                <w:color w:val="auto"/>
              </w:rPr>
              <w:t>Powers of Attorney [Included on Page II-9].</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ind w:left="900" w:hanging="898"/>
        <w:spacing w:after="0" w:line="238" w:lineRule="auto"/>
        <w:tabs>
          <w:tab w:leader="none" w:pos="9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To be filed by amendment.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II-12</w:t>
      </w:r>
    </w:p>
    <w:p>
      <w:pPr>
        <w:sectPr>
          <w:pgSz w:w="11900" w:h="16838" w:orient="portrait"/>
          <w:cols w:equalWidth="0" w:num="1">
            <w:col w:w="10219"/>
          </w:cols>
          <w:pgMar w:left="240" w:top="135"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Exhibit 5.1</w:t>
      </w:r>
    </w:p>
    <w:p>
      <w:pPr>
        <w:spacing w:after="0" w:line="381"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October 14, 1996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 Services, Inc.</w:t>
      </w:r>
    </w:p>
    <w:p>
      <w:pPr>
        <w:spacing w:after="0" w:line="238" w:lineRule="auto"/>
        <w:rPr>
          <w:sz w:val="20"/>
          <w:szCs w:val="20"/>
          <w:color w:val="auto"/>
        </w:rPr>
      </w:pPr>
      <w:r>
        <w:rPr>
          <w:rFonts w:ascii="Courier New" w:cs="Courier New" w:eastAsia="Courier New" w:hAnsi="Courier New"/>
          <w:sz w:val="17"/>
          <w:szCs w:val="17"/>
          <w:color w:val="auto"/>
        </w:rPr>
        <w:t>5400 LBJ Freeway</w:t>
      </w:r>
    </w:p>
    <w:p>
      <w:pPr>
        <w:spacing w:after="0" w:line="238" w:lineRule="auto"/>
        <w:rPr>
          <w:sz w:val="20"/>
          <w:szCs w:val="20"/>
          <w:color w:val="auto"/>
        </w:rPr>
      </w:pPr>
      <w:r>
        <w:rPr>
          <w:rFonts w:ascii="Courier New" w:cs="Courier New" w:eastAsia="Courier New" w:hAnsi="Courier New"/>
          <w:sz w:val="17"/>
          <w:szCs w:val="17"/>
          <w:color w:val="auto"/>
        </w:rPr>
        <w:t>Suite 300, Tower One</w:t>
      </w:r>
    </w:p>
    <w:p>
      <w:pPr>
        <w:spacing w:after="0"/>
        <w:tabs>
          <w:tab w:leader="none" w:pos="1480" w:val="left"/>
        </w:tabs>
        <w:rPr>
          <w:sz w:val="20"/>
          <w:szCs w:val="20"/>
          <w:color w:val="auto"/>
        </w:rPr>
      </w:pPr>
      <w:r>
        <w:rPr>
          <w:rFonts w:ascii="Courier New" w:cs="Courier New" w:eastAsia="Courier New" w:hAnsi="Courier New"/>
          <w:sz w:val="17"/>
          <w:szCs w:val="17"/>
          <w:color w:val="auto"/>
        </w:rPr>
        <w:t>Dallas, Texas</w:t>
      </w:r>
      <w:r>
        <w:rPr>
          <w:sz w:val="20"/>
          <w:szCs w:val="20"/>
          <w:color w:val="auto"/>
        </w:rPr>
        <w:tab/>
      </w:r>
      <w:r>
        <w:rPr>
          <w:rFonts w:ascii="Courier New" w:cs="Courier New" w:eastAsia="Courier New" w:hAnsi="Courier New"/>
          <w:sz w:val="16"/>
          <w:szCs w:val="16"/>
          <w:color w:val="auto"/>
        </w:rPr>
        <w:t>75240</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Gentlemen:</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have acted as counsel for USA Waste Services, Inc., a Delaware corporation (the "Company"), in connection with the filing of the Registration Statement on Form S-4 with respect to the registration of ,000,000 shares (the "Shares") of the Common Stock, $.01 par value (the "Common Stock"), of the Company.</w:t>
      </w:r>
    </w:p>
    <w:p>
      <w:pPr>
        <w:spacing w:after="0" w:line="197" w:lineRule="exact"/>
        <w:rPr>
          <w:sz w:val="20"/>
          <w:szCs w:val="20"/>
          <w:color w:val="auto"/>
        </w:rPr>
      </w:pPr>
    </w:p>
    <w:p>
      <w:pPr>
        <w:ind w:right="2559" w:firstLine="497"/>
        <w:spacing w:after="0" w:line="237" w:lineRule="auto"/>
        <w:rPr>
          <w:sz w:val="20"/>
          <w:szCs w:val="20"/>
          <w:color w:val="auto"/>
        </w:rPr>
      </w:pPr>
      <w:r>
        <w:rPr>
          <w:rFonts w:ascii="Courier New" w:cs="Courier New" w:eastAsia="Courier New" w:hAnsi="Courier New"/>
          <w:sz w:val="17"/>
          <w:szCs w:val="17"/>
          <w:color w:val="auto"/>
        </w:rPr>
        <w:t>We have made such inquiries and examined such documents as we have considered necessary or appropriate for purposes of giving the opinions hereinafter set forth, including the examination of executed or conformed counterparts, or copies certified or otherwise proved to our satisfaction, of the following:</w:t>
      </w:r>
    </w:p>
    <w:p>
      <w:pPr>
        <w:spacing w:after="0" w:line="190" w:lineRule="exact"/>
        <w:rPr>
          <w:sz w:val="20"/>
          <w:szCs w:val="20"/>
          <w:color w:val="auto"/>
        </w:rPr>
      </w:pPr>
    </w:p>
    <w:p>
      <w:pPr>
        <w:ind w:left="900" w:hanging="401"/>
        <w:spacing w:after="0"/>
        <w:tabs>
          <w:tab w:leader="none" w:pos="9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Restated Certificate of Incorporation of the Company as amended;</w:t>
      </w:r>
    </w:p>
    <w:p>
      <w:pPr>
        <w:spacing w:after="0" w:line="189" w:lineRule="exact"/>
        <w:rPr>
          <w:rFonts w:ascii="Courier New" w:cs="Courier New" w:eastAsia="Courier New" w:hAnsi="Courier New"/>
          <w:sz w:val="17"/>
          <w:szCs w:val="17"/>
          <w:color w:val="auto"/>
        </w:rPr>
      </w:pPr>
    </w:p>
    <w:p>
      <w:pPr>
        <w:ind w:left="900" w:hanging="401"/>
        <w:spacing w:after="0"/>
        <w:tabs>
          <w:tab w:leader="none" w:pos="9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By-laws of the Company;</w:t>
      </w:r>
    </w:p>
    <w:p>
      <w:pPr>
        <w:spacing w:after="0" w:line="196" w:lineRule="exact"/>
        <w:rPr>
          <w:rFonts w:ascii="Courier New" w:cs="Courier New" w:eastAsia="Courier New" w:hAnsi="Courier New"/>
          <w:sz w:val="17"/>
          <w:szCs w:val="17"/>
          <w:color w:val="auto"/>
        </w:rPr>
      </w:pPr>
    </w:p>
    <w:p>
      <w:pPr>
        <w:ind w:right="2559" w:firstLine="499"/>
        <w:spacing w:after="0" w:line="236" w:lineRule="auto"/>
        <w:tabs>
          <w:tab w:leader="none" w:pos="895"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on Form S-4 of the Company, including the related prospectus and other attachments, filed with the Securities and Exchange Commission to register the Shares under the Securities Act of 1933 (the "Registration Statement").</w:t>
      </w:r>
    </w:p>
    <w:p>
      <w:pPr>
        <w:spacing w:after="0" w:line="19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have assumed the genuineness and authenticity of all signatures on all original documents, the authenticity of all documents submitted to us as originals, the conformity to originals of all documents submitted to us as copies and the due authorization, execution, delivery or recordation of all documents where due authorization, execution or recordation or prerequisites to the effectiveness thereof.</w:t>
      </w:r>
    </w:p>
    <w:p>
      <w:pPr>
        <w:spacing w:after="0" w:line="198"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Based upon the foregoing, and having regard for such legal considerations as we deem relevant, we are of the opinion that:</w:t>
      </w:r>
    </w:p>
    <w:p>
      <w:pPr>
        <w:spacing w:after="0" w:line="197" w:lineRule="exact"/>
        <w:rPr>
          <w:sz w:val="20"/>
          <w:szCs w:val="20"/>
          <w:color w:val="auto"/>
        </w:rPr>
      </w:pPr>
    </w:p>
    <w:p>
      <w:pPr>
        <w:ind w:right="2559" w:firstLine="499"/>
        <w:spacing w:after="0" w:line="235" w:lineRule="auto"/>
        <w:tabs>
          <w:tab w:leader="none" w:pos="89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is a corporation duly organized, validly existing and in good standing under the laws of the States of Delaware;</w:t>
      </w:r>
    </w:p>
    <w:p>
      <w:pPr>
        <w:spacing w:after="0" w:line="196" w:lineRule="exact"/>
        <w:rPr>
          <w:rFonts w:ascii="Courier New" w:cs="Courier New" w:eastAsia="Courier New" w:hAnsi="Courier New"/>
          <w:sz w:val="17"/>
          <w:szCs w:val="17"/>
          <w:color w:val="auto"/>
        </w:rPr>
      </w:pPr>
    </w:p>
    <w:p>
      <w:pPr>
        <w:ind w:right="2459" w:firstLine="499"/>
        <w:spacing w:after="0" w:line="236" w:lineRule="auto"/>
        <w:tabs>
          <w:tab w:leader="none" w:pos="994"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capital of the Company consists of 300,000,000 shares of Common Stock, of which, as of August 31, 1996, 134,290,000 shares are issued and outstanding, and 10,000,000 shares of Preferred Stock, $.01 par value, none of which, are issued and outstanding; and</w:t>
      </w:r>
    </w:p>
    <w:p>
      <w:pPr>
        <w:spacing w:after="0" w:line="198" w:lineRule="exact"/>
        <w:rPr>
          <w:rFonts w:ascii="Courier New" w:cs="Courier New" w:eastAsia="Courier New" w:hAnsi="Courier New"/>
          <w:sz w:val="17"/>
          <w:szCs w:val="17"/>
          <w:color w:val="auto"/>
        </w:rPr>
      </w:pPr>
    </w:p>
    <w:p>
      <w:pPr>
        <w:jc w:val="both"/>
        <w:ind w:right="2859" w:firstLine="499"/>
        <w:spacing w:after="0" w:line="236" w:lineRule="auto"/>
        <w:tabs>
          <w:tab w:leader="none" w:pos="1094"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registered under the Registration Statement are duly authorized, and if and when issued by the Company, will be legally issued, fully paid, and non-assessable.</w:t>
      </w:r>
    </w:p>
    <w:p>
      <w:pPr>
        <w:sectPr>
          <w:pgSz w:w="11900" w:h="16838" w:orient="portrait"/>
          <w:cols w:equalWidth="0" w:num="1">
            <w:col w:w="10219"/>
          </w:cols>
          <w:pgMar w:left="240" w:top="135"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 Services, Inc.</w:t>
      </w:r>
    </w:p>
    <w:p>
      <w:pPr>
        <w:spacing w:after="0" w:line="238" w:lineRule="auto"/>
        <w:rPr>
          <w:sz w:val="20"/>
          <w:szCs w:val="20"/>
          <w:color w:val="auto"/>
        </w:rPr>
      </w:pPr>
      <w:r>
        <w:rPr>
          <w:rFonts w:ascii="Courier New" w:cs="Courier New" w:eastAsia="Courier New" w:hAnsi="Courier New"/>
          <w:sz w:val="17"/>
          <w:szCs w:val="17"/>
          <w:color w:val="auto"/>
        </w:rPr>
        <w:t>Page 2</w:t>
      </w:r>
    </w:p>
    <w:p>
      <w:pPr>
        <w:spacing w:after="0" w:line="238" w:lineRule="auto"/>
        <w:rPr>
          <w:sz w:val="20"/>
          <w:szCs w:val="20"/>
          <w:color w:val="auto"/>
        </w:rPr>
      </w:pPr>
      <w:r>
        <w:rPr>
          <w:rFonts w:ascii="Courier New" w:cs="Courier New" w:eastAsia="Courier New" w:hAnsi="Courier New"/>
          <w:sz w:val="17"/>
          <w:szCs w:val="17"/>
          <w:color w:val="auto"/>
        </w:rPr>
        <w:t>October 14, 1996</w:t>
      </w:r>
    </w:p>
    <w:p>
      <w:pPr>
        <w:spacing w:after="0" w:line="200" w:lineRule="exact"/>
        <w:rPr>
          <w:sz w:val="20"/>
          <w:szCs w:val="20"/>
          <w:color w:val="auto"/>
        </w:rPr>
      </w:pPr>
    </w:p>
    <w:p>
      <w:pPr>
        <w:spacing w:after="0" w:line="379"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We hereby consent to the filing of this opinion with the Securities and Exchange Commission as an exhibit to the Registration Statement and to the Statements made regarding our Firm and to the use of our name under the heading "Legal Matters" in the prospectus constituting a part of the Registration Statement.</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Very truly yours,</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SNELL &amp; SMITH, A Professional</w:t>
      </w:r>
    </w:p>
    <w:p>
      <w:pPr>
        <w:ind w:left="4780"/>
        <w:spacing w:after="0" w:line="238" w:lineRule="auto"/>
        <w:rPr>
          <w:sz w:val="20"/>
          <w:szCs w:val="20"/>
          <w:color w:val="auto"/>
        </w:rPr>
      </w:pPr>
      <w:r>
        <w:rPr>
          <w:rFonts w:ascii="Courier New" w:cs="Courier New" w:eastAsia="Courier New" w:hAnsi="Courier New"/>
          <w:sz w:val="17"/>
          <w:szCs w:val="17"/>
          <w:color w:val="auto"/>
        </w:rPr>
        <w:t>Corporation</w:t>
      </w:r>
    </w:p>
    <w:sectPr>
      <w:pgSz w:w="11900" w:h="16838" w:orient="portrait"/>
      <w:cols w:equalWidth="0" w:num="1">
        <w:col w:w="10219"/>
      </w:cols>
      <w:pgMar w:left="240" w:top="3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1)"/>
      <w:numFmt w:val="lowerRoman"/>
      <w:start w:val="6"/>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Roman"/>
      <w:start w:val="3"/>
    </w:lvl>
  </w:abstractNum>
  <w:abstractNum w:abstractNumId="8">
    <w:nsid w:val="7C83E458"/>
    <w:multiLevelType w:val="hybridMultilevel"/>
    <w:lvl w:ilvl="0">
      <w:lvlJc w:val="left"/>
      <w:lvlText w:val="%1."/>
      <w:numFmt w:val="decimal"/>
      <w:start w:val="145"/>
    </w:lvl>
  </w:abstractNum>
  <w:abstractNum w:abstractNumId="9">
    <w:nsid w:val="257130A3"/>
    <w:multiLevelType w:val="hybridMultilevel"/>
    <w:lvl w:ilvl="0">
      <w:lvlJc w:val="left"/>
      <w:lvlText w:val="%1"/>
      <w:numFmt w:val="lowerLetter"/>
      <w:start w:val="1"/>
    </w:lvl>
    <w:lvl w:ilvl="1">
      <w:lvlJc w:val="left"/>
      <w:lvlText w:val="(%2)"/>
      <w:numFmt w:val="lowerLetter"/>
      <w:start w:val="2"/>
    </w:lvl>
  </w:abstractNum>
  <w:abstractNum w:abstractNumId="10">
    <w:nsid w:val="62BBD95A"/>
    <w:multiLevelType w:val="hybridMultilevel"/>
    <w:lvl w:ilvl="0">
      <w:lvlJc w:val="left"/>
      <w:lvlText w:val="(%1)"/>
      <w:numFmt w:val="lowerLetter"/>
      <w:start w:val="2"/>
    </w:lvl>
    <w:lvl w:ilvl="1">
      <w:lvlJc w:val="left"/>
      <w:lvlText w:val="(%2)"/>
      <w:numFmt w:val="lowerLetter"/>
      <w:start w:val="5"/>
    </w:lvl>
  </w:abstractNum>
  <w:abstractNum w:abstractNumId="11">
    <w:nsid w:val="436C6125"/>
    <w:multiLevelType w:val="hybridMultilevel"/>
    <w:lvl w:ilvl="0">
      <w:lvlJc w:val="left"/>
      <w:lvlText w:val="(%1)"/>
      <w:numFmt w:val="lowerLetter"/>
      <w:start w:val="8"/>
    </w:lvl>
  </w:abstractNum>
  <w:abstractNum w:abstractNumId="12">
    <w:nsid w:val="628C895D"/>
    <w:multiLevelType w:val="hybridMultilevel"/>
    <w:lvl w:ilvl="0">
      <w:lvlJc w:val="left"/>
      <w:lvlText w:val="%1"/>
      <w:numFmt w:val="decimal"/>
      <w:start w:val="2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5">
    <w:nsid w:val="2443A858"/>
    <w:multiLevelType w:val="hybridMultilevel"/>
    <w:lvl w:ilvl="0">
      <w:lvlJc w:val="left"/>
      <w:lvlText w:val="(%1)"/>
      <w:numFmt w:val="lowerRoman"/>
      <w:start w:val="3"/>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lowerLetter"/>
      <w:start w:val="1"/>
    </w:lvl>
    <w:lvl w:ilvl="1">
      <w:lvlJc w:val="left"/>
      <w:lvlText w:val="(%2)"/>
      <w:numFmt w:val="decimal"/>
      <w:start w:val="3"/>
    </w:lvl>
  </w:abstractNum>
  <w:abstractNum w:abstractNumId="18">
    <w:nsid w:val="75A2A8D4"/>
    <w:multiLevelType w:val="hybridMultilevel"/>
    <w:lvl w:ilvl="0">
      <w:lvlJc w:val="left"/>
      <w:lvlText w:val="(%1)"/>
      <w:numFmt w:val="lowerLetter"/>
      <w:start w:val="2"/>
    </w:lvl>
    <w:lvl w:ilvl="1">
      <w:lvlJc w:val="left"/>
      <w:lvlText w:val="%2"/>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2019-12-20T04:22:35Z</dcterms:created>
  <dcterms:modified xsi:type="dcterms:W3CDTF">2019-12-20T04:22:35Z</dcterms:modified>
</cp:coreProperties>
</file>