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w:t>
      </w:r>
    </w:p>
    <w:p>
      <w:pPr>
        <w:jc w:val="center"/>
        <w:spacing w:after="0"/>
        <w:rPr>
          <w:sz w:val="20"/>
          <w:szCs w:val="20"/>
          <w:color w:val="auto"/>
        </w:rPr>
      </w:pPr>
      <w:r>
        <w:rPr>
          <w:rFonts w:ascii="Arial" w:cs="Arial" w:eastAsia="Arial" w:hAnsi="Arial"/>
          <w:sz w:val="20"/>
          <w:szCs w:val="20"/>
          <w:b w:val="1"/>
          <w:bCs w:val="1"/>
          <w:color w:val="auto"/>
        </w:rPr>
        <w:t>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Waste Management, Inc.</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Stock, $.01 par value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94106L109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December 31, 2010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77" w:lineRule="exact"/>
        <w:rPr>
          <w:sz w:val="24"/>
          <w:szCs w:val="24"/>
          <w:color w:val="auto"/>
        </w:rPr>
      </w:pPr>
    </w:p>
    <w:p>
      <w:pPr>
        <w:jc w:val="both"/>
        <w:ind w:left="220" w:right="9720" w:firstLine="4"/>
        <w:spacing w:after="0" w:line="405" w:lineRule="auto"/>
        <w:tabs>
          <w:tab w:leader="none" w:pos="68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700" w:hanging="47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ind w:left="800" w:right="8300" w:hanging="502"/>
        <w:spacing w:after="0" w:line="519"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14" w:lineRule="exact"/>
        <w:rPr>
          <w:rFonts w:ascii="Arial" w:cs="Arial" w:eastAsia="Arial" w:hAnsi="Arial"/>
          <w:sz w:val="16"/>
          <w:szCs w:val="16"/>
          <w:color w:val="auto"/>
        </w:rPr>
      </w:pPr>
    </w:p>
    <w:p>
      <w:pPr>
        <w:ind w:left="800" w:hanging="502"/>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83"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2"/>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445" w:lineRule="auto"/>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State of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6783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-546100</wp:posOffset>
            </wp:positionV>
            <wp:extent cx="6783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-760730</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-1420495</wp:posOffset>
            </wp:positionV>
            <wp:extent cx="67837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2" w:lineRule="exact"/>
              <w:rPr>
                <w:sz w:val="20"/>
                <w:szCs w:val="20"/>
                <w:color w:val="auto"/>
              </w:rPr>
            </w:pPr>
            <w:r>
              <w:rPr>
                <w:rFonts w:ascii="Arial" w:cs="Arial" w:eastAsia="Arial" w:hAnsi="Arial"/>
                <w:sz w:val="20"/>
                <w:szCs w:val="20"/>
                <w:color w:val="auto"/>
              </w:rPr>
              <w:t>9,260,907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9,260,907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line="199" w:lineRule="exact"/>
              <w:rPr>
                <w:sz w:val="20"/>
                <w:szCs w:val="20"/>
                <w:color w:val="auto"/>
              </w:rPr>
            </w:pPr>
            <w:r>
              <w:rPr>
                <w:rFonts w:ascii="Arial" w:cs="Arial" w:eastAsia="Arial" w:hAnsi="Arial"/>
                <w:sz w:val="20"/>
                <w:szCs w:val="20"/>
                <w:color w:val="auto"/>
              </w:rPr>
              <w:t>Person</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4"/>
          <w:szCs w:val="24"/>
          <w:color w:val="auto"/>
        </w:rPr>
      </w:pPr>
    </w:p>
    <w:p>
      <w:pPr>
        <w:ind w:left="800" w:right="5320" w:hanging="502"/>
        <w:spacing w:after="0" w:line="260"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9,260,907</w:t>
      </w: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20320</wp:posOffset>
            </wp:positionV>
            <wp:extent cx="6783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62" w:lineRule="exact"/>
        <w:rPr>
          <w:sz w:val="24"/>
          <w:szCs w:val="24"/>
          <w:color w:val="auto"/>
        </w:rPr>
      </w:pPr>
    </w:p>
    <w:p>
      <w:pPr>
        <w:ind w:left="800" w:hanging="551"/>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37" w:lineRule="exact"/>
        <w:rPr>
          <w:rFonts w:ascii="Arial" w:cs="Arial" w:eastAsia="Arial" w:hAnsi="Arial"/>
          <w:sz w:val="20"/>
          <w:szCs w:val="20"/>
          <w:color w:val="auto"/>
        </w:rPr>
      </w:pPr>
    </w:p>
    <w:p>
      <w:pPr>
        <w:ind w:left="800" w:hanging="547"/>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-177800</wp:posOffset>
            </wp:positionV>
            <wp:extent cx="6783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ectPr>
          <w:pgSz w:w="11900" w:h="16838" w:orient="portrait"/>
          <w:cols w:equalWidth="0" w:num="1">
            <w:col w:w="11420"/>
          </w:cols>
          <w:pgMar w:left="240" w:top="441" w:right="239" w:bottom="0" w:gutter="0" w:footer="0" w:header="0"/>
        </w:sectPr>
      </w:pPr>
    </w:p>
    <w:bookmarkStart w:id="1" w:name="page2"/>
    <w:bookmarkEnd w:id="1"/>
    <w:p>
      <w:pPr>
        <w:spacing w:after="0" w:line="3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45720</wp:posOffset>
            </wp:positionV>
            <wp:extent cx="6783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02" w:lineRule="exact"/>
        <w:rPr>
          <w:sz w:val="20"/>
          <w:szCs w:val="20"/>
          <w:color w:val="auto"/>
        </w:rPr>
      </w:pPr>
    </w:p>
    <w:p>
      <w:pPr>
        <w:ind w:left="800" w:hanging="551"/>
        <w:spacing w:after="0"/>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4" w:lineRule="exact"/>
        <w:rPr>
          <w:sz w:val="20"/>
          <w:szCs w:val="20"/>
          <w:color w:val="auto"/>
        </w:rPr>
      </w:pPr>
    </w:p>
    <w:p>
      <w:pPr>
        <w:ind w:right="40" w:firstLine="8"/>
        <w:spacing w:after="0" w:line="268"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8"/>
          <w:szCs w:val="18"/>
          <w:color w:val="auto"/>
        </w:rPr>
        <w:t>All shares of Common Stock held by Cascade Investment, L.L.C. (“Cascade”) may be deemed to be beneficially owned by William H. Gates III as the sole member of Cascade.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800" w:hanging="502"/>
        <w:spacing w:after="0"/>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Bill &amp; Melinda Gates Foundation Trust</w:t>
      </w:r>
    </w:p>
    <w:p>
      <w:pPr>
        <w:spacing w:after="0" w:line="121" w:lineRule="exact"/>
        <w:rPr>
          <w:rFonts w:ascii="Arial" w:cs="Arial" w:eastAsia="Arial" w:hAnsi="Arial"/>
          <w:sz w:val="20"/>
          <w:szCs w:val="20"/>
          <w:color w:val="auto"/>
        </w:rPr>
      </w:pPr>
    </w:p>
    <w:p>
      <w:pPr>
        <w:ind w:left="800" w:hanging="502"/>
        <w:spacing w:after="0"/>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7"/>
        </w:numPr>
        <w:rPr>
          <w:rFonts w:ascii="Arial" w:cs="Arial" w:eastAsia="Arial" w:hAnsi="Arial"/>
          <w:sz w:val="20"/>
          <w:szCs w:val="20"/>
          <w:color w:val="auto"/>
        </w:rPr>
      </w:pPr>
      <w:r>
        <w:rPr>
          <w:rFonts w:ascii="Arial" w:cs="Arial" w:eastAsia="Arial" w:hAnsi="Arial"/>
          <w:sz w:val="20"/>
          <w:szCs w:val="20"/>
          <w:color w:val="auto"/>
        </w:rPr>
        <w:t>o</w:t>
      </w:r>
    </w:p>
    <w:p>
      <w:pPr>
        <w:spacing w:after="0" w:line="97"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7"/>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445" w:lineRule="auto"/>
        <w:tabs>
          <w:tab w:leader="none" w:pos="8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6783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-546100</wp:posOffset>
            </wp:positionV>
            <wp:extent cx="6783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-760730</wp:posOffset>
            </wp:positionV>
            <wp:extent cx="6440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-991870</wp:posOffset>
            </wp:positionV>
            <wp:extent cx="6440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-1429385</wp:posOffset>
            </wp:positionV>
            <wp:extent cx="6783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1"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18,633,672</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99"/>
        </w:trPr>
        <w:tc>
          <w:tcPr>
            <w:tcW w:w="1140" w:type="dxa"/>
            <w:vAlign w:val="bottom"/>
          </w:tcPr>
          <w:p>
            <w:pPr>
              <w:spacing w:after="0" w:line="199" w:lineRule="exact"/>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7"/>
                <w:szCs w:val="1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8"/>
        </w:trPr>
        <w:tc>
          <w:tcPr>
            <w:tcW w:w="1140" w:type="dxa"/>
            <w:vAlign w:val="bottom"/>
            <w:vMerge w:val="restart"/>
          </w:tcPr>
          <w:p>
            <w:pPr>
              <w:spacing w:after="0"/>
              <w:rPr>
                <w:sz w:val="20"/>
                <w:szCs w:val="20"/>
                <w:color w:val="auto"/>
              </w:rPr>
            </w:pPr>
            <w:r>
              <w:rPr>
                <w:rFonts w:ascii="Arial" w:cs="Arial" w:eastAsia="Arial" w:hAnsi="Arial"/>
                <w:sz w:val="20"/>
                <w:szCs w:val="20"/>
                <w:color w:val="auto"/>
              </w:rPr>
              <w:t>Person</w:t>
            </w:r>
          </w:p>
        </w:tc>
        <w:tc>
          <w:tcPr>
            <w:tcW w:w="440" w:type="dxa"/>
            <w:vAlign w:val="bottom"/>
          </w:tcPr>
          <w:p>
            <w:pPr>
              <w:spacing w:after="0"/>
              <w:rPr>
                <w:sz w:val="7"/>
                <w:szCs w:val="7"/>
                <w:color w:val="auto"/>
              </w:rPr>
            </w:pPr>
          </w:p>
        </w:tc>
        <w:tc>
          <w:tcPr>
            <w:tcW w:w="9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140" w:type="dxa"/>
            <w:vAlign w:val="bottom"/>
            <w:vMerge w:val="continue"/>
          </w:tcPr>
          <w:p>
            <w:pPr>
              <w:spacing w:after="0"/>
              <w:rPr>
                <w:sz w:val="4"/>
                <w:szCs w:val="4"/>
                <w:color w:val="auto"/>
              </w:rPr>
            </w:pP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18,633,672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0"/>
          <w:szCs w:val="20"/>
          <w:color w:val="auto"/>
        </w:rPr>
      </w:pPr>
    </w:p>
    <w:p>
      <w:pPr>
        <w:ind w:left="800" w:right="5320" w:hanging="502"/>
        <w:spacing w:after="0" w:line="260" w:lineRule="auto"/>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18,633,672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20320</wp:posOffset>
            </wp:positionV>
            <wp:extent cx="6783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62" w:lineRule="exact"/>
        <w:rPr>
          <w:sz w:val="20"/>
          <w:szCs w:val="20"/>
          <w:color w:val="auto"/>
        </w:rPr>
      </w:pPr>
    </w:p>
    <w:p>
      <w:pPr>
        <w:ind w:left="800" w:hanging="551"/>
        <w:spacing w:after="0"/>
        <w:tabs>
          <w:tab w:leader="none" w:pos="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37" w:lineRule="exact"/>
        <w:rPr>
          <w:rFonts w:ascii="Arial" w:cs="Arial" w:eastAsia="Arial" w:hAnsi="Arial"/>
          <w:sz w:val="20"/>
          <w:szCs w:val="20"/>
          <w:color w:val="auto"/>
        </w:rPr>
      </w:pPr>
    </w:p>
    <w:p>
      <w:pPr>
        <w:ind w:left="800" w:right="6440" w:hanging="547"/>
        <w:spacing w:after="0" w:line="260" w:lineRule="auto"/>
        <w:tabs>
          <w:tab w:leader="none" w:pos="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 Represented by Amount in Row (9) 3.9%</w:t>
      </w:r>
    </w:p>
    <w:p>
      <w:pPr>
        <w:spacing w:after="0" w:line="82" w:lineRule="exact"/>
        <w:rPr>
          <w:rFonts w:ascii="Arial" w:cs="Arial" w:eastAsia="Arial" w:hAnsi="Arial"/>
          <w:sz w:val="20"/>
          <w:szCs w:val="20"/>
          <w:color w:val="auto"/>
        </w:rPr>
      </w:pPr>
    </w:p>
    <w:p>
      <w:pPr>
        <w:ind w:left="800" w:hanging="551"/>
        <w:spacing w:after="0"/>
        <w:tabs>
          <w:tab w:leader="none" w:pos="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-469265</wp:posOffset>
            </wp:positionV>
            <wp:extent cx="6783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-838200</wp:posOffset>
            </wp:positionV>
            <wp:extent cx="6783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800" w:right="8300" w:hanging="502"/>
        <w:spacing w:after="0" w:line="461"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 William H. Gates III</w:t>
      </w:r>
    </w:p>
    <w:p>
      <w:pPr>
        <w:spacing w:after="0" w:line="15" w:lineRule="exact"/>
        <w:rPr>
          <w:rFonts w:ascii="Arial" w:cs="Arial" w:eastAsia="Arial" w:hAnsi="Arial"/>
          <w:sz w:val="18"/>
          <w:szCs w:val="18"/>
          <w:color w:val="auto"/>
        </w:rPr>
      </w:pPr>
    </w:p>
    <w:p>
      <w:pPr>
        <w:ind w:left="800" w:hanging="502"/>
        <w:spacing w:after="0"/>
        <w:tabs>
          <w:tab w:leader="none" w:pos="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o</w:t>
      </w:r>
    </w:p>
    <w:p>
      <w:pPr>
        <w:spacing w:after="0" w:line="97"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10"/>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hanging="502"/>
        <w:spacing w:after="0"/>
        <w:tabs>
          <w:tab w:leader="none" w:pos="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-177800</wp:posOffset>
            </wp:positionV>
            <wp:extent cx="6783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-391795</wp:posOffset>
            </wp:positionV>
            <wp:extent cx="6440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-623570</wp:posOffset>
            </wp:positionV>
            <wp:extent cx="6440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-1061085</wp:posOffset>
            </wp:positionV>
            <wp:extent cx="6783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8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20"/>
                <w:szCs w:val="20"/>
                <w:color w:val="auto"/>
              </w:rPr>
              <w:t>Number of</w:t>
            </w:r>
          </w:p>
        </w:tc>
        <w:tc>
          <w:tcPr>
            <w:tcW w:w="10240" w:type="dxa"/>
            <w:vAlign w:val="bottom"/>
            <w:gridSpan w:val="2"/>
          </w:tcPr>
          <w:p>
            <w:pPr>
              <w:jc w:val="right"/>
              <w:ind w:right="8200"/>
              <w:spacing w:after="0"/>
              <w:rPr>
                <w:sz w:val="20"/>
                <w:szCs w:val="20"/>
                <w:color w:val="auto"/>
              </w:rPr>
            </w:pPr>
            <w:r>
              <w:rPr>
                <w:rFonts w:ascii="Arial" w:cs="Arial" w:eastAsia="Arial" w:hAnsi="Arial"/>
                <w:sz w:val="20"/>
                <w:szCs w:val="20"/>
                <w:color w:val="auto"/>
              </w:rPr>
              <w:t>5.  Sole Voting Power</w:t>
            </w:r>
          </w:p>
        </w:tc>
      </w:tr>
      <w:tr>
        <w:trPr>
          <w:trHeight w:val="264"/>
        </w:trPr>
        <w:tc>
          <w:tcPr>
            <w:tcW w:w="1100" w:type="dxa"/>
            <w:vAlign w:val="bottom"/>
          </w:tcPr>
          <w:p>
            <w:pPr>
              <w:spacing w:after="0"/>
              <w:rPr>
                <w:sz w:val="20"/>
                <w:szCs w:val="20"/>
                <w:color w:val="auto"/>
              </w:rPr>
            </w:pPr>
            <w:r>
              <w:rPr>
                <w:rFonts w:ascii="Arial" w:cs="Arial" w:eastAsia="Arial" w:hAnsi="Arial"/>
                <w:sz w:val="20"/>
                <w:szCs w:val="20"/>
                <w:color w:val="auto"/>
              </w:rPr>
              <w:t>Shares</w:t>
            </w:r>
          </w:p>
        </w:tc>
        <w:tc>
          <w:tcPr>
            <w:tcW w:w="10240" w:type="dxa"/>
            <w:vAlign w:val="bottom"/>
            <w:gridSpan w:val="2"/>
          </w:tcPr>
          <w:p>
            <w:pPr>
              <w:jc w:val="right"/>
              <w:ind w:right="8740"/>
              <w:spacing w:after="0"/>
              <w:rPr>
                <w:sz w:val="20"/>
                <w:szCs w:val="20"/>
                <w:color w:val="auto"/>
              </w:rPr>
            </w:pPr>
            <w:r>
              <w:rPr>
                <w:rFonts w:ascii="Arial" w:cs="Arial" w:eastAsia="Arial" w:hAnsi="Arial"/>
                <w:sz w:val="20"/>
                <w:szCs w:val="20"/>
                <w:color w:val="auto"/>
              </w:rPr>
              <w:t>9,260,907</w:t>
            </w:r>
            <w:r>
              <w:rPr>
                <w:rFonts w:ascii="Arial" w:cs="Arial" w:eastAsia="Arial" w:hAnsi="Arial"/>
                <w:sz w:val="12"/>
                <w:szCs w:val="12"/>
                <w:color w:val="auto"/>
              </w:rPr>
              <w:t>(1)</w:t>
            </w:r>
          </w:p>
        </w:tc>
      </w:tr>
      <w:tr>
        <w:trPr>
          <w:trHeight w:val="50"/>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r>
    </w:tbl>
    <w:p>
      <w:pPr>
        <w:sectPr>
          <w:pgSz w:w="11900" w:h="1687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r>
              <w:rPr>
                <w:rFonts w:ascii="Arial" w:cs="Arial" w:eastAsia="Arial" w:hAnsi="Arial"/>
                <w:sz w:val="20"/>
                <w:szCs w:val="20"/>
                <w:color w:val="auto"/>
              </w:rPr>
              <w:t>Beneficially</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rPr>
                <w:sz w:val="20"/>
                <w:szCs w:val="20"/>
                <w:color w:val="auto"/>
              </w:rPr>
            </w:pPr>
            <w:r>
              <w:rPr>
                <w:rFonts w:ascii="Arial" w:cs="Arial" w:eastAsia="Arial" w:hAnsi="Arial"/>
                <w:sz w:val="20"/>
                <w:szCs w:val="20"/>
                <w:color w:val="auto"/>
              </w:rPr>
              <w:t>Each</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35"/>
        </w:trPr>
        <w:tc>
          <w:tcPr>
            <w:tcW w:w="1140" w:type="dxa"/>
            <w:vAlign w:val="bottom"/>
            <w:vMerge w:val="restart"/>
          </w:tcPr>
          <w:p>
            <w:pPr>
              <w:spacing w:after="0"/>
              <w:rPr>
                <w:sz w:val="20"/>
                <w:szCs w:val="20"/>
                <w:color w:val="auto"/>
              </w:rPr>
            </w:pPr>
            <w:r>
              <w:rPr>
                <w:rFonts w:ascii="Arial" w:cs="Arial" w:eastAsia="Arial" w:hAnsi="Arial"/>
                <w:sz w:val="20"/>
                <w:szCs w:val="20"/>
                <w:color w:val="auto"/>
              </w:rPr>
              <w:t>Reporting</w:t>
            </w:r>
          </w:p>
        </w:tc>
        <w:tc>
          <w:tcPr>
            <w:tcW w:w="440" w:type="dxa"/>
            <w:vAlign w:val="bottom"/>
            <w:vMerge w:val="continue"/>
          </w:tcPr>
          <w:p>
            <w:pPr>
              <w:spacing w:after="0"/>
              <w:rPr>
                <w:sz w:val="11"/>
                <w:szCs w:val="11"/>
                <w:color w:val="auto"/>
              </w:rPr>
            </w:pPr>
          </w:p>
        </w:tc>
        <w:tc>
          <w:tcPr>
            <w:tcW w:w="9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9,260,907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line="206" w:lineRule="exact"/>
              <w:rPr>
                <w:sz w:val="20"/>
                <w:szCs w:val="20"/>
                <w:color w:val="auto"/>
              </w:rPr>
            </w:pPr>
            <w:r>
              <w:rPr>
                <w:rFonts w:ascii="Arial" w:cs="Arial" w:eastAsia="Arial" w:hAnsi="Arial"/>
                <w:sz w:val="20"/>
                <w:szCs w:val="20"/>
                <w:color w:val="auto"/>
              </w:rPr>
              <w:t>Person</w:t>
            </w:r>
          </w:p>
        </w:tc>
        <w:tc>
          <w:tcPr>
            <w:tcW w:w="440" w:type="dxa"/>
            <w:vAlign w:val="bottom"/>
          </w:tcPr>
          <w:p>
            <w:pPr>
              <w:spacing w:after="0"/>
              <w:rPr>
                <w:sz w:val="13"/>
                <w:szCs w:val="13"/>
                <w:color w:val="auto"/>
              </w:rPr>
            </w:pPr>
          </w:p>
        </w:tc>
        <w:tc>
          <w:tcPr>
            <w:tcW w:w="9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1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0"/>
                <w:szCs w:val="20"/>
                <w:color w:val="auto"/>
              </w:rPr>
            </w:pPr>
            <w:r>
              <w:rPr>
                <w:rFonts w:ascii="Arial" w:cs="Arial" w:eastAsia="Arial" w:hAnsi="Arial"/>
                <w:sz w:val="20"/>
                <w:szCs w:val="20"/>
                <w:color w:val="auto"/>
              </w:rPr>
              <w:t>With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31750</wp:posOffset>
            </wp:positionV>
            <wp:extent cx="6191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7" w:lineRule="exact"/>
        <w:rPr>
          <w:sz w:val="20"/>
          <w:szCs w:val="20"/>
          <w:color w:val="auto"/>
        </w:rPr>
      </w:pPr>
    </w:p>
    <w:p>
      <w:pPr>
        <w:ind w:left="800" w:right="5320" w:hanging="502"/>
        <w:spacing w:after="0" w:line="260" w:lineRule="auto"/>
        <w:tabs>
          <w:tab w:leader="none" w:pos="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27,894,579</w:t>
      </w: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20320</wp:posOffset>
            </wp:positionV>
            <wp:extent cx="6783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62" w:lineRule="exact"/>
        <w:rPr>
          <w:sz w:val="20"/>
          <w:szCs w:val="20"/>
          <w:color w:val="auto"/>
        </w:rPr>
      </w:pPr>
    </w:p>
    <w:p>
      <w:pPr>
        <w:ind w:left="800" w:hanging="551"/>
        <w:spacing w:after="0"/>
        <w:tabs>
          <w:tab w:leader="none" w:pos="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37" w:lineRule="exact"/>
        <w:rPr>
          <w:rFonts w:ascii="Arial" w:cs="Arial" w:eastAsia="Arial" w:hAnsi="Arial"/>
          <w:sz w:val="20"/>
          <w:szCs w:val="20"/>
          <w:color w:val="auto"/>
        </w:rPr>
      </w:pPr>
    </w:p>
    <w:p>
      <w:pPr>
        <w:ind w:left="800" w:right="6440" w:hanging="547"/>
        <w:spacing w:after="0" w:line="260" w:lineRule="auto"/>
        <w:tabs>
          <w:tab w:leader="none" w:pos="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Percent of Class Represented by Amount in Row (9) 5.8%</w:t>
      </w:r>
    </w:p>
    <w:p>
      <w:pPr>
        <w:spacing w:after="0" w:line="82" w:lineRule="exact"/>
        <w:rPr>
          <w:rFonts w:ascii="Arial" w:cs="Arial" w:eastAsia="Arial" w:hAnsi="Arial"/>
          <w:sz w:val="20"/>
          <w:szCs w:val="20"/>
          <w:color w:val="auto"/>
        </w:rPr>
      </w:pPr>
    </w:p>
    <w:p>
      <w:pPr>
        <w:ind w:left="800" w:hanging="551"/>
        <w:spacing w:after="0"/>
        <w:tabs>
          <w:tab w:leader="none" w:pos="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783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-333375</wp:posOffset>
            </wp:positionV>
            <wp:extent cx="6783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-702310</wp:posOffset>
            </wp:positionV>
            <wp:extent cx="6783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 w:lineRule="exact"/>
        <w:rPr>
          <w:sz w:val="20"/>
          <w:szCs w:val="20"/>
          <w:color w:val="auto"/>
        </w:rPr>
      </w:pPr>
    </w:p>
    <w:p>
      <w:pPr>
        <w:ind w:right="80"/>
        <w:spacing w:after="0" w:line="220"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All shares of Common Stock held by Cascade Investment, L.L.C. (“Cascade”) may be deemed to be beneficially owned by William H. Gates III as the sole member of Cascade.</w:t>
      </w:r>
    </w:p>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(2)</w:t>
      </w:r>
      <w:r>
        <w:rPr>
          <w:rFonts w:ascii="Arial" w:cs="Arial" w:eastAsia="Arial" w:hAnsi="Arial"/>
          <w:sz w:val="19"/>
          <w:szCs w:val="19"/>
          <w:color w:val="auto"/>
        </w:rPr>
        <w:t>Bill &amp; Melinda Gates Foundation Trust (the “Trust”) beneficially owns 9,260,907 shares of Common Stock of Waste Management, Inc. (the</w:t>
      </w:r>
      <w:r>
        <w:rPr>
          <w:rFonts w:ascii="Arial" w:cs="Arial" w:eastAsia="Arial" w:hAnsi="Arial"/>
          <w:sz w:val="13"/>
          <w:szCs w:val="13"/>
          <w:color w:val="auto"/>
        </w:rPr>
        <w:t xml:space="preserve"> </w:t>
      </w:r>
      <w:r>
        <w:rPr>
          <w:rFonts w:ascii="Arial" w:cs="Arial" w:eastAsia="Arial" w:hAnsi="Arial"/>
          <w:sz w:val="19"/>
          <w:szCs w:val="19"/>
          <w:color w:val="auto"/>
        </w:rPr>
        <w:t>“Issuer”).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800" w:right="8300" w:hanging="502"/>
        <w:spacing w:after="0" w:line="369"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14" w:lineRule="exact"/>
        <w:rPr>
          <w:rFonts w:ascii="Arial" w:cs="Arial" w:eastAsia="Arial" w:hAnsi="Arial"/>
          <w:sz w:val="16"/>
          <w:szCs w:val="16"/>
          <w:color w:val="auto"/>
        </w:rPr>
      </w:pPr>
    </w:p>
    <w:p>
      <w:pPr>
        <w:ind w:left="800" w:hanging="502"/>
        <w:spacing w:after="0"/>
        <w:tabs>
          <w:tab w:leader="none" w:pos="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o</w:t>
      </w:r>
    </w:p>
    <w:p>
      <w:pPr>
        <w:spacing w:after="0" w:line="97"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13"/>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31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-8890</wp:posOffset>
            </wp:positionV>
            <wp:extent cx="6783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-377825</wp:posOffset>
            </wp:positionV>
            <wp:extent cx="6783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-591820</wp:posOffset>
            </wp:positionV>
            <wp:extent cx="6440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-823595</wp:posOffset>
            </wp:positionV>
            <wp:extent cx="6440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-1261110</wp:posOffset>
            </wp:positionV>
            <wp:extent cx="6783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1"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9,260,907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99"/>
        </w:trPr>
        <w:tc>
          <w:tcPr>
            <w:tcW w:w="1140" w:type="dxa"/>
            <w:vAlign w:val="bottom"/>
          </w:tcPr>
          <w:p>
            <w:pPr>
              <w:spacing w:after="0" w:line="199" w:lineRule="exact"/>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7"/>
                <w:szCs w:val="1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8"/>
        </w:trPr>
        <w:tc>
          <w:tcPr>
            <w:tcW w:w="1140" w:type="dxa"/>
            <w:vAlign w:val="bottom"/>
            <w:vMerge w:val="restart"/>
          </w:tcPr>
          <w:p>
            <w:pPr>
              <w:spacing w:after="0"/>
              <w:rPr>
                <w:sz w:val="20"/>
                <w:szCs w:val="20"/>
                <w:color w:val="auto"/>
              </w:rPr>
            </w:pPr>
            <w:r>
              <w:rPr>
                <w:rFonts w:ascii="Arial" w:cs="Arial" w:eastAsia="Arial" w:hAnsi="Arial"/>
                <w:sz w:val="20"/>
                <w:szCs w:val="20"/>
                <w:color w:val="auto"/>
              </w:rPr>
              <w:t>Person</w:t>
            </w:r>
          </w:p>
        </w:tc>
        <w:tc>
          <w:tcPr>
            <w:tcW w:w="440" w:type="dxa"/>
            <w:vAlign w:val="bottom"/>
          </w:tcPr>
          <w:p>
            <w:pPr>
              <w:spacing w:after="0"/>
              <w:rPr>
                <w:sz w:val="7"/>
                <w:szCs w:val="7"/>
                <w:color w:val="auto"/>
              </w:rPr>
            </w:pPr>
          </w:p>
        </w:tc>
        <w:tc>
          <w:tcPr>
            <w:tcW w:w="9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140" w:type="dxa"/>
            <w:vAlign w:val="bottom"/>
            <w:vMerge w:val="continue"/>
          </w:tcPr>
          <w:p>
            <w:pPr>
              <w:spacing w:after="0"/>
              <w:rPr>
                <w:sz w:val="4"/>
                <w:szCs w:val="4"/>
                <w:color w:val="auto"/>
              </w:rPr>
            </w:pP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9,260,907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0"/>
          <w:szCs w:val="20"/>
          <w:color w:val="auto"/>
        </w:rPr>
      </w:pPr>
    </w:p>
    <w:p>
      <w:pPr>
        <w:ind w:left="800" w:right="5320" w:hanging="502"/>
        <w:spacing w:after="0" w:line="260" w:lineRule="auto"/>
        <w:tabs>
          <w:tab w:leader="none" w:pos="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9,260,907</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20320</wp:posOffset>
            </wp:positionV>
            <wp:extent cx="6783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62" w:lineRule="exact"/>
        <w:rPr>
          <w:sz w:val="20"/>
          <w:szCs w:val="20"/>
          <w:color w:val="auto"/>
        </w:rPr>
      </w:pPr>
    </w:p>
    <w:p>
      <w:pPr>
        <w:ind w:left="800" w:hanging="551"/>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37" w:lineRule="exact"/>
        <w:rPr>
          <w:rFonts w:ascii="Arial" w:cs="Arial" w:eastAsia="Arial" w:hAnsi="Arial"/>
          <w:sz w:val="20"/>
          <w:szCs w:val="20"/>
          <w:color w:val="auto"/>
        </w:rPr>
      </w:pPr>
    </w:p>
    <w:p>
      <w:pPr>
        <w:ind w:left="800" w:right="6440" w:hanging="547"/>
        <w:spacing w:after="0" w:line="26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Percent of Class Represented by Amount in Row (9) 1.9%</w:t>
      </w:r>
    </w:p>
    <w:p>
      <w:pPr>
        <w:spacing w:after="0" w:line="82" w:lineRule="exact"/>
        <w:rPr>
          <w:rFonts w:ascii="Arial" w:cs="Arial" w:eastAsia="Arial" w:hAnsi="Arial"/>
          <w:sz w:val="20"/>
          <w:szCs w:val="20"/>
          <w:color w:val="auto"/>
        </w:rPr>
      </w:pPr>
    </w:p>
    <w:p>
      <w:pPr>
        <w:ind w:left="800" w:hanging="551"/>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7837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-333375</wp:posOffset>
            </wp:positionV>
            <wp:extent cx="6783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-702310</wp:posOffset>
            </wp:positionV>
            <wp:extent cx="6783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 w:lineRule="exact"/>
        <w:rPr>
          <w:sz w:val="20"/>
          <w:szCs w:val="20"/>
          <w:color w:val="auto"/>
        </w:rPr>
      </w:pPr>
    </w:p>
    <w:p>
      <w:pPr>
        <w:ind w:right="100"/>
        <w:spacing w:after="0" w:line="230"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Bill &amp; Melinda Gates Foundation Trust (the “Trust”) beneficially owns 9,260,907 shares of Common Stock of Waste Management, Inc. (the “Issuer”).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sectPr>
          <w:pgSz w:w="11900" w:h="16838" w:orient="portrait"/>
          <w:cols w:equalWidth="0" w:num="1">
            <w:col w:w="11420"/>
          </w:cols>
          <w:pgMar w:left="240" w:top="121"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b w:val="1"/>
          <w:bCs w:val="1"/>
          <w:color w:val="auto"/>
        </w:rPr>
        <w:t>Item 1.</w:t>
      </w:r>
    </w:p>
    <w:p>
      <w:pPr>
        <w:spacing w:after="0" w:line="114" w:lineRule="exact"/>
        <w:rPr>
          <w:sz w:val="20"/>
          <w:szCs w:val="20"/>
          <w:color w:val="auto"/>
        </w:rPr>
      </w:pPr>
    </w:p>
    <w:p>
      <w:pPr>
        <w:ind w:left="1380" w:hanging="483"/>
        <w:spacing w:after="0"/>
        <w:tabs>
          <w:tab w:leader="none" w:pos="1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15" w:lineRule="exact"/>
        <w:rPr>
          <w:rFonts w:ascii="Arial" w:cs="Arial" w:eastAsia="Arial" w:hAnsi="Arial"/>
          <w:sz w:val="20"/>
          <w:szCs w:val="20"/>
          <w:color w:val="auto"/>
        </w:rPr>
      </w:pPr>
    </w:p>
    <w:p>
      <w:pPr>
        <w:ind w:left="1380"/>
        <w:spacing w:after="0"/>
        <w:rPr>
          <w:rFonts w:ascii="Arial" w:cs="Arial" w:eastAsia="Arial" w:hAnsi="Arial"/>
          <w:sz w:val="20"/>
          <w:szCs w:val="20"/>
          <w:color w:val="auto"/>
        </w:rPr>
      </w:pPr>
      <w:r>
        <w:rPr>
          <w:rFonts w:ascii="Arial" w:cs="Arial" w:eastAsia="Arial" w:hAnsi="Arial"/>
          <w:sz w:val="20"/>
          <w:szCs w:val="20"/>
          <w:color w:val="auto"/>
        </w:rPr>
        <w:t>Waste Management, Inc. (the “Issuer”)</w:t>
      </w:r>
    </w:p>
    <w:p>
      <w:pPr>
        <w:spacing w:after="0" w:line="105" w:lineRule="exact"/>
        <w:rPr>
          <w:rFonts w:ascii="Arial" w:cs="Arial" w:eastAsia="Arial" w:hAnsi="Arial"/>
          <w:sz w:val="20"/>
          <w:szCs w:val="20"/>
          <w:color w:val="auto"/>
        </w:rPr>
      </w:pPr>
    </w:p>
    <w:p>
      <w:pPr>
        <w:ind w:left="1380" w:hanging="488"/>
        <w:spacing w:after="0"/>
        <w:tabs>
          <w:tab w:leader="none" w:pos="1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15" w:lineRule="exact"/>
        <w:rPr>
          <w:rFonts w:ascii="Arial" w:cs="Arial" w:eastAsia="Arial" w:hAnsi="Arial"/>
          <w:sz w:val="20"/>
          <w:szCs w:val="20"/>
          <w:color w:val="auto"/>
        </w:rPr>
      </w:pPr>
    </w:p>
    <w:p>
      <w:pPr>
        <w:ind w:left="1380"/>
        <w:spacing w:after="0"/>
        <w:rPr>
          <w:rFonts w:ascii="Arial" w:cs="Arial" w:eastAsia="Arial" w:hAnsi="Arial"/>
          <w:sz w:val="20"/>
          <w:szCs w:val="20"/>
          <w:color w:val="auto"/>
        </w:rPr>
      </w:pPr>
      <w:r>
        <w:rPr>
          <w:rFonts w:ascii="Arial" w:cs="Arial" w:eastAsia="Arial" w:hAnsi="Arial"/>
          <w:sz w:val="20"/>
          <w:szCs w:val="20"/>
          <w:color w:val="auto"/>
        </w:rPr>
        <w:t>1001 Fannin Street, Suite 4000,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-333375</wp:posOffset>
            </wp:positionV>
            <wp:extent cx="6423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114" w:lineRule="exact"/>
        <w:rPr>
          <w:sz w:val="20"/>
          <w:szCs w:val="20"/>
          <w:color w:val="auto"/>
        </w:rPr>
      </w:pPr>
    </w:p>
    <w:p>
      <w:pPr>
        <w:ind w:left="1380" w:hanging="483"/>
        <w:spacing w:after="0"/>
        <w:tabs>
          <w:tab w:leader="none" w:pos="13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Name of Person Filing</w:t>
      </w:r>
    </w:p>
    <w:p>
      <w:pPr>
        <w:spacing w:after="0" w:line="15" w:lineRule="exact"/>
        <w:rPr>
          <w:rFonts w:ascii="Arial" w:cs="Arial" w:eastAsia="Arial" w:hAnsi="Arial"/>
          <w:sz w:val="20"/>
          <w:szCs w:val="20"/>
          <w:color w:val="auto"/>
        </w:rPr>
      </w:pPr>
    </w:p>
    <w:p>
      <w:pPr>
        <w:ind w:left="1380" w:right="200"/>
        <w:spacing w:after="0" w:line="244" w:lineRule="auto"/>
        <w:rPr>
          <w:rFonts w:ascii="Arial" w:cs="Arial" w:eastAsia="Arial" w:hAnsi="Arial"/>
          <w:sz w:val="20"/>
          <w:szCs w:val="20"/>
          <w:color w:val="auto"/>
        </w:rPr>
      </w:pPr>
      <w:r>
        <w:rPr>
          <w:rFonts w:ascii="Arial" w:cs="Arial" w:eastAsia="Arial" w:hAnsi="Arial"/>
          <w:sz w:val="20"/>
          <w:szCs w:val="20"/>
          <w:color w:val="auto"/>
        </w:rPr>
        <w:t>Cascade Investment, L.L.C. (“Cascade”), Bill &amp; Melinda Gates Foundation Trust (the “Trust”), Melinda French Gates and William H. Gates III (together, “Reporting Persons”)</w:t>
      </w:r>
      <w:r>
        <w:rPr>
          <w:rFonts w:ascii="Arial" w:cs="Arial" w:eastAsia="Arial" w:hAnsi="Arial"/>
          <w:sz w:val="12"/>
          <w:szCs w:val="12"/>
          <w:color w:val="auto"/>
        </w:rPr>
        <w:t>(1)</w:t>
      </w:r>
    </w:p>
    <w:p>
      <w:pPr>
        <w:spacing w:after="0" w:line="97" w:lineRule="exact"/>
        <w:rPr>
          <w:rFonts w:ascii="Arial" w:cs="Arial" w:eastAsia="Arial" w:hAnsi="Arial"/>
          <w:sz w:val="20"/>
          <w:szCs w:val="20"/>
          <w:color w:val="auto"/>
        </w:rPr>
      </w:pPr>
    </w:p>
    <w:p>
      <w:pPr>
        <w:ind w:left="1380" w:right="4620" w:hanging="488"/>
        <w:spacing w:after="0" w:line="278"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Cascade – 2365 Carillon Point, Kirkland, Washington 98033 The Trust – 1551 Eastlake Avenue E., Seattle, Washington 98102 Mr. Gates – One Microsoft Way, Redmond, Washington 98052 Mrs. Gates – 1551 Eastlake Avenue E., Seattle, Washington 98102</w:t>
      </w:r>
    </w:p>
    <w:p>
      <w:pPr>
        <w:spacing w:after="0" w:line="70" w:lineRule="exact"/>
        <w:rPr>
          <w:rFonts w:ascii="Arial" w:cs="Arial" w:eastAsia="Arial" w:hAnsi="Arial"/>
          <w:sz w:val="18"/>
          <w:szCs w:val="18"/>
          <w:color w:val="auto"/>
        </w:rPr>
      </w:pPr>
    </w:p>
    <w:p>
      <w:pPr>
        <w:ind w:left="1380" w:hanging="483"/>
        <w:spacing w:after="0"/>
        <w:tabs>
          <w:tab w:leader="none" w:pos="13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15" w:lineRule="exact"/>
        <w:rPr>
          <w:rFonts w:ascii="Arial" w:cs="Arial" w:eastAsia="Arial" w:hAnsi="Arial"/>
          <w:sz w:val="20"/>
          <w:szCs w:val="20"/>
          <w:color w:val="auto"/>
        </w:rPr>
      </w:pPr>
    </w:p>
    <w:p>
      <w:pPr>
        <w:ind w:left="1380" w:right="2640"/>
        <w:spacing w:after="0" w:line="299" w:lineRule="auto"/>
        <w:rPr>
          <w:rFonts w:ascii="Arial" w:cs="Arial" w:eastAsia="Arial" w:hAnsi="Arial"/>
          <w:sz w:val="20"/>
          <w:szCs w:val="20"/>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ind w:left="1380"/>
        <w:spacing w:after="0"/>
        <w:rPr>
          <w:rFonts w:ascii="Arial" w:cs="Arial" w:eastAsia="Arial" w:hAnsi="Arial"/>
          <w:sz w:val="20"/>
          <w:szCs w:val="20"/>
          <w:color w:val="auto"/>
        </w:rPr>
      </w:pPr>
      <w:r>
        <w:rPr>
          <w:rFonts w:ascii="Arial" w:cs="Arial" w:eastAsia="Arial" w:hAnsi="Arial"/>
          <w:sz w:val="20"/>
          <w:szCs w:val="20"/>
          <w:color w:val="auto"/>
        </w:rPr>
        <w:t>Mr. and Mrs. Gates are citizens of the United States of America.</w:t>
      </w:r>
    </w:p>
    <w:p>
      <w:pPr>
        <w:spacing w:after="0" w:line="105" w:lineRule="exact"/>
        <w:rPr>
          <w:rFonts w:ascii="Arial" w:cs="Arial" w:eastAsia="Arial" w:hAnsi="Arial"/>
          <w:sz w:val="20"/>
          <w:szCs w:val="20"/>
          <w:color w:val="auto"/>
        </w:rPr>
      </w:pPr>
    </w:p>
    <w:p>
      <w:pPr>
        <w:ind w:left="1380" w:right="7440" w:hanging="488"/>
        <w:spacing w:after="0" w:line="369"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Title of Class of Securities Common Stock, $.01 par value</w:t>
      </w:r>
    </w:p>
    <w:p>
      <w:pPr>
        <w:spacing w:after="0" w:line="14" w:lineRule="exact"/>
        <w:rPr>
          <w:rFonts w:ascii="Arial" w:cs="Arial" w:eastAsia="Arial" w:hAnsi="Arial"/>
          <w:sz w:val="16"/>
          <w:szCs w:val="16"/>
          <w:color w:val="auto"/>
        </w:rPr>
      </w:pPr>
    </w:p>
    <w:p>
      <w:pPr>
        <w:ind w:left="1380" w:right="8640" w:hanging="483"/>
        <w:spacing w:after="0" w:line="316"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-8890</wp:posOffset>
            </wp:positionV>
            <wp:extent cx="64230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-377825</wp:posOffset>
            </wp:positionV>
            <wp:extent cx="64230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-746125</wp:posOffset>
            </wp:positionV>
            <wp:extent cx="64230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-1406525</wp:posOffset>
            </wp:positionV>
            <wp:extent cx="64230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-2212975</wp:posOffset>
            </wp:positionV>
            <wp:extent cx="64230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0"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102"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1360" w:hanging="463"/>
        <w:spacing w:after="0"/>
        <w:tabs>
          <w:tab w:leader="none" w:pos="1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3"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See the responses to Item 9 on the attached cover pages.</w:t>
      </w:r>
    </w:p>
    <w:p>
      <w:pPr>
        <w:spacing w:after="0" w:line="121" w:lineRule="exact"/>
        <w:rPr>
          <w:rFonts w:ascii="Arial" w:cs="Arial" w:eastAsia="Arial" w:hAnsi="Arial"/>
          <w:sz w:val="20"/>
          <w:szCs w:val="20"/>
          <w:color w:val="auto"/>
        </w:rPr>
      </w:pPr>
    </w:p>
    <w:p>
      <w:pPr>
        <w:ind w:left="1360" w:hanging="468"/>
        <w:spacing w:after="0"/>
        <w:tabs>
          <w:tab w:leader="none" w:pos="1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3"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See the responses to Item 11 on the attached cover pages.</w:t>
      </w:r>
    </w:p>
    <w:p>
      <w:pPr>
        <w:spacing w:after="0" w:line="121" w:lineRule="exact"/>
        <w:rPr>
          <w:rFonts w:ascii="Arial" w:cs="Arial" w:eastAsia="Arial" w:hAnsi="Arial"/>
          <w:sz w:val="20"/>
          <w:szCs w:val="20"/>
          <w:color w:val="auto"/>
        </w:rPr>
      </w:pPr>
    </w:p>
    <w:p>
      <w:pPr>
        <w:ind w:left="1360" w:hanging="463"/>
        <w:spacing w:after="0"/>
        <w:tabs>
          <w:tab w:leader="none" w:pos="1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121" w:lineRule="exact"/>
        <w:rPr>
          <w:rFonts w:ascii="Arial" w:cs="Arial" w:eastAsia="Arial" w:hAnsi="Arial"/>
          <w:sz w:val="20"/>
          <w:szCs w:val="20"/>
          <w:color w:val="auto"/>
        </w:rPr>
      </w:pPr>
    </w:p>
    <w:p>
      <w:pPr>
        <w:ind w:left="1600" w:hanging="295"/>
        <w:spacing w:after="0"/>
        <w:tabs>
          <w:tab w:leader="none" w:pos="16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53"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44450</wp:posOffset>
            </wp:positionV>
            <wp:extent cx="6277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7761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-357505</wp:posOffset>
            </wp:positionV>
            <wp:extent cx="64230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-580390</wp:posOffset>
            </wp:positionV>
            <wp:extent cx="64230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-983615</wp:posOffset>
            </wp:positionV>
            <wp:extent cx="6423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9" w:lineRule="exact"/>
        <w:rPr>
          <w:sz w:val="20"/>
          <w:szCs w:val="20"/>
          <w:color w:val="auto"/>
        </w:rPr>
      </w:pPr>
    </w:p>
    <w:p>
      <w:pPr>
        <w:ind w:right="100" w:firstLine="8"/>
        <w:spacing w:after="0" w:line="237" w:lineRule="auto"/>
        <w:tabs>
          <w:tab w:leader="none" w:pos="196"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20" w:hanging="478"/>
        <w:spacing w:after="0"/>
        <w:tabs>
          <w:tab w:leader="none" w:pos="1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53"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See the responses to Item 6 on the attached cover pages.</w:t>
      </w:r>
    </w:p>
    <w:p>
      <w:pPr>
        <w:spacing w:after="0" w:line="175" w:lineRule="exact"/>
        <w:rPr>
          <w:rFonts w:ascii="Arial" w:cs="Arial" w:eastAsia="Arial" w:hAnsi="Arial"/>
          <w:sz w:val="20"/>
          <w:szCs w:val="20"/>
          <w:color w:val="auto"/>
        </w:rPr>
      </w:pPr>
    </w:p>
    <w:p>
      <w:pPr>
        <w:ind w:left="1620" w:right="5220" w:hanging="478"/>
        <w:spacing w:after="0" w:line="440"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14" w:lineRule="exact"/>
        <w:rPr>
          <w:rFonts w:ascii="Arial" w:cs="Arial" w:eastAsia="Arial" w:hAnsi="Arial"/>
          <w:sz w:val="16"/>
          <w:szCs w:val="16"/>
          <w:color w:val="auto"/>
        </w:rPr>
      </w:pPr>
    </w:p>
    <w:p>
      <w:pPr>
        <w:ind w:left="1620" w:right="5220" w:hanging="478"/>
        <w:spacing w:after="0" w:line="456"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-38100</wp:posOffset>
            </wp:positionV>
            <wp:extent cx="62687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-475615</wp:posOffset>
            </wp:positionV>
            <wp:extent cx="62687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-913130</wp:posOffset>
            </wp:positionV>
            <wp:extent cx="62687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14"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5 percent of the class of securities, check the following o.</w:t>
      </w:r>
    </w:p>
    <w:p>
      <w:pPr>
        <w:spacing w:after="0" w:line="63"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 Applicable.</w:t>
      </w:r>
    </w:p>
    <w:p>
      <w:pPr>
        <w:spacing w:after="0" w:line="10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w:t>
      </w:r>
    </w:p>
    <w:p>
      <w:pPr>
        <w:sectPr>
          <w:pgSz w:w="11900" w:h="16838" w:orient="portrait"/>
          <w:cols w:equalWidth="0" w:num="1">
            <w:col w:w="11280"/>
          </w:cols>
          <w:pgMar w:left="240" w:top="630" w:right="379" w:bottom="0" w:gutter="0" w:footer="0" w:header="0"/>
        </w:sectPr>
      </w:pPr>
    </w:p>
    <w:bookmarkStart w:id="4" w:name="page5"/>
    <w:bookmarkEnd w:id="4"/>
    <w:p>
      <w:pPr>
        <w:ind w:left="1020"/>
        <w:spacing w:after="0"/>
        <w:rPr>
          <w:sz w:val="20"/>
          <w:szCs w:val="20"/>
          <w:color w:val="auto"/>
        </w:rPr>
      </w:pPr>
      <w:r>
        <w:rPr>
          <w:rFonts w:ascii="Arial" w:cs="Arial" w:eastAsia="Arial" w:hAnsi="Arial"/>
          <w:sz w:val="20"/>
          <w:szCs w:val="20"/>
          <w:b w:val="1"/>
          <w:bCs w:val="1"/>
          <w:color w:val="auto"/>
        </w:rPr>
        <w:t>Company or Control Person</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 Applicable.</w:t>
      </w:r>
    </w:p>
    <w:p>
      <w:pPr>
        <w:spacing w:after="0" w:line="10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 Applicable.</w:t>
      </w:r>
    </w:p>
    <w:p>
      <w:pPr>
        <w:spacing w:after="0" w:line="10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 Applicable.</w:t>
      </w:r>
    </w:p>
    <w:p>
      <w:pPr>
        <w:spacing w:after="0" w:line="10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114" w:lineRule="exact"/>
        <w:rPr>
          <w:sz w:val="20"/>
          <w:szCs w:val="20"/>
          <w:color w:val="auto"/>
        </w:rPr>
      </w:pPr>
    </w:p>
    <w:p>
      <w:pPr>
        <w:ind w:left="640" w:right="80"/>
        <w:spacing w:after="0" w:line="26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20"/>
                <w:szCs w:val="20"/>
                <w:color w:val="auto"/>
              </w:rPr>
              <w:t>Date: February 14, 2011</w:t>
            </w:r>
          </w:p>
        </w:tc>
        <w:tc>
          <w:tcPr>
            <w:tcW w:w="7620" w:type="dxa"/>
            <w:vAlign w:val="bottom"/>
            <w:gridSpan w:val="5"/>
          </w:tcPr>
          <w:p>
            <w:pPr>
              <w:ind w:left="1820"/>
              <w:spacing w:after="0"/>
              <w:rPr>
                <w:sz w:val="20"/>
                <w:szCs w:val="20"/>
                <w:color w:val="auto"/>
              </w:rPr>
            </w:pPr>
            <w:r>
              <w:rPr>
                <w:rFonts w:ascii="Arial" w:cs="Arial" w:eastAsia="Arial" w:hAnsi="Arial"/>
                <w:sz w:val="20"/>
                <w:szCs w:val="20"/>
                <w:color w:val="auto"/>
              </w:rPr>
              <w:t>CASCADE INVESTMENT, L.L.C.</w:t>
            </w:r>
            <w:r>
              <w:rPr>
                <w:rFonts w:ascii="Arial" w:cs="Arial" w:eastAsia="Arial" w:hAnsi="Arial"/>
                <w:sz w:val="12"/>
                <w:szCs w:val="12"/>
                <w:color w:val="auto"/>
              </w:rPr>
              <w:t>(1)</w:t>
            </w:r>
          </w:p>
        </w:tc>
      </w:tr>
      <w:tr>
        <w:trPr>
          <w:trHeight w:val="246"/>
        </w:trPr>
        <w:tc>
          <w:tcPr>
            <w:tcW w:w="3800" w:type="dxa"/>
            <w:vAlign w:val="bottom"/>
          </w:tcPr>
          <w:p>
            <w:pPr>
              <w:spacing w:after="0"/>
              <w:rPr>
                <w:sz w:val="21"/>
                <w:szCs w:val="21"/>
                <w:color w:val="auto"/>
              </w:rPr>
            </w:pPr>
          </w:p>
        </w:tc>
        <w:tc>
          <w:tcPr>
            <w:tcW w:w="2280" w:type="dxa"/>
            <w:vAlign w:val="bottom"/>
          </w:tcPr>
          <w:p>
            <w:pPr>
              <w:ind w:left="1820"/>
              <w:spacing w:after="0"/>
              <w:rPr>
                <w:sz w:val="20"/>
                <w:szCs w:val="20"/>
                <w:color w:val="auto"/>
              </w:rPr>
            </w:pPr>
            <w:r>
              <w:rPr>
                <w:rFonts w:ascii="Arial" w:cs="Arial" w:eastAsia="Arial" w:hAnsi="Arial"/>
                <w:sz w:val="20"/>
                <w:szCs w:val="20"/>
                <w:color w:val="auto"/>
              </w:rPr>
              <w:t>By</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spacing w:after="0"/>
              <w:rPr>
                <w:sz w:val="21"/>
                <w:szCs w:val="21"/>
                <w:color w:val="auto"/>
              </w:rPr>
            </w:pPr>
          </w:p>
        </w:tc>
      </w:tr>
      <w:tr>
        <w:trPr>
          <w:trHeight w:val="206"/>
        </w:trPr>
        <w:tc>
          <w:tcPr>
            <w:tcW w:w="3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gridSpan w:val="2"/>
          </w:tcPr>
          <w:p>
            <w:pPr>
              <w:spacing w:after="0" w:line="207" w:lineRule="exact"/>
              <w:rPr>
                <w:sz w:val="20"/>
                <w:szCs w:val="20"/>
                <w:color w:val="auto"/>
              </w:rPr>
            </w:pPr>
            <w:r>
              <w:rPr>
                <w:rFonts w:ascii="Arial" w:cs="Arial" w:eastAsia="Arial" w:hAnsi="Arial"/>
                <w:sz w:val="20"/>
                <w:szCs w:val="20"/>
                <w:color w:val="auto"/>
              </w:rPr>
              <w:t>Name:</w:t>
            </w:r>
          </w:p>
        </w:tc>
        <w:tc>
          <w:tcPr>
            <w:tcW w:w="4420" w:type="dxa"/>
            <w:vAlign w:val="bottom"/>
            <w:gridSpan w:val="2"/>
          </w:tcPr>
          <w:p>
            <w:pPr>
              <w:ind w:left="400"/>
              <w:spacing w:after="0" w:line="207" w:lineRule="exact"/>
              <w:rPr>
                <w:sz w:val="20"/>
                <w:szCs w:val="20"/>
                <w:color w:val="auto"/>
              </w:rPr>
            </w:pPr>
            <w:r>
              <w:rPr>
                <w:rFonts w:ascii="Arial" w:cs="Arial" w:eastAsia="Arial" w:hAnsi="Arial"/>
                <w:sz w:val="20"/>
                <w:szCs w:val="20"/>
                <w:color w:val="auto"/>
              </w:rPr>
              <w:t>Alan Heuberger</w:t>
            </w:r>
            <w:r>
              <w:rPr>
                <w:rFonts w:ascii="Arial" w:cs="Arial" w:eastAsia="Arial" w:hAnsi="Arial"/>
                <w:sz w:val="12"/>
                <w:szCs w:val="12"/>
                <w:color w:val="auto"/>
              </w:rPr>
              <w:t>(2)</w:t>
            </w:r>
          </w:p>
        </w:tc>
      </w:tr>
      <w:tr>
        <w:trPr>
          <w:trHeight w:val="230"/>
        </w:trPr>
        <w:tc>
          <w:tcPr>
            <w:tcW w:w="3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420" w:type="dxa"/>
            <w:vAlign w:val="bottom"/>
            <w:gridSpan w:val="2"/>
          </w:tcPr>
          <w:p>
            <w:pPr>
              <w:ind w:left="400"/>
              <w:spacing w:after="0"/>
              <w:rPr>
                <w:sz w:val="20"/>
                <w:szCs w:val="20"/>
                <w:color w:val="auto"/>
              </w:rPr>
            </w:pPr>
            <w:r>
              <w:rPr>
                <w:rFonts w:ascii="Arial" w:cs="Arial" w:eastAsia="Arial" w:hAnsi="Arial"/>
                <w:sz w:val="20"/>
                <w:szCs w:val="20"/>
                <w:color w:val="auto"/>
              </w:rPr>
              <w:t>Attorney-in-fact for Michael Larson,</w:t>
            </w:r>
          </w:p>
        </w:tc>
      </w:tr>
      <w:tr>
        <w:trPr>
          <w:trHeight w:val="250"/>
        </w:trPr>
        <w:tc>
          <w:tcPr>
            <w:tcW w:w="3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20" w:type="dxa"/>
            <w:vAlign w:val="bottom"/>
            <w:gridSpan w:val="2"/>
          </w:tcPr>
          <w:p>
            <w:pPr>
              <w:ind w:left="400"/>
              <w:spacing w:after="0"/>
              <w:rPr>
                <w:sz w:val="20"/>
                <w:szCs w:val="20"/>
                <w:color w:val="auto"/>
              </w:rPr>
            </w:pPr>
            <w:r>
              <w:rPr>
                <w:rFonts w:ascii="Arial" w:cs="Arial" w:eastAsia="Arial" w:hAnsi="Arial"/>
                <w:sz w:val="20"/>
                <w:szCs w:val="20"/>
                <w:color w:val="auto"/>
              </w:rPr>
              <w:t>Business Manager</w:t>
            </w:r>
          </w:p>
        </w:tc>
      </w:tr>
      <w:tr>
        <w:trPr>
          <w:trHeight w:val="438"/>
        </w:trPr>
        <w:tc>
          <w:tcPr>
            <w:tcW w:w="3800" w:type="dxa"/>
            <w:vAlign w:val="bottom"/>
          </w:tcPr>
          <w:p>
            <w:pPr>
              <w:spacing w:after="0"/>
              <w:rPr>
                <w:sz w:val="24"/>
                <w:szCs w:val="24"/>
                <w:color w:val="auto"/>
              </w:rPr>
            </w:pPr>
          </w:p>
        </w:tc>
        <w:tc>
          <w:tcPr>
            <w:tcW w:w="7620" w:type="dxa"/>
            <w:vAlign w:val="bottom"/>
            <w:gridSpan w:val="5"/>
          </w:tcPr>
          <w:p>
            <w:pPr>
              <w:ind w:left="1820"/>
              <w:spacing w:after="0"/>
              <w:rPr>
                <w:sz w:val="20"/>
                <w:szCs w:val="20"/>
                <w:color w:val="auto"/>
              </w:rPr>
            </w:pPr>
            <w:r>
              <w:rPr>
                <w:rFonts w:ascii="Arial" w:cs="Arial" w:eastAsia="Arial" w:hAnsi="Arial"/>
                <w:sz w:val="20"/>
                <w:szCs w:val="20"/>
                <w:color w:val="auto"/>
              </w:rPr>
              <w:t>BILL &amp; MELINDA GATES FOUNDATION TRUST</w:t>
            </w:r>
            <w:r>
              <w:rPr>
                <w:rFonts w:ascii="Arial" w:cs="Arial" w:eastAsia="Arial" w:hAnsi="Arial"/>
                <w:sz w:val="12"/>
                <w:szCs w:val="12"/>
                <w:color w:val="auto"/>
              </w:rPr>
              <w:t>(1)</w:t>
            </w:r>
          </w:p>
        </w:tc>
      </w:tr>
      <w:tr>
        <w:trPr>
          <w:trHeight w:val="246"/>
        </w:trPr>
        <w:tc>
          <w:tcPr>
            <w:tcW w:w="3800" w:type="dxa"/>
            <w:vAlign w:val="bottom"/>
          </w:tcPr>
          <w:p>
            <w:pPr>
              <w:spacing w:after="0"/>
              <w:rPr>
                <w:sz w:val="21"/>
                <w:szCs w:val="21"/>
                <w:color w:val="auto"/>
              </w:rPr>
            </w:pPr>
          </w:p>
        </w:tc>
        <w:tc>
          <w:tcPr>
            <w:tcW w:w="2280" w:type="dxa"/>
            <w:vAlign w:val="bottom"/>
          </w:tcPr>
          <w:p>
            <w:pPr>
              <w:ind w:left="1820"/>
              <w:spacing w:after="0"/>
              <w:rPr>
                <w:sz w:val="20"/>
                <w:szCs w:val="20"/>
                <w:color w:val="auto"/>
              </w:rPr>
            </w:pPr>
            <w:r>
              <w:rPr>
                <w:rFonts w:ascii="Arial" w:cs="Arial" w:eastAsia="Arial" w:hAnsi="Arial"/>
                <w:sz w:val="20"/>
                <w:szCs w:val="20"/>
                <w:color w:val="auto"/>
              </w:rPr>
              <w:t>By</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spacing w:after="0"/>
              <w:rPr>
                <w:sz w:val="21"/>
                <w:szCs w:val="21"/>
                <w:color w:val="auto"/>
              </w:rPr>
            </w:pPr>
          </w:p>
        </w:tc>
      </w:tr>
      <w:tr>
        <w:trPr>
          <w:trHeight w:val="206"/>
        </w:trPr>
        <w:tc>
          <w:tcPr>
            <w:tcW w:w="3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gridSpan w:val="2"/>
          </w:tcPr>
          <w:p>
            <w:pPr>
              <w:spacing w:after="0" w:line="207" w:lineRule="exact"/>
              <w:rPr>
                <w:sz w:val="20"/>
                <w:szCs w:val="20"/>
                <w:color w:val="auto"/>
              </w:rPr>
            </w:pPr>
            <w:r>
              <w:rPr>
                <w:rFonts w:ascii="Arial" w:cs="Arial" w:eastAsia="Arial" w:hAnsi="Arial"/>
                <w:sz w:val="20"/>
                <w:szCs w:val="20"/>
                <w:color w:val="auto"/>
              </w:rPr>
              <w:t>Name:</w:t>
            </w:r>
          </w:p>
        </w:tc>
        <w:tc>
          <w:tcPr>
            <w:tcW w:w="4420" w:type="dxa"/>
            <w:vAlign w:val="bottom"/>
            <w:gridSpan w:val="2"/>
          </w:tcPr>
          <w:p>
            <w:pPr>
              <w:ind w:left="40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(3)</w:t>
            </w:r>
          </w:p>
        </w:tc>
      </w:tr>
      <w:tr>
        <w:trPr>
          <w:trHeight w:val="230"/>
        </w:trPr>
        <w:tc>
          <w:tcPr>
            <w:tcW w:w="3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420" w:type="dxa"/>
            <w:vAlign w:val="bottom"/>
            <w:gridSpan w:val="2"/>
          </w:tcPr>
          <w:p>
            <w:pPr>
              <w:ind w:left="400"/>
              <w:spacing w:after="0"/>
              <w:rPr>
                <w:sz w:val="20"/>
                <w:szCs w:val="20"/>
                <w:color w:val="auto"/>
              </w:rPr>
            </w:pPr>
            <w:r>
              <w:rPr>
                <w:rFonts w:ascii="Arial" w:cs="Arial" w:eastAsia="Arial" w:hAnsi="Arial"/>
                <w:sz w:val="20"/>
                <w:szCs w:val="20"/>
                <w:color w:val="auto"/>
              </w:rPr>
              <w:t>Attorney-in-fact for each of the Co-</w:t>
            </w:r>
          </w:p>
        </w:tc>
      </w:tr>
      <w:tr>
        <w:trPr>
          <w:trHeight w:val="230"/>
        </w:trPr>
        <w:tc>
          <w:tcPr>
            <w:tcW w:w="3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20" w:type="dxa"/>
            <w:vAlign w:val="bottom"/>
            <w:gridSpan w:val="2"/>
          </w:tcPr>
          <w:p>
            <w:pPr>
              <w:ind w:left="400"/>
              <w:spacing w:after="0"/>
              <w:rPr>
                <w:sz w:val="20"/>
                <w:szCs w:val="20"/>
                <w:color w:val="auto"/>
              </w:rPr>
            </w:pPr>
            <w:r>
              <w:rPr>
                <w:rFonts w:ascii="Arial" w:cs="Arial" w:eastAsia="Arial" w:hAnsi="Arial"/>
                <w:sz w:val="20"/>
                <w:szCs w:val="20"/>
                <w:color w:val="auto"/>
              </w:rPr>
              <w:t>Trustees, William H. Gates III and</w:t>
            </w:r>
          </w:p>
        </w:tc>
      </w:tr>
      <w:tr>
        <w:trPr>
          <w:trHeight w:val="250"/>
        </w:trPr>
        <w:tc>
          <w:tcPr>
            <w:tcW w:w="3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20" w:type="dxa"/>
            <w:vAlign w:val="bottom"/>
            <w:gridSpan w:val="2"/>
          </w:tcPr>
          <w:p>
            <w:pPr>
              <w:ind w:left="400"/>
              <w:spacing w:after="0"/>
              <w:rPr>
                <w:sz w:val="20"/>
                <w:szCs w:val="20"/>
                <w:color w:val="auto"/>
              </w:rPr>
            </w:pPr>
            <w:r>
              <w:rPr>
                <w:rFonts w:ascii="Arial" w:cs="Arial" w:eastAsia="Arial" w:hAnsi="Arial"/>
                <w:sz w:val="20"/>
                <w:szCs w:val="20"/>
                <w:color w:val="auto"/>
              </w:rPr>
              <w:t>Melinda French Gates</w:t>
            </w:r>
          </w:p>
        </w:tc>
      </w:tr>
      <w:tr>
        <w:trPr>
          <w:trHeight w:val="438"/>
        </w:trPr>
        <w:tc>
          <w:tcPr>
            <w:tcW w:w="3800" w:type="dxa"/>
            <w:vAlign w:val="bottom"/>
          </w:tcPr>
          <w:p>
            <w:pPr>
              <w:spacing w:after="0"/>
              <w:rPr>
                <w:sz w:val="24"/>
                <w:szCs w:val="24"/>
                <w:color w:val="auto"/>
              </w:rPr>
            </w:pPr>
          </w:p>
        </w:tc>
        <w:tc>
          <w:tcPr>
            <w:tcW w:w="7620" w:type="dxa"/>
            <w:vAlign w:val="bottom"/>
            <w:gridSpan w:val="5"/>
          </w:tcPr>
          <w:p>
            <w:pPr>
              <w:ind w:left="1820"/>
              <w:spacing w:after="0"/>
              <w:rPr>
                <w:sz w:val="20"/>
                <w:szCs w:val="20"/>
                <w:color w:val="auto"/>
              </w:rPr>
            </w:pPr>
            <w:r>
              <w:rPr>
                <w:rFonts w:ascii="Arial" w:cs="Arial" w:eastAsia="Arial" w:hAnsi="Arial"/>
                <w:sz w:val="20"/>
                <w:szCs w:val="20"/>
                <w:color w:val="auto"/>
              </w:rPr>
              <w:t>WILLIAM H. GATES III</w:t>
            </w:r>
            <w:r>
              <w:rPr>
                <w:rFonts w:ascii="Arial" w:cs="Arial" w:eastAsia="Arial" w:hAnsi="Arial"/>
                <w:sz w:val="12"/>
                <w:szCs w:val="12"/>
                <w:color w:val="auto"/>
              </w:rPr>
              <w:t>(1)</w:t>
            </w:r>
          </w:p>
        </w:tc>
      </w:tr>
      <w:tr>
        <w:trPr>
          <w:trHeight w:val="246"/>
        </w:trPr>
        <w:tc>
          <w:tcPr>
            <w:tcW w:w="3800" w:type="dxa"/>
            <w:vAlign w:val="bottom"/>
          </w:tcPr>
          <w:p>
            <w:pPr>
              <w:spacing w:after="0"/>
              <w:rPr>
                <w:sz w:val="21"/>
                <w:szCs w:val="21"/>
                <w:color w:val="auto"/>
              </w:rPr>
            </w:pPr>
          </w:p>
        </w:tc>
        <w:tc>
          <w:tcPr>
            <w:tcW w:w="2280" w:type="dxa"/>
            <w:vAlign w:val="bottom"/>
          </w:tcPr>
          <w:p>
            <w:pPr>
              <w:ind w:left="1820"/>
              <w:spacing w:after="0"/>
              <w:rPr>
                <w:sz w:val="20"/>
                <w:szCs w:val="20"/>
                <w:color w:val="auto"/>
              </w:rPr>
            </w:pPr>
            <w:r>
              <w:rPr>
                <w:rFonts w:ascii="Arial" w:cs="Arial" w:eastAsia="Arial" w:hAnsi="Arial"/>
                <w:sz w:val="20"/>
                <w:szCs w:val="20"/>
                <w:color w:val="auto"/>
              </w:rPr>
              <w:t>By</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spacing w:after="0"/>
              <w:rPr>
                <w:sz w:val="21"/>
                <w:szCs w:val="21"/>
                <w:color w:val="auto"/>
              </w:rPr>
            </w:pPr>
          </w:p>
        </w:tc>
      </w:tr>
      <w:tr>
        <w:trPr>
          <w:trHeight w:val="206"/>
        </w:trPr>
        <w:tc>
          <w:tcPr>
            <w:tcW w:w="3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340" w:type="dxa"/>
            <w:vAlign w:val="bottom"/>
            <w:gridSpan w:val="4"/>
          </w:tcPr>
          <w:p>
            <w:pPr>
              <w:spacing w:after="0" w:line="207" w:lineRule="exact"/>
              <w:rPr>
                <w:sz w:val="20"/>
                <w:szCs w:val="20"/>
                <w:color w:val="auto"/>
              </w:rPr>
            </w:pPr>
            <w:r>
              <w:rPr>
                <w:rFonts w:ascii="Arial" w:cs="Arial" w:eastAsia="Arial" w:hAnsi="Arial"/>
                <w:sz w:val="20"/>
                <w:szCs w:val="20"/>
                <w:color w:val="auto"/>
              </w:rPr>
              <w:t>Name: Alan Heuberger</w:t>
            </w:r>
            <w:r>
              <w:rPr>
                <w:rFonts w:ascii="Arial" w:cs="Arial" w:eastAsia="Arial" w:hAnsi="Arial"/>
                <w:sz w:val="12"/>
                <w:szCs w:val="12"/>
                <w:color w:val="auto"/>
              </w:rPr>
              <w:t>(3)(4)</w:t>
            </w:r>
          </w:p>
        </w:tc>
      </w:tr>
      <w:tr>
        <w:trPr>
          <w:trHeight w:val="250"/>
        </w:trPr>
        <w:tc>
          <w:tcPr>
            <w:tcW w:w="3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20"/>
                <w:szCs w:val="20"/>
                <w:color w:val="auto"/>
              </w:rPr>
              <w:t>Title:  Attorney-in-fact</w:t>
            </w:r>
          </w:p>
        </w:tc>
      </w:tr>
      <w:tr>
        <w:trPr>
          <w:trHeight w:val="438"/>
        </w:trPr>
        <w:tc>
          <w:tcPr>
            <w:tcW w:w="3800" w:type="dxa"/>
            <w:vAlign w:val="bottom"/>
          </w:tcPr>
          <w:p>
            <w:pPr>
              <w:spacing w:after="0"/>
              <w:rPr>
                <w:sz w:val="24"/>
                <w:szCs w:val="24"/>
                <w:color w:val="auto"/>
              </w:rPr>
            </w:pPr>
          </w:p>
        </w:tc>
        <w:tc>
          <w:tcPr>
            <w:tcW w:w="7620" w:type="dxa"/>
            <w:vAlign w:val="bottom"/>
            <w:gridSpan w:val="5"/>
          </w:tcPr>
          <w:p>
            <w:pPr>
              <w:ind w:left="1820"/>
              <w:spacing w:after="0"/>
              <w:rPr>
                <w:sz w:val="20"/>
                <w:szCs w:val="20"/>
                <w:color w:val="auto"/>
              </w:rPr>
            </w:pPr>
            <w:r>
              <w:rPr>
                <w:rFonts w:ascii="Arial" w:cs="Arial" w:eastAsia="Arial" w:hAnsi="Arial"/>
                <w:sz w:val="20"/>
                <w:szCs w:val="20"/>
                <w:color w:val="auto"/>
              </w:rPr>
              <w:t>MELINDA FRENCH GATES</w:t>
            </w:r>
            <w:r>
              <w:rPr>
                <w:rFonts w:ascii="Arial" w:cs="Arial" w:eastAsia="Arial" w:hAnsi="Arial"/>
                <w:sz w:val="12"/>
                <w:szCs w:val="12"/>
                <w:color w:val="auto"/>
              </w:rPr>
              <w:t>(1)</w:t>
            </w:r>
          </w:p>
        </w:tc>
      </w:tr>
      <w:tr>
        <w:trPr>
          <w:trHeight w:val="246"/>
        </w:trPr>
        <w:tc>
          <w:tcPr>
            <w:tcW w:w="3800" w:type="dxa"/>
            <w:vAlign w:val="bottom"/>
          </w:tcPr>
          <w:p>
            <w:pPr>
              <w:spacing w:after="0"/>
              <w:rPr>
                <w:sz w:val="21"/>
                <w:szCs w:val="21"/>
                <w:color w:val="auto"/>
              </w:rPr>
            </w:pPr>
          </w:p>
        </w:tc>
        <w:tc>
          <w:tcPr>
            <w:tcW w:w="2280" w:type="dxa"/>
            <w:vAlign w:val="bottom"/>
          </w:tcPr>
          <w:p>
            <w:pPr>
              <w:ind w:left="1820"/>
              <w:spacing w:after="0"/>
              <w:rPr>
                <w:sz w:val="20"/>
                <w:szCs w:val="20"/>
                <w:color w:val="auto"/>
              </w:rPr>
            </w:pPr>
            <w:r>
              <w:rPr>
                <w:rFonts w:ascii="Arial" w:cs="Arial" w:eastAsia="Arial" w:hAnsi="Arial"/>
                <w:sz w:val="20"/>
                <w:szCs w:val="20"/>
                <w:color w:val="auto"/>
              </w:rPr>
              <w:t>By</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spacing w:after="0"/>
              <w:rPr>
                <w:sz w:val="21"/>
                <w:szCs w:val="21"/>
                <w:color w:val="auto"/>
              </w:rPr>
            </w:pPr>
          </w:p>
        </w:tc>
      </w:tr>
      <w:tr>
        <w:trPr>
          <w:trHeight w:val="206"/>
        </w:trPr>
        <w:tc>
          <w:tcPr>
            <w:tcW w:w="3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340" w:type="dxa"/>
            <w:vAlign w:val="bottom"/>
            <w:gridSpan w:val="4"/>
          </w:tcPr>
          <w:p>
            <w:pPr>
              <w:spacing w:after="0" w:line="207" w:lineRule="exact"/>
              <w:rPr>
                <w:sz w:val="20"/>
                <w:szCs w:val="20"/>
                <w:color w:val="auto"/>
              </w:rPr>
            </w:pPr>
            <w:r>
              <w:rPr>
                <w:rFonts w:ascii="Arial" w:cs="Arial" w:eastAsia="Arial" w:hAnsi="Arial"/>
                <w:sz w:val="20"/>
                <w:szCs w:val="20"/>
                <w:color w:val="auto"/>
              </w:rPr>
              <w:t xml:space="preserve">Name: Alan Heuberger </w:t>
            </w:r>
            <w:r>
              <w:rPr>
                <w:rFonts w:ascii="Arial" w:cs="Arial" w:eastAsia="Arial" w:hAnsi="Arial"/>
                <w:sz w:val="12"/>
                <w:szCs w:val="12"/>
                <w:color w:val="auto"/>
              </w:rPr>
              <w:t>(3)</w:t>
            </w:r>
          </w:p>
        </w:tc>
      </w:tr>
      <w:tr>
        <w:trPr>
          <w:trHeight w:val="250"/>
        </w:trPr>
        <w:tc>
          <w:tcPr>
            <w:tcW w:w="3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20"/>
                <w:szCs w:val="20"/>
                <w:color w:val="auto"/>
              </w:rPr>
              <w:t>Title:  Attorney-in-fact</w:t>
            </w:r>
          </w:p>
        </w:tc>
      </w:tr>
      <w:tr>
        <w:trPr>
          <w:trHeight w:val="455"/>
        </w:trPr>
        <w:tc>
          <w:tcPr>
            <w:tcW w:w="3800" w:type="dxa"/>
            <w:vAlign w:val="bottom"/>
          </w:tcPr>
          <w:p>
            <w:pPr>
              <w:spacing w:after="0"/>
              <w:rPr>
                <w:sz w:val="24"/>
                <w:szCs w:val="24"/>
                <w:color w:val="auto"/>
              </w:rPr>
            </w:pPr>
          </w:p>
        </w:tc>
        <w:tc>
          <w:tcPr>
            <w:tcW w:w="2280" w:type="dxa"/>
            <w:vAlign w:val="bottom"/>
          </w:tcPr>
          <w:p>
            <w:pPr>
              <w:ind w:left="1820"/>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000" w:type="dxa"/>
            <w:vAlign w:val="bottom"/>
            <w:gridSpan w:val="3"/>
          </w:tcPr>
          <w:p>
            <w:pPr>
              <w:ind w:left="180"/>
              <w:spacing w:after="0"/>
              <w:rPr>
                <w:sz w:val="20"/>
                <w:szCs w:val="20"/>
                <w:color w:val="auto"/>
              </w:rPr>
            </w:pPr>
            <w:r>
              <w:rPr>
                <w:rFonts w:ascii="Arial" w:cs="Arial" w:eastAsia="Arial" w:hAnsi="Arial"/>
                <w:sz w:val="20"/>
                <w:szCs w:val="20"/>
                <w:color w:val="auto"/>
              </w:rPr>
              <w:t>/s/Alan Heuberger</w:t>
            </w:r>
          </w:p>
        </w:tc>
      </w:tr>
      <w:tr>
        <w:trPr>
          <w:trHeight w:val="244"/>
        </w:trPr>
        <w:tc>
          <w:tcPr>
            <w:tcW w:w="3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40" w:type="dxa"/>
            <w:vAlign w:val="bottom"/>
            <w:tcBorders>
              <w:top w:val="single" w:sz="8" w:color="auto"/>
            </w:tcBorders>
            <w:gridSpan w:val="2"/>
          </w:tcPr>
          <w:p>
            <w:pPr>
              <w:ind w:left="180"/>
              <w:spacing w:after="0"/>
              <w:rPr>
                <w:sz w:val="20"/>
                <w:szCs w:val="20"/>
                <w:color w:val="auto"/>
              </w:rPr>
            </w:pPr>
            <w:r>
              <w:rPr>
                <w:rFonts w:ascii="Arial" w:cs="Arial" w:eastAsia="Arial" w:hAnsi="Arial"/>
                <w:sz w:val="20"/>
                <w:szCs w:val="20"/>
                <w:color w:val="auto"/>
              </w:rPr>
              <w:t>Alan Heuberger</w:t>
            </w:r>
          </w:p>
        </w:tc>
        <w:tc>
          <w:tcPr>
            <w:tcW w:w="1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14662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0"/>
        <w:spacing w:after="0" w:line="234"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This Amendment No. 1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203" w:lineRule="exact"/>
        <w:rPr>
          <w:sz w:val="20"/>
          <w:szCs w:val="20"/>
          <w:color w:val="auto"/>
        </w:rPr>
      </w:pPr>
    </w:p>
    <w:p>
      <w:pPr>
        <w:ind w:right="60"/>
        <w:spacing w:after="0" w:line="234"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Duly authorized under Special Limited Power of Attorney appointing Alan Heuberger attorney-in-fact, dated August 12, 2008, by and on behalf of Michael Larson, filed as Exhibit 99.1 to Amendment No. 1 to Cascade’s Schedule 13D with respect to Otter Tail Corporation on April 15, 2009, SEC File No. 005-06638 and incorporated by reference herein.</w:t>
      </w:r>
    </w:p>
    <w:p>
      <w:pPr>
        <w:spacing w:after="0" w:line="203" w:lineRule="exact"/>
        <w:rPr>
          <w:sz w:val="20"/>
          <w:szCs w:val="20"/>
          <w:color w:val="auto"/>
        </w:rPr>
      </w:pPr>
    </w:p>
    <w:p>
      <w:pPr>
        <w:ind w:right="60"/>
        <w:spacing w:after="0" w:line="234" w:lineRule="auto"/>
        <w:rPr>
          <w:sz w:val="20"/>
          <w:szCs w:val="20"/>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05-60431 and incorporated by reference herein.</w:t>
      </w:r>
    </w:p>
    <w:p>
      <w:pPr>
        <w:spacing w:after="0" w:line="203" w:lineRule="exact"/>
        <w:rPr>
          <w:sz w:val="20"/>
          <w:szCs w:val="20"/>
          <w:color w:val="auto"/>
        </w:rPr>
      </w:pPr>
    </w:p>
    <w:p>
      <w:pPr>
        <w:ind w:right="60"/>
        <w:spacing w:after="0" w:line="234" w:lineRule="auto"/>
        <w:rPr>
          <w:sz w:val="20"/>
          <w:szCs w:val="20"/>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ectPr>
          <w:pgSz w:w="11900" w:h="16838" w:orient="portrait"/>
          <w:cols w:equalWidth="0" w:num="1">
            <w:col w:w="11420"/>
          </w:cols>
          <w:pgMar w:left="240" w:top="116" w:right="239" w:bottom="591"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6" w:right="23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0"/>
    </w:lvl>
  </w:abstractNum>
  <w:abstractNum w:abstractNumId="4">
    <w:nsid w:val="140E0F76"/>
    <w:multiLevelType w:val="hybridMultilevel"/>
    <w:lvl w:ilvl="0">
      <w:lvlJc w:val="left"/>
      <w:lvlText w:val="%1."/>
      <w:numFmt w:val="decimal"/>
      <w:start w:val="12"/>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lvl w:ilvl="1">
      <w:lvlJc w:val="left"/>
      <w:lvlText w:val="(%2)"/>
      <w:numFmt w:val="lowerLetter"/>
      <w:start w:val="1"/>
    </w:lvl>
  </w:abstractNum>
  <w:abstractNum w:abstractNumId="7">
    <w:nsid w:val="DED7263"/>
    <w:multiLevelType w:val="hybridMultilevel"/>
    <w:lvl w:ilvl="0">
      <w:lvlJc w:val="left"/>
      <w:lvlText w:val="%1."/>
      <w:numFmt w:val="decimal"/>
      <w:start w:val="9"/>
    </w:lvl>
  </w:abstractNum>
  <w:abstractNum w:abstractNumId="8">
    <w:nsid w:val="7FDCC233"/>
    <w:multiLevelType w:val="hybridMultilevel"/>
    <w:lvl w:ilvl="0">
      <w:lvlJc w:val="left"/>
      <w:lvlText w:val="%1."/>
      <w:numFmt w:val="decimal"/>
      <w:start w:val="10"/>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lvl w:ilvl="1">
      <w:lvlJc w:val="left"/>
      <w:lvlText w:val="(%2)"/>
      <w:numFmt w:val="lowerRoman"/>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2019-12-10T08:57:16Z</dcterms:created>
  <dcterms:modified xsi:type="dcterms:W3CDTF">2019-12-10T08:57:16Z</dcterms:modified>
</cp:coreProperties>
</file>