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2013</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29,847,220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29,847,220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29,847,220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94106L109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94106L109</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29,847,220 shares or 6.4% of the 469,186,159 shares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7, 2014</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January 28, 2014 included as an Exhibit to Schedule 13G filed with the Securities and Exchange Commission by Capital Research Global Investors on February 10, 2014 with respect to Allergan,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2019-12-06T01:30:41Z</dcterms:created>
  <dcterms:modified xsi:type="dcterms:W3CDTF">2019-12-06T01:30:41Z</dcterms:modified>
</cp:coreProperties>
</file>