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Carrasco Rafael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of Enterprise Strategy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1,380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217.06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15,539.742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041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2025-11-21T10:49:14Z</dcterms:created>
  <dcterms:modified xsi:type="dcterms:W3CDTF">2025-11-21T10:49:14Z</dcterms:modified>
</cp:coreProperties>
</file>