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25, 2019</w:t>
      </w:r>
    </w:p>
    <w:p>
      <w:pPr>
        <w:spacing w:after="0" w:line="204"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Waste Management,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202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20" w:type="dxa"/>
            <w:vAlign w:val="bottom"/>
          </w:tcPr>
          <w:p>
            <w:pPr>
              <w:jc w:val="center"/>
              <w:ind w:left="332"/>
              <w:spacing w:after="0"/>
              <w:rPr>
                <w:sz w:val="20"/>
                <w:szCs w:val="20"/>
                <w:color w:val="auto"/>
              </w:rPr>
            </w:pPr>
            <w:r>
              <w:rPr>
                <w:rFonts w:ascii="Arial" w:cs="Arial" w:eastAsia="Arial" w:hAnsi="Arial"/>
                <w:sz w:val="14"/>
                <w:szCs w:val="14"/>
                <w:b w:val="1"/>
                <w:bCs w:val="1"/>
                <w:color w:val="auto"/>
                <w:w w:val="88"/>
              </w:rPr>
              <w:t>73-1309529</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42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2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20" w:type="dxa"/>
            <w:vAlign w:val="bottom"/>
          </w:tcPr>
          <w:p>
            <w:pPr>
              <w:jc w:val="center"/>
              <w:ind w:left="33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1001 Fannin Street</w:t>
      </w:r>
    </w:p>
    <w:p>
      <w:pPr>
        <w:jc w:val="center"/>
        <w:spacing w:after="0" w:line="223" w:lineRule="auto"/>
        <w:rPr>
          <w:sz w:val="20"/>
          <w:szCs w:val="20"/>
          <w:color w:val="auto"/>
        </w:rPr>
      </w:pPr>
      <w:r>
        <w:rPr>
          <w:rFonts w:ascii="Arial" w:cs="Arial" w:eastAsia="Arial" w:hAnsi="Arial"/>
          <w:sz w:val="14"/>
          <w:szCs w:val="14"/>
          <w:b w:val="1"/>
          <w:bCs w:val="1"/>
          <w:color w:val="auto"/>
        </w:rPr>
        <w:t>Houston, Texas 77002</w:t>
      </w:r>
    </w:p>
    <w:p>
      <w:pPr>
        <w:jc w:val="center"/>
        <w:spacing w:after="0" w:line="222" w:lineRule="auto"/>
        <w:rPr>
          <w:sz w:val="20"/>
          <w:szCs w:val="20"/>
          <w:color w:val="auto"/>
        </w:rPr>
      </w:pPr>
      <w:r>
        <w:rPr>
          <w:rFonts w:ascii="Arial" w:cs="Arial" w:eastAsia="Arial" w:hAnsi="Arial"/>
          <w:sz w:val="14"/>
          <w:szCs w:val="14"/>
          <w:b w:val="1"/>
          <w:bCs w:val="1"/>
          <w:color w:val="auto"/>
        </w:rPr>
        <w:t>(713) 512-6200</w:t>
      </w:r>
    </w:p>
    <w:p>
      <w:pPr>
        <w:jc w:val="center"/>
        <w:spacing w:after="0" w:line="221" w:lineRule="auto"/>
        <w:rPr>
          <w:sz w:val="20"/>
          <w:szCs w:val="20"/>
          <w:color w:val="auto"/>
        </w:rPr>
      </w:pPr>
      <w:r>
        <w:rPr>
          <w:rFonts w:ascii="Arial" w:cs="Arial" w:eastAsia="Arial" w:hAnsi="Arial"/>
          <w:sz w:val="14"/>
          <w:szCs w:val="14"/>
          <w:color w:val="auto"/>
        </w:rPr>
        <w:t>(Address, including zip code and telephone number, including</w:t>
      </w:r>
    </w:p>
    <w:p>
      <w:pPr>
        <w:jc w:val="center"/>
        <w:spacing w:after="0"/>
        <w:rPr>
          <w:sz w:val="20"/>
          <w:szCs w:val="20"/>
          <w:color w:val="auto"/>
        </w:rPr>
      </w:pPr>
      <w:r>
        <w:rPr>
          <w:rFonts w:ascii="Arial" w:cs="Arial" w:eastAsia="Arial" w:hAnsi="Arial"/>
          <w:sz w:val="14"/>
          <w:szCs w:val="14"/>
          <w:color w:val="auto"/>
        </w:rPr>
        <w:t>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Waste Management, Inc.</w:t>
      </w:r>
    </w:p>
    <w:p>
      <w:pPr>
        <w:jc w:val="center"/>
        <w:spacing w:after="0" w:line="223" w:lineRule="auto"/>
        <w:rPr>
          <w:sz w:val="20"/>
          <w:szCs w:val="20"/>
          <w:color w:val="auto"/>
        </w:rPr>
      </w:pPr>
      <w:r>
        <w:rPr>
          <w:rFonts w:ascii="Arial" w:cs="Arial" w:eastAsia="Arial" w:hAnsi="Arial"/>
          <w:sz w:val="14"/>
          <w:szCs w:val="14"/>
          <w:b w:val="1"/>
          <w:bCs w:val="1"/>
          <w:color w:val="auto"/>
        </w:rPr>
        <w:t>1001 Fannin Street</w:t>
      </w:r>
    </w:p>
    <w:p>
      <w:pPr>
        <w:jc w:val="center"/>
        <w:spacing w:after="0" w:line="222" w:lineRule="auto"/>
        <w:rPr>
          <w:sz w:val="20"/>
          <w:szCs w:val="20"/>
          <w:color w:val="auto"/>
        </w:rPr>
      </w:pPr>
      <w:r>
        <w:rPr>
          <w:rFonts w:ascii="Arial" w:cs="Arial" w:eastAsia="Arial" w:hAnsi="Arial"/>
          <w:sz w:val="14"/>
          <w:szCs w:val="14"/>
          <w:b w:val="1"/>
          <w:bCs w:val="1"/>
          <w:color w:val="auto"/>
        </w:rPr>
        <w:t>Houston, Texas 77002</w:t>
      </w:r>
    </w:p>
    <w:p>
      <w:pPr>
        <w:ind w:left="5620" w:hanging="328"/>
        <w:spacing w:after="0" w:line="221" w:lineRule="auto"/>
        <w:tabs>
          <w:tab w:leader="none" w:pos="562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512-6200</w:t>
      </w:r>
    </w:p>
    <w:p>
      <w:pPr>
        <w:ind w:left="4840"/>
        <w:spacing w:after="0" w:line="221" w:lineRule="auto"/>
        <w:rPr>
          <w:rFonts w:ascii="Arial" w:cs="Arial" w:eastAsia="Arial" w:hAnsi="Arial"/>
          <w:sz w:val="14"/>
          <w:szCs w:val="14"/>
          <w:b w:val="1"/>
          <w:bCs w:val="1"/>
          <w:color w:val="auto"/>
        </w:rPr>
      </w:pPr>
      <w:r>
        <w:rPr>
          <w:rFonts w:ascii="Arial" w:cs="Arial" w:eastAsia="Arial" w:hAnsi="Arial"/>
          <w:sz w:val="14"/>
          <w:szCs w:val="14"/>
          <w:b w:val="1"/>
          <w:bCs w:val="1"/>
          <w:color w:val="auto"/>
        </w:rPr>
        <w:t>Attention: Chief Legal Officer</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80" w:firstLine="371"/>
        <w:spacing w:after="0" w:line="168" w:lineRule="exact"/>
        <w:rPr>
          <w:sz w:val="20"/>
          <w:szCs w:val="20"/>
          <w:color w:val="auto"/>
        </w:rPr>
      </w:pPr>
      <w:r>
        <w:rPr>
          <w:rFonts w:ascii="Arial" w:cs="Arial" w:eastAsia="Arial" w:hAnsi="Arial"/>
          <w:sz w:val="14"/>
          <w:szCs w:val="14"/>
          <w:color w:val="auto"/>
        </w:rPr>
        <w:t xml:space="preserve">If any of the securities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40"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6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140" w:firstLine="371"/>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85" w:right="239" w:bottom="0" w:gutter="0" w:footer="0" w:header="0"/>
        </w:sectPr>
      </w:pPr>
    </w:p>
    <w:p>
      <w:pPr>
        <w:spacing w:after="0" w:line="123"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10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1180"/>
        <w:spacing w:after="0"/>
        <w:rPr>
          <w:sz w:val="20"/>
          <w:szCs w:val="20"/>
          <w:color w:val="auto"/>
        </w:rPr>
      </w:pPr>
      <w:r>
        <w:rPr>
          <w:rFonts w:ascii="Arial" w:cs="Arial" w:eastAsia="Arial" w:hAnsi="Arial"/>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200" w:lineRule="exact"/>
        <w:rPr>
          <w:sz w:val="24"/>
          <w:szCs w:val="24"/>
          <w:color w:val="auto"/>
        </w:rPr>
      </w:pPr>
    </w:p>
    <w:p>
      <w:pPr>
        <w:sectPr>
          <w:pgSz w:w="11900" w:h="16838" w:orient="portrait"/>
          <w:cols w:equalWidth="0" w:num="4">
            <w:col w:w="2780" w:space="720"/>
            <w:col w:w="2040" w:space="720"/>
            <w:col w:w="2440" w:space="720"/>
            <w:col w:w="2000"/>
          </w:cols>
          <w:pgMar w:left="240" w:top="685" w:right="239" w:bottom="0" w:gutter="0" w:footer="0" w:header="0"/>
          <w:type w:val="continuous"/>
        </w:sectPr>
      </w:pPr>
    </w:p>
    <w:p>
      <w:pPr>
        <w:spacing w:after="0" w:line="15" w:lineRule="exact"/>
        <w:rPr>
          <w:sz w:val="24"/>
          <w:szCs w:val="24"/>
          <w:color w:val="auto"/>
        </w:rPr>
      </w:pPr>
    </w:p>
    <w:p>
      <w:pPr>
        <w:ind w:right="4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4"/>
          <w:szCs w:val="24"/>
          <w:color w:val="auto"/>
        </w:rPr>
      </w:pPr>
    </w:p>
    <w:p>
      <w:pPr>
        <w:spacing w:after="0" w:line="240" w:lineRule="exact"/>
        <w:rPr>
          <w:sz w:val="24"/>
          <w:szCs w:val="24"/>
          <w:color w:val="auto"/>
        </w:rPr>
      </w:pPr>
    </w:p>
    <w:tbl>
      <w:tblPr>
        <w:tblLayout w:type="fixed"/>
        <w:tblInd w:w="1820" w:type="dxa"/>
        <w:tblCellMar>
          <w:top w:w="0" w:type="dxa"/>
          <w:left w:w="0" w:type="dxa"/>
          <w:bottom w:w="0" w:type="dxa"/>
          <w:right w:w="0" w:type="dxa"/>
        </w:tblCellMar>
      </w:tblPr>
      <w:tr>
        <w:trPr>
          <w:trHeight w:val="40"/>
        </w:trPr>
        <w:tc>
          <w:tcPr>
            <w:tcW w:w="3440" w:type="dxa"/>
            <w:vAlign w:val="bottom"/>
            <w:tcBorders>
              <w:top w:val="single" w:sz="8" w:color="auto"/>
              <w:bottom w:val="single" w:sz="8" w:color="auto"/>
            </w:tcBorders>
          </w:tcPr>
          <w:p>
            <w:pPr>
              <w:spacing w:after="0"/>
              <w:rPr>
                <w:sz w:val="3"/>
                <w:szCs w:val="3"/>
                <w:color w:val="auto"/>
              </w:rPr>
            </w:pPr>
          </w:p>
        </w:tc>
        <w:tc>
          <w:tcPr>
            <w:tcW w:w="4360" w:type="dxa"/>
            <w:vAlign w:val="bottom"/>
            <w:tcBorders>
              <w:top w:val="single" w:sz="8" w:color="auto"/>
              <w:bottom w:val="single" w:sz="8" w:color="auto"/>
            </w:tcBorders>
          </w:tcPr>
          <w:p>
            <w:pPr>
              <w:spacing w:after="0"/>
              <w:rPr>
                <w:sz w:val="3"/>
                <w:szCs w:val="3"/>
                <w:color w:val="auto"/>
              </w:rPr>
            </w:pPr>
          </w:p>
        </w:tc>
      </w:tr>
      <w:tr>
        <w:trPr>
          <w:trHeight w:val="116"/>
        </w:trPr>
        <w:tc>
          <w:tcPr>
            <w:tcW w:w="3440" w:type="dxa"/>
            <w:vAlign w:val="bottom"/>
          </w:tcPr>
          <w:p>
            <w:pPr>
              <w:spacing w:after="0"/>
              <w:rPr>
                <w:sz w:val="10"/>
                <w:szCs w:val="10"/>
                <w:color w:val="auto"/>
              </w:rPr>
            </w:pPr>
          </w:p>
        </w:tc>
        <w:tc>
          <w:tcPr>
            <w:tcW w:w="4360" w:type="dxa"/>
            <w:vAlign w:val="bottom"/>
          </w:tcPr>
          <w:p>
            <w:pPr>
              <w:jc w:val="center"/>
              <w:ind w:left="554"/>
              <w:spacing w:after="0" w:line="117" w:lineRule="exact"/>
              <w:rPr>
                <w:sz w:val="20"/>
                <w:szCs w:val="20"/>
                <w:color w:val="auto"/>
              </w:rPr>
            </w:pPr>
            <w:r>
              <w:rPr>
                <w:rFonts w:ascii="Arial" w:cs="Arial" w:eastAsia="Arial" w:hAnsi="Arial"/>
                <w:sz w:val="12"/>
                <w:szCs w:val="12"/>
                <w:b w:val="1"/>
                <w:bCs w:val="1"/>
                <w:color w:val="auto"/>
              </w:rPr>
              <w:t>Amount to be Registered/Proposed Maximum Offering Price</w:t>
            </w:r>
          </w:p>
        </w:tc>
      </w:tr>
      <w:tr>
        <w:trPr>
          <w:trHeight w:val="149"/>
        </w:trPr>
        <w:tc>
          <w:tcPr>
            <w:tcW w:w="3440" w:type="dxa"/>
            <w:vAlign w:val="bottom"/>
          </w:tcPr>
          <w:p>
            <w:pPr>
              <w:spacing w:after="0"/>
              <w:rPr>
                <w:sz w:val="12"/>
                <w:szCs w:val="12"/>
                <w:color w:val="auto"/>
              </w:rPr>
            </w:pPr>
          </w:p>
        </w:tc>
        <w:tc>
          <w:tcPr>
            <w:tcW w:w="4360" w:type="dxa"/>
            <w:vAlign w:val="bottom"/>
          </w:tcPr>
          <w:p>
            <w:pPr>
              <w:jc w:val="center"/>
              <w:ind w:left="534"/>
              <w:spacing w:after="0" w:line="149" w:lineRule="exact"/>
              <w:rPr>
                <w:sz w:val="20"/>
                <w:szCs w:val="20"/>
                <w:color w:val="auto"/>
              </w:rPr>
            </w:pPr>
            <w:r>
              <w:rPr>
                <w:rFonts w:ascii="Arial" w:cs="Arial" w:eastAsia="Arial" w:hAnsi="Arial"/>
                <w:sz w:val="14"/>
                <w:szCs w:val="14"/>
                <w:b w:val="1"/>
                <w:bCs w:val="1"/>
                <w:color w:val="auto"/>
                <w:w w:val="91"/>
              </w:rPr>
              <w:t>per</w:t>
            </w:r>
          </w:p>
        </w:tc>
      </w:tr>
      <w:tr>
        <w:trPr>
          <w:trHeight w:val="149"/>
        </w:trPr>
        <w:tc>
          <w:tcPr>
            <w:tcW w:w="34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6"/>
              </w:rPr>
              <w:t>Title of Each Class of Securities</w:t>
            </w:r>
          </w:p>
        </w:tc>
        <w:tc>
          <w:tcPr>
            <w:tcW w:w="4360" w:type="dxa"/>
            <w:vAlign w:val="bottom"/>
          </w:tcPr>
          <w:p>
            <w:pPr>
              <w:jc w:val="center"/>
              <w:ind w:left="554"/>
              <w:spacing w:after="0" w:line="149" w:lineRule="exact"/>
              <w:rPr>
                <w:sz w:val="20"/>
                <w:szCs w:val="20"/>
                <w:color w:val="auto"/>
              </w:rPr>
            </w:pPr>
            <w:r>
              <w:rPr>
                <w:rFonts w:ascii="Arial" w:cs="Arial" w:eastAsia="Arial" w:hAnsi="Arial"/>
                <w:sz w:val="14"/>
                <w:szCs w:val="14"/>
                <w:b w:val="1"/>
                <w:bCs w:val="1"/>
                <w:color w:val="auto"/>
                <w:w w:val="88"/>
              </w:rPr>
              <w:t>Unit/Proposed Maximum Aggregate Offering Price/Amount of</w:t>
            </w:r>
          </w:p>
        </w:tc>
      </w:tr>
      <w:tr>
        <w:trPr>
          <w:trHeight w:val="174"/>
        </w:trPr>
        <w:tc>
          <w:tcPr>
            <w:tcW w:w="3440" w:type="dxa"/>
            <w:vAlign w:val="bottom"/>
          </w:tcPr>
          <w:p>
            <w:pPr>
              <w:jc w:val="center"/>
              <w:ind w:left="212"/>
              <w:spacing w:after="0"/>
              <w:rPr>
                <w:sz w:val="20"/>
                <w:szCs w:val="20"/>
                <w:color w:val="auto"/>
              </w:rPr>
            </w:pPr>
            <w:r>
              <w:rPr>
                <w:rFonts w:ascii="Arial" w:cs="Arial" w:eastAsia="Arial" w:hAnsi="Arial"/>
                <w:sz w:val="14"/>
                <w:szCs w:val="14"/>
                <w:b w:val="1"/>
                <w:bCs w:val="1"/>
                <w:color w:val="auto"/>
                <w:w w:val="83"/>
              </w:rPr>
              <w:t>to be Registered</w:t>
            </w:r>
          </w:p>
        </w:tc>
        <w:tc>
          <w:tcPr>
            <w:tcW w:w="4360" w:type="dxa"/>
            <w:vAlign w:val="bottom"/>
          </w:tcPr>
          <w:p>
            <w:pPr>
              <w:jc w:val="center"/>
              <w:ind w:left="554"/>
              <w:spacing w:after="0"/>
              <w:rPr>
                <w:sz w:val="20"/>
                <w:szCs w:val="20"/>
                <w:color w:val="auto"/>
              </w:rPr>
            </w:pPr>
            <w:r>
              <w:rPr>
                <w:rFonts w:ascii="Arial" w:cs="Arial" w:eastAsia="Arial" w:hAnsi="Arial"/>
                <w:sz w:val="14"/>
                <w:szCs w:val="14"/>
                <w:b w:val="1"/>
                <w:bCs w:val="1"/>
                <w:color w:val="auto"/>
                <w:w w:val="87"/>
              </w:rPr>
              <w:t>Registration Fee(1)(2)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8890</wp:posOffset>
            </wp:positionV>
            <wp:extent cx="4948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4"/>
          <w:szCs w:val="14"/>
          <w:color w:val="auto"/>
        </w:rPr>
        <w:t>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15875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8" w:lineRule="exact"/>
        <w:rPr>
          <w:sz w:val="24"/>
          <w:szCs w:val="24"/>
          <w:color w:val="auto"/>
        </w:rPr>
      </w:pPr>
    </w:p>
    <w:p>
      <w:pPr>
        <w:ind w:left="182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15875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8" w:lineRule="exact"/>
        <w:rPr>
          <w:sz w:val="24"/>
          <w:szCs w:val="24"/>
          <w:color w:val="auto"/>
        </w:rPr>
      </w:pPr>
    </w:p>
    <w:p>
      <w:pPr>
        <w:ind w:left="1820"/>
        <w:spacing w:after="0"/>
        <w:rPr>
          <w:sz w:val="20"/>
          <w:szCs w:val="20"/>
          <w:color w:val="auto"/>
        </w:rPr>
      </w:pPr>
      <w:r>
        <w:rPr>
          <w:rFonts w:ascii="Arial" w:cs="Arial" w:eastAsia="Arial" w:hAnsi="Arial"/>
          <w:sz w:val="14"/>
          <w:szCs w:val="14"/>
          <w:color w:val="auto"/>
        </w:rPr>
        <w:t>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15875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8" w:lineRule="exact"/>
        <w:rPr>
          <w:sz w:val="24"/>
          <w:szCs w:val="24"/>
          <w:color w:val="auto"/>
        </w:rPr>
      </w:pPr>
    </w:p>
    <w:p>
      <w:pPr>
        <w:ind w:left="1820"/>
        <w:spacing w:after="0"/>
        <w:rPr>
          <w:sz w:val="20"/>
          <w:szCs w:val="20"/>
          <w:color w:val="auto"/>
        </w:rPr>
      </w:pPr>
      <w:r>
        <w:rPr>
          <w:rFonts w:ascii="Arial" w:cs="Arial" w:eastAsia="Arial" w:hAnsi="Arial"/>
          <w:sz w:val="14"/>
          <w:szCs w:val="14"/>
          <w:color w:val="auto"/>
        </w:rPr>
        <w:t>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15875</wp:posOffset>
            </wp:positionV>
            <wp:extent cx="494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8" w:lineRule="exact"/>
        <w:rPr>
          <w:sz w:val="24"/>
          <w:szCs w:val="24"/>
          <w:color w:val="auto"/>
        </w:rPr>
      </w:pPr>
    </w:p>
    <w:p>
      <w:pPr>
        <w:ind w:left="1820"/>
        <w:spacing w:after="0"/>
        <w:rPr>
          <w:sz w:val="20"/>
          <w:szCs w:val="20"/>
          <w:color w:val="auto"/>
        </w:rPr>
      </w:pPr>
      <w:r>
        <w:rPr>
          <w:rFonts w:ascii="Arial" w:cs="Arial" w:eastAsia="Arial" w:hAnsi="Arial"/>
          <w:sz w:val="14"/>
          <w:szCs w:val="14"/>
          <w:color w:val="auto"/>
        </w:rPr>
        <w:t>Guarantees(3)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15875</wp:posOffset>
            </wp:positionV>
            <wp:extent cx="4948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8" w:lineRule="exact"/>
        <w:rPr>
          <w:sz w:val="24"/>
          <w:szCs w:val="24"/>
          <w:color w:val="auto"/>
        </w:rPr>
      </w:pPr>
    </w:p>
    <w:p>
      <w:pPr>
        <w:ind w:left="1820"/>
        <w:spacing w:after="0"/>
        <w:rPr>
          <w:sz w:val="20"/>
          <w:szCs w:val="20"/>
          <w:color w:val="auto"/>
        </w:rPr>
      </w:pPr>
      <w:r>
        <w:rPr>
          <w:rFonts w:ascii="Arial" w:cs="Arial" w:eastAsia="Arial" w:hAnsi="Arial"/>
          <w:sz w:val="14"/>
          <w:szCs w:val="14"/>
          <w:color w:val="auto"/>
        </w:rPr>
        <w:t>Units(4)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15875</wp:posOffset>
            </wp:positionV>
            <wp:extent cx="4948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8555"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33020</wp:posOffset>
            </wp:positionV>
            <wp:extent cx="4948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38" w:lineRule="exact"/>
        <w:rPr>
          <w:sz w:val="24"/>
          <w:szCs w:val="24"/>
          <w:color w:val="auto"/>
        </w:rPr>
      </w:pPr>
    </w:p>
    <w:p>
      <w:pPr>
        <w:ind w:left="540" w:hanging="532"/>
        <w:spacing w:after="0" w:line="233"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 indeterminate aggregate initial offering price or number of the securities of each identified class is being registered as may from time to time be issued at indeterminate prices and as may be issuable upon exercise, conversion, redemption, settlement or exchange of any securities hereunder, including under any applicable antidilution provisions. Separate consideration may or may not be received for securities that are issuable on exercise, conversion, redemption, settlement or exchange of other securities.</w:t>
      </w:r>
    </w:p>
    <w:p>
      <w:pPr>
        <w:sectPr>
          <w:pgSz w:w="11900" w:h="16838" w:orient="portrait"/>
          <w:cols w:equalWidth="0" w:num="1">
            <w:col w:w="11420"/>
          </w:cols>
          <w:pgMar w:left="240" w:top="685" w:right="239" w:bottom="0" w:gutter="0" w:footer="0" w:header="0"/>
          <w:type w:val="continuous"/>
        </w:sectPr>
      </w:pPr>
    </w:p>
    <w:bookmarkStart w:id="1" w:name="page2"/>
    <w:bookmarkEnd w:id="1"/>
    <w:p>
      <w:pPr>
        <w:ind w:left="532" w:hanging="532"/>
        <w:spacing w:after="0"/>
        <w:tabs>
          <w:tab w:leader="none" w:pos="532"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accordance with Rules 456(b) and 457(r), the registrant is deferring payment of all of the registration fees and will pay such fees on a pay-as-you-go basis.</w:t>
      </w:r>
    </w:p>
    <w:p>
      <w:pPr>
        <w:spacing w:after="0" w:line="122" w:lineRule="exact"/>
        <w:rPr>
          <w:rFonts w:ascii="Arial" w:cs="Arial" w:eastAsia="Arial" w:hAnsi="Arial"/>
          <w:sz w:val="14"/>
          <w:szCs w:val="14"/>
          <w:color w:val="auto"/>
        </w:rPr>
      </w:pPr>
    </w:p>
    <w:p>
      <w:pPr>
        <w:ind w:left="532" w:hanging="532"/>
        <w:spacing w:after="0" w:line="239" w:lineRule="auto"/>
        <w:tabs>
          <w:tab w:leader="none" w:pos="532"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also registering guarantees that Waste Management Holdings, Inc. may have with respect to debt securities we may issue. No separate consideration will be received for the guarantees. See inside facing page for information on the additional registrant guarantor.</w:t>
      </w:r>
    </w:p>
    <w:p>
      <w:pPr>
        <w:spacing w:after="0" w:line="111" w:lineRule="exact"/>
        <w:rPr>
          <w:rFonts w:ascii="Arial" w:cs="Arial" w:eastAsia="Arial" w:hAnsi="Arial"/>
          <w:sz w:val="14"/>
          <w:szCs w:val="14"/>
          <w:color w:val="auto"/>
        </w:rPr>
      </w:pPr>
    </w:p>
    <w:p>
      <w:pPr>
        <w:ind w:left="532" w:hanging="532"/>
        <w:spacing w:after="0"/>
        <w:tabs>
          <w:tab w:leader="none" w:pos="532" w:val="left"/>
        </w:tabs>
        <w:numPr>
          <w:ilvl w:val="0"/>
          <w:numId w:val="3"/>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485775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12"/>
          </w:cols>
          <w:pgMar w:left="248" w:top="129" w:right="5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ADDITIONAL REGISTRANT GUARANTORS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6"/>
              </w:rPr>
              <w:t>Address Including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or Other</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7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0"/>
              </w:rPr>
              <w:t>Zip Code and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Jurisdiction of</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IRS Employer</w:t>
            </w:r>
          </w:p>
        </w:tc>
        <w:tc>
          <w:tcPr>
            <w:tcW w:w="160" w:type="dxa"/>
            <w:vAlign w:val="bottom"/>
          </w:tcPr>
          <w:p>
            <w:pPr>
              <w:spacing w:after="0"/>
              <w:rPr>
                <w:sz w:val="12"/>
                <w:szCs w:val="12"/>
                <w:color w:val="auto"/>
              </w:rPr>
            </w:pPr>
          </w:p>
        </w:tc>
        <w:tc>
          <w:tcPr>
            <w:tcW w:w="47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Telephone Number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 or</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160" w:type="dxa"/>
            <w:vAlign w:val="bottom"/>
          </w:tcPr>
          <w:p>
            <w:pPr>
              <w:spacing w:after="0"/>
              <w:rPr>
                <w:sz w:val="12"/>
                <w:szCs w:val="12"/>
                <w:color w:val="auto"/>
              </w:rPr>
            </w:pPr>
          </w:p>
        </w:tc>
        <w:tc>
          <w:tcPr>
            <w:tcW w:w="47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Principal Executive</w:t>
            </w:r>
          </w:p>
        </w:tc>
        <w:tc>
          <w:tcPr>
            <w:tcW w:w="0" w:type="dxa"/>
            <w:vAlign w:val="bottom"/>
          </w:tcPr>
          <w:p>
            <w:pPr>
              <w:spacing w:after="0"/>
              <w:rPr>
                <w:sz w:val="1"/>
                <w:szCs w:val="1"/>
                <w:color w:val="auto"/>
              </w:rPr>
            </w:pPr>
          </w:p>
        </w:tc>
      </w:tr>
      <w:tr>
        <w:trPr>
          <w:trHeight w:val="161"/>
        </w:trPr>
        <w:tc>
          <w:tcPr>
            <w:tcW w:w="3940" w:type="dxa"/>
            <w:vAlign w:val="bottom"/>
            <w:gridSpan w:val="3"/>
          </w:tcPr>
          <w:p>
            <w:pPr>
              <w:ind w:left="1140"/>
              <w:spacing w:after="0"/>
              <w:rPr>
                <w:sz w:val="20"/>
                <w:szCs w:val="20"/>
                <w:color w:val="auto"/>
              </w:rPr>
            </w:pPr>
            <w:r>
              <w:rPr>
                <w:rFonts w:ascii="Arial" w:cs="Arial" w:eastAsia="Arial" w:hAnsi="Arial"/>
                <w:sz w:val="14"/>
                <w:szCs w:val="14"/>
                <w:b w:val="1"/>
                <w:bCs w:val="1"/>
                <w:color w:val="auto"/>
              </w:rPr>
              <w:t>Exact Name as Specified in Charter</w:t>
            </w:r>
          </w:p>
        </w:tc>
        <w:tc>
          <w:tcPr>
            <w:tcW w:w="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47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0"/>
              </w:rPr>
              <w:t>Office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Management Holdings, Inc.</w:t>
            </w:r>
          </w:p>
        </w:tc>
        <w:tc>
          <w:tcPr>
            <w:tcW w:w="1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36-2660763</w:t>
            </w: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1001 Fannin Street Houston, Texas 77002</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152400</wp:posOffset>
            </wp:positionV>
            <wp:extent cx="2598420" cy="960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9842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6" w:lineRule="exact"/>
        <w:rPr>
          <w:sz w:val="20"/>
          <w:szCs w:val="20"/>
          <w:color w:val="auto"/>
        </w:rPr>
      </w:pPr>
    </w:p>
    <w:p>
      <w:pPr>
        <w:jc w:val="both"/>
        <w:ind w:right="28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17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r>
      <w:tr>
        <w:trPr>
          <w:trHeight w:val="394"/>
        </w:trPr>
        <w:tc>
          <w:tcPr>
            <w:tcW w:w="1140" w:type="dxa"/>
            <w:vAlign w:val="bottom"/>
          </w:tcPr>
          <w:p>
            <w:pPr>
              <w:spacing w:after="0"/>
              <w:rPr>
                <w:sz w:val="24"/>
                <w:szCs w:val="24"/>
                <w:color w:val="auto"/>
              </w:rPr>
            </w:pPr>
          </w:p>
        </w:tc>
        <w:tc>
          <w:tcPr>
            <w:tcW w:w="2080" w:type="dxa"/>
            <w:vAlign w:val="bottom"/>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Forward-Looking Statements</w:t>
              </w:r>
            </w:hyperlink>
          </w:p>
        </w:tc>
        <w:tc>
          <w:tcPr>
            <w:tcW w:w="1500" w:type="dxa"/>
            <w:vAlign w:val="bottom"/>
            <w:gridSpan w:val="4"/>
          </w:tcPr>
          <w:p>
            <w:pPr>
              <w:spacing w:after="0"/>
              <w:rPr>
                <w:sz w:val="24"/>
                <w:szCs w:val="24"/>
                <w:color w:val="auto"/>
              </w:rPr>
            </w:pPr>
          </w:p>
        </w:tc>
        <w:tc>
          <w:tcPr>
            <w:tcW w:w="6700" w:type="dxa"/>
            <w:vAlign w:val="bottom"/>
            <w:gridSpan w:val="4"/>
          </w:tcPr>
          <w:p>
            <w:pPr>
              <w:jc w:val="right"/>
              <w:ind w:right="114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6"/>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About this Prospectus</w:t>
              </w:r>
            </w:hyperlink>
          </w:p>
        </w:tc>
        <w:tc>
          <w:tcPr>
            <w:tcW w:w="520" w:type="dxa"/>
            <w:vAlign w:val="bottom"/>
            <w:gridSpan w:val="3"/>
          </w:tcPr>
          <w:p>
            <w:pPr>
              <w:spacing w:after="0"/>
              <w:rPr>
                <w:sz w:val="17"/>
                <w:szCs w:val="17"/>
                <w:color w:val="auto"/>
              </w:rPr>
            </w:pPr>
          </w:p>
        </w:tc>
        <w:tc>
          <w:tcPr>
            <w:tcW w:w="1500" w:type="dxa"/>
            <w:vAlign w:val="bottom"/>
            <w:gridSpan w:val="4"/>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2"/>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Incorporation of Certain Documents by Reference</w:t>
              </w:r>
            </w:hyperlink>
          </w:p>
        </w:tc>
        <w:tc>
          <w:tcPr>
            <w:tcW w:w="40" w:type="dxa"/>
            <w:vAlign w:val="bottom"/>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40" w:type="dxa"/>
            <w:vAlign w:val="bottom"/>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800" w:type="dxa"/>
            <w:vAlign w:val="bottom"/>
            <w:gridSpan w:val="1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The Company</w:t>
              </w:r>
            </w:hyperlink>
          </w:p>
        </w:tc>
        <w:tc>
          <w:tcPr>
            <w:tcW w:w="780" w:type="dxa"/>
            <w:vAlign w:val="bottom"/>
            <w:gridSpan w:val="2"/>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00" w:type="dxa"/>
            <w:vAlign w:val="bottom"/>
          </w:tcPr>
          <w:p>
            <w:pPr>
              <w:spacing w:after="0"/>
              <w:rPr>
                <w:sz w:val="17"/>
                <w:szCs w:val="17"/>
                <w:color w:val="auto"/>
              </w:rPr>
            </w:pPr>
          </w:p>
        </w:tc>
        <w:tc>
          <w:tcPr>
            <w:tcW w:w="2580" w:type="dxa"/>
            <w:vAlign w:val="bottom"/>
            <w:gridSpan w:val="10"/>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2420" w:type="dxa"/>
            <w:vAlign w:val="bottom"/>
            <w:gridSpan w:val="9"/>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Debt Securities</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Description of Guarantees</w:t>
              </w:r>
            </w:hyperlink>
          </w:p>
        </w:tc>
        <w:tc>
          <w:tcPr>
            <w:tcW w:w="220" w:type="dxa"/>
            <w:vAlign w:val="bottom"/>
          </w:tcPr>
          <w:p>
            <w:pPr>
              <w:spacing w:after="0"/>
              <w:rPr>
                <w:sz w:val="17"/>
                <w:szCs w:val="17"/>
                <w:color w:val="auto"/>
              </w:rPr>
            </w:pPr>
          </w:p>
        </w:tc>
        <w:tc>
          <w:tcPr>
            <w:tcW w:w="1500" w:type="dxa"/>
            <w:vAlign w:val="bottom"/>
            <w:gridSpan w:val="4"/>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Description of Capital Stock</w:t>
              </w:r>
            </w:hyperlink>
          </w:p>
        </w:tc>
        <w:tc>
          <w:tcPr>
            <w:tcW w:w="1500" w:type="dxa"/>
            <w:vAlign w:val="bottom"/>
            <w:gridSpan w:val="4"/>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Description of Other Securities</w:t>
              </w:r>
            </w:hyperlink>
          </w:p>
        </w:tc>
        <w:tc>
          <w:tcPr>
            <w:tcW w:w="1380" w:type="dxa"/>
            <w:vAlign w:val="bottom"/>
            <w:gridSpan w:val="3"/>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Plan of Distribution</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Selling Securityholders</w:t>
              </w:r>
            </w:hyperlink>
          </w:p>
        </w:tc>
        <w:tc>
          <w:tcPr>
            <w:tcW w:w="1920" w:type="dxa"/>
            <w:vAlign w:val="bottom"/>
            <w:gridSpan w:val="6"/>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Matters</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r>
      <w:tr>
        <w:trPr>
          <w:trHeight w:val="196"/>
        </w:trPr>
        <w:tc>
          <w:tcPr>
            <w:tcW w:w="114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2580" w:type="dxa"/>
            <w:vAlign w:val="bottom"/>
            <w:gridSpan w:val="10"/>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40" w:type="dxa"/>
            <w:vAlign w:val="bottom"/>
            <w:tcBorders>
              <w:top w:val="single" w:sz="8" w:color="0000EE"/>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38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2018 as updated by our subsequent quarterly reports on Form 10-Q and other filings we make with the Securities and Exchange Commission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6" w:lineRule="exact"/>
        <w:rPr>
          <w:sz w:val="20"/>
          <w:szCs w:val="20"/>
          <w:color w:val="auto"/>
        </w:rPr>
      </w:pPr>
    </w:p>
    <w:p>
      <w:pPr>
        <w:ind w:left="1080" w:right="46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221"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210"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207"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our planned acquisition of Advanced Disposal Services, Inc. ("Advanced Disposal"), which could adversely impact our growth strategy, earnings and cash flow;</w:t>
      </w:r>
    </w:p>
    <w:p>
      <w:pPr>
        <w:spacing w:after="0" w:line="221"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207"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187"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to the regulatory framework related to renewable fuel standards could affect our financial performance as a renewable fuel producer;</w:t>
      </w:r>
    </w:p>
    <w:p>
      <w:pPr>
        <w:spacing w:after="0" w:line="261"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152"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166"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152"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pacing w:after="0" w:line="174" w:lineRule="exact"/>
        <w:rPr>
          <w:rFonts w:ascii="Arial" w:cs="Arial" w:eastAsia="Arial" w:hAnsi="Arial"/>
          <w:sz w:val="16"/>
          <w:szCs w:val="16"/>
          <w:color w:val="auto"/>
        </w:rPr>
      </w:pPr>
    </w:p>
    <w:p>
      <w:pPr>
        <w:ind w:left="1080" w:right="8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83"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166" w:lineRule="exact"/>
        <w:rPr>
          <w:rFonts w:ascii="Arial" w:cs="Arial" w:eastAsia="Arial" w:hAnsi="Arial"/>
          <w:sz w:val="16"/>
          <w:szCs w:val="16"/>
          <w:color w:val="auto"/>
        </w:rPr>
      </w:pPr>
    </w:p>
    <w:p>
      <w:pPr>
        <w:ind w:left="5680" w:right="60" w:hanging="5132"/>
        <w:spacing w:after="0" w:line="519" w:lineRule="auto"/>
        <w:tabs>
          <w:tab w:leader="none" w:pos="1098"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199"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18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25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21"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238" w:lineRule="exact"/>
        <w:rPr>
          <w:rFonts w:ascii="Arial" w:cs="Arial" w:eastAsia="Arial" w:hAnsi="Arial"/>
          <w:sz w:val="18"/>
          <w:szCs w:val="18"/>
          <w:color w:val="auto"/>
        </w:rPr>
      </w:pPr>
    </w:p>
    <w:p>
      <w:pPr>
        <w:ind w:left="5680" w:right="1640" w:hanging="5132"/>
        <w:spacing w:after="0" w:line="519" w:lineRule="auto"/>
        <w:tabs>
          <w:tab w:leader="none" w:pos="109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6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2019</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April 25,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April 15, 2019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The portions of our proxy statement for our 2019 annual meeting of stockholders incorporated by reference in our Annual Report on</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Form 10-K for the year ended December 31, 2018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27, 2019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 description from time to time</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July 13, 1995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70" w:lineRule="exact"/>
        <w:rPr>
          <w:sz w:val="20"/>
          <w:szCs w:val="20"/>
          <w:color w:val="auto"/>
        </w:rPr>
      </w:pPr>
    </w:p>
    <w:p>
      <w:pPr>
        <w:ind w:right="20" w:firstLine="345"/>
        <w:spacing w:after="0" w:line="268" w:lineRule="auto"/>
        <w:rPr>
          <w:sz w:val="20"/>
          <w:szCs w:val="20"/>
          <w:color w:val="auto"/>
        </w:rPr>
      </w:pPr>
      <w:r>
        <w:rPr>
          <w:rFonts w:ascii="Arial" w:cs="Arial" w:eastAsia="Arial" w:hAnsi="Arial"/>
          <w:sz w:val="18"/>
          <w:szCs w:val="18"/>
          <w:color w:val="auto"/>
        </w:rPr>
        <w:t>You may obtain copies of any of these filings through Waste Management, the SEC or the SEC's internet site as described below. Documents incorporated by reference are available without charge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 xml:space="preserve">requesting them in writing or by telephone using the contact information below and may be accessed through the Investor Relations section of </w:t>
      </w:r>
      <w:r>
        <w:rPr>
          <w:rFonts w:ascii="Arial" w:cs="Arial" w:eastAsia="Arial" w:hAnsi="Arial"/>
          <w:sz w:val="15"/>
          <w:szCs w:val="15"/>
          <w:i w:val="1"/>
          <w:iCs w:val="1"/>
          <w:color w:val="auto"/>
        </w:rPr>
        <w:t>www.wm.com.</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8"/>
          <w:szCs w:val="18"/>
          <w:i w:val="1"/>
          <w:iCs w:val="1"/>
          <w:color w:val="auto"/>
        </w:rPr>
        <w:t>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internet site discussed above.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Our principal executive offices are located at 1001 Fannin Street, Houston, Texas 77002 and our telephone number is (713) 512-6200. Our internet address is </w:t>
      </w:r>
      <w:r>
        <w:rPr>
          <w:rFonts w:ascii="Arial" w:cs="Arial" w:eastAsia="Arial" w:hAnsi="Arial"/>
          <w:sz w:val="18"/>
          <w:szCs w:val="18"/>
          <w:i w:val="1"/>
          <w:iCs w:val="1"/>
          <w:color w:val="auto"/>
        </w:rPr>
        <w:t>www.wm.com.</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97"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213" w:lineRule="exact"/>
        <w:rPr>
          <w:sz w:val="20"/>
          <w:szCs w:val="20"/>
          <w:color w:val="auto"/>
        </w:rPr>
      </w:pPr>
    </w:p>
    <w:p>
      <w:pPr>
        <w:jc w:val="both"/>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amount of the outstanding debt securities issued under that indenture that are affected by that failure;</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22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indentures require us to file each year with the trustee a written statement as to our compliance with the covenants contained in the applicable indenture.</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18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2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174" w:lineRule="exact"/>
        <w:rPr>
          <w:sz w:val="20"/>
          <w:szCs w:val="20"/>
          <w:color w:val="auto"/>
        </w:rPr>
      </w:pPr>
    </w:p>
    <w:p>
      <w:pPr>
        <w:ind w:left="1080" w:right="5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212"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39"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5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61"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6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239" w:lineRule="exact"/>
        <w:rPr>
          <w:sz w:val="20"/>
          <w:szCs w:val="20"/>
          <w:color w:val="auto"/>
        </w:rPr>
      </w:pPr>
    </w:p>
    <w:p>
      <w:pPr>
        <w:ind w:left="1080" w:right="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indenture. We may at any time designate additional paying agents or rescind the designation of any paying agent or approve a change in the office through which any paying agent acts.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i w:val="1"/>
          <w:iCs w:val="1"/>
          <w:color w:val="auto"/>
        </w:rPr>
        <w:t xml:space="preserve">Book-Entry Debt Securities. </w:t>
      </w:r>
      <w:r>
        <w:rPr>
          <w:rFonts w:ascii="Arial" w:cs="Arial" w:eastAsia="Arial" w:hAnsi="Arial"/>
          <w:sz w:val="15"/>
          <w:szCs w:val="15"/>
          <w:color w:val="auto"/>
        </w:rPr>
        <w:t>The debt securities of a series may be issued in the form of one or more global debt securities that would be deposited with a</w:t>
      </w:r>
      <w:r>
        <w:rPr>
          <w:rFonts w:ascii="Arial" w:cs="Arial" w:eastAsia="Arial" w:hAnsi="Arial"/>
          <w:sz w:val="15"/>
          <w:szCs w:val="15"/>
          <w:i w:val="1"/>
          <w:iCs w:val="1"/>
          <w:color w:val="auto"/>
        </w:rPr>
        <w:t xml:space="preserve"> </w:t>
      </w:r>
      <w:r>
        <w:rPr>
          <w:rFonts w:ascii="Arial" w:cs="Arial" w:eastAsia="Arial" w:hAnsi="Arial"/>
          <w:sz w:val="15"/>
          <w:szCs w:val="15"/>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Ranking and Guarantee. </w:t>
      </w:r>
      <w:r>
        <w:rPr>
          <w:rFonts w:ascii="Arial" w:cs="Arial" w:eastAsia="Arial" w:hAnsi="Arial"/>
          <w:sz w:val="16"/>
          <w:szCs w:val="16"/>
          <w:color w:val="auto"/>
        </w:rPr>
        <w:t>The senior debt securities will constitute senior debt of Waste Management and will rank equally with all of the other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194" w:lineRule="exact"/>
        <w:rPr>
          <w:sz w:val="20"/>
          <w:szCs w:val="20"/>
          <w:color w:val="auto"/>
        </w:rPr>
      </w:pPr>
    </w:p>
    <w:p>
      <w:pPr>
        <w:ind w:left="1220" w:hanging="321"/>
        <w:spacing w:after="0"/>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268" w:lineRule="auto"/>
        <w:tabs>
          <w:tab w:leader="none" w:pos="12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Indenture—Consolidation, Merger and Sale of Assets</w:t>
      </w:r>
      <w:r>
        <w:rPr>
          <w:rFonts w:ascii="Arial" w:cs="Arial" w:eastAsia="Arial" w:hAnsi="Arial"/>
          <w:sz w:val="18"/>
          <w:szCs w:val="18"/>
          <w:color w:val="auto"/>
        </w:rPr>
        <w:t>," above;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252" w:lineRule="exact"/>
        <w:rPr>
          <w:rFonts w:ascii="Arial" w:cs="Arial" w:eastAsia="Arial" w:hAnsi="Arial"/>
          <w:sz w:val="18"/>
          <w:szCs w:val="18"/>
          <w:color w:val="auto"/>
        </w:rPr>
      </w:pPr>
    </w:p>
    <w:p>
      <w:pPr>
        <w:ind w:left="1620" w:right="60" w:hanging="532"/>
        <w:spacing w:after="0" w:line="306"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60" w:lineRule="exact"/>
        <w:rPr>
          <w:rFonts w:ascii="Arial" w:cs="Arial" w:eastAsia="Arial" w:hAnsi="Arial"/>
          <w:sz w:val="16"/>
          <w:szCs w:val="16"/>
          <w:color w:val="auto"/>
        </w:rPr>
      </w:pPr>
    </w:p>
    <w:p>
      <w:pPr>
        <w:ind w:left="1260" w:hanging="361"/>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in favor of any governmental authority in connection with the financing of the cost of construction or acquisition of property;</w:t>
      </w:r>
    </w:p>
    <w:p>
      <w:pPr>
        <w:spacing w:after="0" w:line="248" w:lineRule="exact"/>
        <w:rPr>
          <w:rFonts w:ascii="Arial" w:cs="Arial" w:eastAsia="Arial" w:hAnsi="Arial"/>
          <w:sz w:val="16"/>
          <w:szCs w:val="16"/>
          <w:color w:val="auto"/>
        </w:rPr>
      </w:pPr>
    </w:p>
    <w:p>
      <w:pPr>
        <w:ind w:left="540" w:right="160" w:firstLine="359"/>
        <w:spacing w:after="0" w:line="268" w:lineRule="auto"/>
        <w:tabs>
          <w:tab w:leader="none" w:pos="12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186" w:lineRule="exact"/>
        <w:rPr>
          <w:sz w:val="20"/>
          <w:szCs w:val="20"/>
          <w:color w:val="auto"/>
        </w:rPr>
      </w:pPr>
    </w:p>
    <w:p>
      <w:pPr>
        <w:ind w:left="540" w:right="20" w:firstLine="359"/>
        <w:spacing w:after="0" w:line="259" w:lineRule="auto"/>
        <w:tabs>
          <w:tab w:leader="none" w:pos="12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94" w:lineRule="exact"/>
        <w:rPr>
          <w:rFonts w:ascii="Arial" w:cs="Arial" w:eastAsia="Arial" w:hAnsi="Arial"/>
          <w:sz w:val="18"/>
          <w:szCs w:val="18"/>
          <w:color w:val="auto"/>
        </w:rPr>
      </w:pPr>
    </w:p>
    <w:p>
      <w:pPr>
        <w:jc w:val="both"/>
        <w:ind w:left="540" w:right="240" w:firstLine="359"/>
        <w:spacing w:after="0" w:line="256"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197" w:lineRule="exact"/>
        <w:rPr>
          <w:rFonts w:ascii="Arial" w:cs="Arial" w:eastAsia="Arial" w:hAnsi="Arial"/>
          <w:sz w:val="18"/>
          <w:szCs w:val="18"/>
          <w:color w:val="auto"/>
        </w:rPr>
      </w:pPr>
    </w:p>
    <w:p>
      <w:pPr>
        <w:ind w:left="540" w:right="140" w:firstLine="359"/>
        <w:spacing w:after="0" w:line="332" w:lineRule="auto"/>
        <w:tabs>
          <w:tab w:leader="none" w:pos="12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39" w:lineRule="exact"/>
        <w:rPr>
          <w:sz w:val="20"/>
          <w:szCs w:val="20"/>
          <w:color w:val="auto"/>
        </w:rPr>
      </w:pPr>
    </w:p>
    <w:p>
      <w:pPr>
        <w:jc w:val="both"/>
        <w:ind w:left="540" w:right="34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Glossary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 Sale/Leaseback Transaction.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239" w:lineRule="exact"/>
        <w:rPr>
          <w:sz w:val="20"/>
          <w:szCs w:val="20"/>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means (a) all obligations for borrowed money or on which interest charges are customarily paid, all as shown on the balance sheet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 party, (b) all items that would be included as liabilities on a balance sheet in accordance with generally accepted accounting practices as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the date at which Indebtedness is to be determined, and (c) all indebtedness secured by a security interest in property owned or being purchased by the indebted party and all guarantees of Indebtedness.</w:t>
      </w:r>
    </w:p>
    <w:p>
      <w:pPr>
        <w:spacing w:after="0" w:line="186"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 Canada</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38" w:lineRule="exact"/>
        <w:rPr>
          <w:sz w:val="20"/>
          <w:szCs w:val="20"/>
          <w:color w:val="auto"/>
        </w:rPr>
      </w:pPr>
    </w:p>
    <w:p>
      <w:pPr>
        <w:ind w:right="100" w:firstLine="8"/>
        <w:spacing w:after="0" w:line="255"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outstanding from time to time.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GUARANTEES</w:t>
      </w:r>
    </w:p>
    <w:p>
      <w:pPr>
        <w:spacing w:after="0" w:line="231"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94"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are authorized to issue 1,500,000,000 shares of common stock, of which 424,759,439 shares were outstanding at April 22, 2019 (excluding treasury shares of 205,523,022). We are also authorized to issue 10,000,000 shares of preferred stock, none of which were outstanding on that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is entitled to one vote in the election of directors and in each other matter we may ask stockholders to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8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Computershare in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31"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Our By-laws provide that, unless we consent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08" w:lineRule="exact"/>
        <w:rPr>
          <w:sz w:val="20"/>
          <w:szCs w:val="20"/>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12"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59" w:lineRule="exact"/>
        <w:rPr>
          <w:sz w:val="20"/>
          <w:szCs w:val="20"/>
          <w:color w:val="auto"/>
        </w:rPr>
      </w:pPr>
    </w:p>
    <w:p>
      <w:pPr>
        <w:jc w:val="both"/>
        <w:ind w:right="40" w:firstLine="341"/>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53"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2018, and the effectiveness of Waste Management, Inc.'s internal control over financial reporting as of December 31, 2018,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the estimated fees and expenses payable by the Company in connection with the registration of the securities registered hereby:</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Printing fees</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Rating agency</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Trustee's fees and expenses</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22"/>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221" w:lineRule="exact"/>
        <w:rPr>
          <w:sz w:val="20"/>
          <w:szCs w:val="20"/>
          <w:color w:val="auto"/>
        </w:rPr>
      </w:pPr>
    </w:p>
    <w:p>
      <w:pPr>
        <w:ind w:left="2260" w:right="440" w:hanging="540"/>
        <w:spacing w:after="0" w:line="268" w:lineRule="auto"/>
        <w:tabs>
          <w:tab w:leader="none" w:pos="2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Rule 456(b) and 457(r), we are deferring payment of the registration fee for the securities offered by this prospectus.</w:t>
      </w:r>
    </w:p>
    <w:p>
      <w:pPr>
        <w:spacing w:after="0" w:line="213" w:lineRule="exact"/>
        <w:rPr>
          <w:sz w:val="20"/>
          <w:szCs w:val="20"/>
          <w:color w:val="auto"/>
        </w:rPr>
      </w:pPr>
    </w:p>
    <w:p>
      <w:pPr>
        <w:ind w:left="2260" w:right="480" w:hanging="540"/>
        <w:spacing w:after="0" w:line="268" w:lineRule="auto"/>
        <w:tabs>
          <w:tab w:leader="none" w:pos="2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Estimated expenses are not presently known. An estimate of the aggregate amount of these expenses will be reflected in the applicable prospectus supplement.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172"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Our Certificate of Incorporation and By-laws require that we provide indemnification to the maximum extent permitted from time to time under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Company or any of its direct or indirect subsidiaries or while such a director or officer is or was serving at the request of the Company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Company is not required to indemnify or advance expenses to any person in connection with any action, suit, proceeding, claim or counterclaim initiated by or on behalf of such person. Such indemnification is not to be exclusive of other indemnification rights arising under any By-laws, agreement, vote of directors or stockholders or otherwise and shall inure to the benefit of the heirs and legal representatives of such person. Additionally, the Company has direct contractual obligations to provide indemnification to each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members of its Board of Directors and each of its executive officers. These agreements provide directors and executive officers with the same indemnification by the Company as described above and assure directors and executive officers that indemnification will continue to be provided despite future changes in the By-laws of the Company.</w:t>
      </w:r>
    </w:p>
    <w:p>
      <w:pPr>
        <w:spacing w:after="0" w:line="19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Waste Management Holdings' Certificate of Incorporation and By-laws require that it provide indemnification to the maximum extent permitted from time to time under DGCL, and shall advance expenses to any person who is or was a party or is threatened to be made a party to any threatened, pending or completed action, suit or proceeding, whether civil, criminal, administrative or investigative, by reason of the fact that such person is or was a director or officer of Waste Management Holdings or while such a director or officer is or was serving at the request of the Waste Management Holdings as a director, officer, employee or agent of any corporation, partnership, joint venture, trust or other enterprise, including service with respect to employee benefit plans, against expenses (including attorney's fees and expenses), judgments, fines and penalties paid in settlement incurred in connection with the investigation or defense of such action, suit or proceeding; provided, however, that Waste Management Holdings is not required to indemnify or advance expenses to any person in connection with any proceeding initiated by or on behalf of such person unless such proceeding (or part thereof) was authorized or consented to by the Board of Directors of Waste Management Holdings. Such indemnification is not be exclusive of other indemnification rights arising under any By-laws, agreement, vote of directors or stockholders or otherwise and shall inure to the benefit of the heirs, executors and administrators of such person.</w:t>
      </w:r>
    </w:p>
    <w:p>
      <w:pPr>
        <w:spacing w:after="0" w:line="17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Our and Waste Management Holdings' Certificates of Incorporation provide that no director will be liable to the Company or its stockholders for any breach of fiduciary duty, except as limited under DGCL.</w:t>
      </w:r>
    </w:p>
    <w:p>
      <w:pPr>
        <w:spacing w:after="0" w:line="174"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Our and Waste Management Holdings' directors and officers are covered by insurance policies indemnifying against certain liabilities, including certain liabilities arising under the Securities Act that might be incurred by them in such capacities and against which we may not indemnify them.</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Exhibit Index attached hereto and incorporated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240" w:hanging="34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80" w:right="440" w:firstLine="403"/>
        <w:spacing w:after="0" w:line="298" w:lineRule="auto"/>
        <w:tabs>
          <w:tab w:leader="none" w:pos="1774"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59" w:lineRule="auto"/>
        <w:rPr>
          <w:sz w:val="20"/>
          <w:szCs w:val="20"/>
          <w:color w:val="auto"/>
        </w:rPr>
      </w:pPr>
      <w:r>
        <w:rPr>
          <w:rFonts w:ascii="Arial" w:cs="Arial" w:eastAsia="Arial" w:hAnsi="Arial"/>
          <w:sz w:val="18"/>
          <w:szCs w:val="18"/>
          <w:color w:val="auto"/>
        </w:rPr>
        <w:t>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4" w:lineRule="exact"/>
        <w:rPr>
          <w:sz w:val="20"/>
          <w:szCs w:val="20"/>
          <w:color w:val="auto"/>
        </w:rPr>
      </w:pPr>
    </w:p>
    <w:p>
      <w:pPr>
        <w:ind w:left="1080" w:right="140" w:firstLine="360"/>
        <w:spacing w:after="0" w:line="268" w:lineRule="auto"/>
        <w:tabs>
          <w:tab w:leader="none" w:pos="17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ind w:left="540" w:right="100" w:firstLine="359"/>
        <w:spacing w:after="0" w:line="259" w:lineRule="auto"/>
        <w:tabs>
          <w:tab w:leader="none" w:pos="12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2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225" w:lineRule="exact"/>
        <w:rPr>
          <w:rFonts w:ascii="Arial" w:cs="Arial" w:eastAsia="Arial" w:hAnsi="Arial"/>
          <w:sz w:val="18"/>
          <w:szCs w:val="18"/>
          <w:color w:val="auto"/>
        </w:rPr>
      </w:pPr>
    </w:p>
    <w:p>
      <w:pPr>
        <w:ind w:left="1080" w:right="100" w:firstLine="447"/>
        <w:spacing w:after="0" w:line="268" w:lineRule="auto"/>
        <w:tabs>
          <w:tab w:leader="none" w:pos="177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w:t>
      </w:r>
    </w:p>
    <w:p>
      <w:pPr>
        <w:spacing w:after="0" w:line="32" w:lineRule="exact"/>
        <w:rPr>
          <w:sz w:val="20"/>
          <w:szCs w:val="20"/>
          <w:color w:val="auto"/>
        </w:rPr>
      </w:pPr>
    </w:p>
    <w:p>
      <w:pPr>
        <w:ind w:left="1080" w:right="20"/>
        <w:spacing w:after="0" w:line="287" w:lineRule="auto"/>
        <w:rPr>
          <w:sz w:val="20"/>
          <w:szCs w:val="20"/>
          <w:color w:val="auto"/>
        </w:rPr>
      </w:pPr>
      <w:r>
        <w:rPr>
          <w:rFonts w:ascii="Arial" w:cs="Arial" w:eastAsia="Arial" w:hAnsi="Arial"/>
          <w:sz w:val="16"/>
          <w:szCs w:val="16"/>
          <w:color w:val="auto"/>
        </w:rPr>
        <w:t xml:space="preserve">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related,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4" w:lineRule="exact"/>
        <w:rPr>
          <w:sz w:val="20"/>
          <w:szCs w:val="20"/>
          <w:color w:val="auto"/>
        </w:rPr>
      </w:pPr>
    </w:p>
    <w:p>
      <w:pPr>
        <w:ind w:left="540" w:right="300" w:firstLine="359"/>
        <w:spacing w:after="0" w:line="256" w:lineRule="auto"/>
        <w:tabs>
          <w:tab w:leader="none" w:pos="12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purposes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communications, the undersigned Registrant will be a seller to the purchaser and will be considered to offer or sell such securities to such purchaser:</w:t>
      </w:r>
    </w:p>
    <w:p>
      <w:pPr>
        <w:spacing w:after="0" w:line="248" w:lineRule="exact"/>
        <w:rPr>
          <w:sz w:val="20"/>
          <w:szCs w:val="20"/>
          <w:color w:val="auto"/>
        </w:rPr>
      </w:pPr>
    </w:p>
    <w:p>
      <w:pPr>
        <w:ind w:left="1780" w:hanging="253"/>
        <w:spacing w:after="0"/>
        <w:tabs>
          <w:tab w:leader="none" w:pos="17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160" w:firstLine="403"/>
        <w:spacing w:after="0" w:line="268" w:lineRule="auto"/>
        <w:tabs>
          <w:tab w:leader="none" w:pos="17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760" w:firstLine="360"/>
        <w:spacing w:after="0" w:line="268" w:lineRule="auto"/>
        <w:tabs>
          <w:tab w:leader="none" w:pos="17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w:t>
      </w:r>
    </w:p>
    <w:p>
      <w:pPr>
        <w:spacing w:after="0" w:line="38" w:lineRule="exact"/>
        <w:rPr>
          <w:sz w:val="20"/>
          <w:szCs w:val="20"/>
          <w:color w:val="auto"/>
        </w:rPr>
      </w:pPr>
    </w:p>
    <w:p>
      <w:pPr>
        <w:ind w:left="540" w:right="240"/>
        <w:spacing w:after="0" w:line="254" w:lineRule="auto"/>
        <w:rPr>
          <w:sz w:val="20"/>
          <w:szCs w:val="20"/>
          <w:color w:val="auto"/>
        </w:rPr>
      </w:pPr>
      <w:r>
        <w:rPr>
          <w:rFonts w:ascii="Arial" w:cs="Arial" w:eastAsia="Arial" w:hAnsi="Arial"/>
          <w:sz w:val="18"/>
          <w:szCs w:val="18"/>
          <w:color w:val="auto"/>
        </w:rPr>
        <w:t xml:space="preserve">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98" w:lineRule="exact"/>
        <w:rPr>
          <w:sz w:val="20"/>
          <w:szCs w:val="20"/>
          <w:color w:val="auto"/>
        </w:rPr>
      </w:pPr>
    </w:p>
    <w:p>
      <w:pPr>
        <w:ind w:left="540" w:right="20" w:firstLine="359"/>
        <w:spacing w:after="0" w:line="332" w:lineRule="auto"/>
        <w:tabs>
          <w:tab w:leader="none" w:pos="12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39" w:lineRule="exact"/>
        <w:rPr>
          <w:rFonts w:ascii="Arial" w:cs="Arial" w:eastAsia="Arial" w:hAnsi="Arial"/>
          <w:sz w:val="16"/>
          <w:szCs w:val="16"/>
          <w:color w:val="auto"/>
        </w:rPr>
      </w:pPr>
    </w:p>
    <w:p>
      <w:pPr>
        <w:ind w:left="540" w:firstLine="359"/>
        <w:spacing w:after="0" w:line="289" w:lineRule="auto"/>
        <w:tabs>
          <w:tab w:leader="none" w:pos="12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80"/>
          </w:cols>
          <w:pgMar w:left="240" w:top="131" w:right="27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22225</wp:posOffset>
            </wp:positionV>
            <wp:extent cx="52914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060" w:space="720"/>
            <w:col w:w="5600"/>
          </w:cols>
          <w:pgMar w:left="240" w:top="131" w:right="279" w:bottom="1440" w:gutter="0" w:footer="0" w:header="0"/>
          <w:type w:val="continuous"/>
        </w:sectPr>
      </w:pPr>
    </w:p>
    <w:p>
      <w:pPr>
        <w:ind w:left="1480"/>
        <w:spacing w:after="0"/>
        <w:tabs>
          <w:tab w:leader="none" w:pos="19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(Debt Securities).</w:t>
      </w:r>
    </w:p>
    <w:p>
      <w:pPr>
        <w:spacing w:after="0" w:line="217"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Form of Underwriting Agreement (Equity Securities).</w:t>
      </w:r>
    </w:p>
    <w:p>
      <w:pPr>
        <w:spacing w:after="0" w:line="225" w:lineRule="exact"/>
        <w:rPr>
          <w:sz w:val="20"/>
          <w:szCs w:val="20"/>
          <w:color w:val="auto"/>
        </w:rPr>
      </w:pPr>
    </w:p>
    <w:p>
      <w:pPr>
        <w:ind w:left="1940" w:right="1560" w:hanging="559"/>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51">
        <w:r>
          <w:rPr>
            <w:rFonts w:ascii="Arial" w:cs="Arial" w:eastAsia="Arial" w:hAnsi="Arial"/>
            <w:sz w:val="18"/>
            <w:szCs w:val="18"/>
            <w:u w:val="single" w:color="auto"/>
            <w:color w:val="0000EE"/>
          </w:rPr>
          <w:t>Agreement and Plan of Merger dated April 14, 2019 (incorporated by reference to Exhibit 2.1 to Form 8-K filed</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April 15, 2019).</w:t>
        </w:r>
      </w:hyperlink>
    </w:p>
    <w:p>
      <w:pPr>
        <w:spacing w:after="0" w:line="186" w:lineRule="exact"/>
        <w:rPr>
          <w:sz w:val="20"/>
          <w:szCs w:val="20"/>
          <w:color w:val="auto"/>
        </w:rPr>
      </w:pPr>
    </w:p>
    <w:p>
      <w:pPr>
        <w:ind w:left="1560"/>
        <w:spacing w:after="0"/>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r:id="rId52">
        <w:r>
          <w:rPr>
            <w:rFonts w:ascii="Arial" w:cs="Arial" w:eastAsia="Arial" w:hAnsi="Arial"/>
            <w:sz w:val="16"/>
            <w:szCs w:val="16"/>
            <w:u w:val="single" w:color="auto"/>
            <w:color w:val="0000EE"/>
          </w:rPr>
          <w:t>Voting Agreement dated April 14, 2019 (incorporated by reference to Exhibit 2.2 to Form 8-K filed April 15, 2019).</w:t>
        </w:r>
      </w:hyperlink>
    </w:p>
    <w:p>
      <w:pPr>
        <w:spacing w:after="0" w:line="225" w:lineRule="exact"/>
        <w:rPr>
          <w:sz w:val="20"/>
          <w:szCs w:val="20"/>
          <w:color w:val="auto"/>
        </w:rPr>
      </w:pPr>
    </w:p>
    <w:p>
      <w:pPr>
        <w:ind w:left="1940" w:right="1360" w:hanging="380"/>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3">
        <w:r>
          <w:rPr>
            <w:rFonts w:ascii="Arial" w:cs="Arial" w:eastAsia="Arial" w:hAnsi="Arial"/>
            <w:sz w:val="18"/>
            <w:szCs w:val="18"/>
            <w:u w:val="single" w:color="auto"/>
            <w:color w:val="0000EE"/>
          </w:rPr>
          <w:t>Third Restated Certificate of Incorporation of Waste Management, Inc. (incorporated by reference to Exhibit 3.1 to</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Form 10-Q for the quarter ended June 30, 2010).</w:t>
        </w:r>
      </w:hyperlink>
    </w:p>
    <w:p>
      <w:pPr>
        <w:spacing w:after="0" w:line="186" w:lineRule="exact"/>
        <w:rPr>
          <w:sz w:val="20"/>
          <w:szCs w:val="20"/>
          <w:color w:val="auto"/>
        </w:rPr>
      </w:pPr>
    </w:p>
    <w:p>
      <w:pPr>
        <w:ind w:left="1940" w:right="1360" w:hanging="380"/>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54">
        <w:r>
          <w:rPr>
            <w:rFonts w:ascii="Arial" w:cs="Arial" w:eastAsia="Arial" w:hAnsi="Arial"/>
            <w:sz w:val="18"/>
            <w:szCs w:val="18"/>
            <w:u w:val="single" w:color="auto"/>
            <w:color w:val="0000EE"/>
          </w:rPr>
          <w:t>Amended and Restated By-laws of Waste Management, Inc. (incorporated by reference to Exhibit 3.2 to Form 8-K</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filed February 23, 2018).</w:t>
        </w:r>
      </w:hyperlink>
    </w:p>
    <w:p>
      <w:pPr>
        <w:spacing w:after="0" w:line="186" w:lineRule="exact"/>
        <w:rPr>
          <w:sz w:val="20"/>
          <w:szCs w:val="20"/>
          <w:color w:val="auto"/>
        </w:rPr>
      </w:pPr>
    </w:p>
    <w:p>
      <w:pPr>
        <w:ind w:left="1940" w:right="1680" w:hanging="380"/>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55">
        <w:r>
          <w:rPr>
            <w:rFonts w:ascii="Arial" w:cs="Arial" w:eastAsia="Arial" w:hAnsi="Arial"/>
            <w:sz w:val="18"/>
            <w:szCs w:val="18"/>
            <w:u w:val="single" w:color="auto"/>
            <w:color w:val="0000EE"/>
          </w:rPr>
          <w:t>Third Restated Certificate of Incorporation of Waste Management Holdings, Inc. (incorporated by reference to</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Exhibit 4.2 to Form 10-K for the year ended December 31, 2014).</w:t>
        </w:r>
      </w:hyperlink>
    </w:p>
    <w:p>
      <w:pPr>
        <w:spacing w:after="0" w:line="186" w:lineRule="exact"/>
        <w:rPr>
          <w:sz w:val="20"/>
          <w:szCs w:val="20"/>
          <w:color w:val="auto"/>
        </w:rPr>
      </w:pPr>
    </w:p>
    <w:p>
      <w:pPr>
        <w:ind w:left="1940" w:right="1420" w:hanging="380"/>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56">
        <w:r>
          <w:rPr>
            <w:rFonts w:ascii="Arial" w:cs="Arial" w:eastAsia="Arial" w:hAnsi="Arial"/>
            <w:sz w:val="18"/>
            <w:szCs w:val="18"/>
            <w:u w:val="single" w:color="auto"/>
            <w:color w:val="0000EE"/>
          </w:rPr>
          <w:t>Amended and Restated By-laws of Waste Management Holdings, Inc. (incorporated by reference to Exhibit 4.3 to</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Form 10-Q for the quarter ended June 30, 2014).</w:t>
        </w:r>
      </w:hyperlink>
    </w:p>
    <w:p>
      <w:pPr>
        <w:spacing w:after="0" w:line="186" w:lineRule="exact"/>
        <w:rPr>
          <w:sz w:val="20"/>
          <w:szCs w:val="20"/>
          <w:color w:val="auto"/>
        </w:rPr>
      </w:pPr>
    </w:p>
    <w:p>
      <w:pPr>
        <w:ind w:left="1560"/>
        <w:spacing w:after="0"/>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57">
        <w:r>
          <w:rPr>
            <w:rFonts w:ascii="Arial" w:cs="Arial" w:eastAsia="Arial" w:hAnsi="Arial"/>
            <w:sz w:val="16"/>
            <w:szCs w:val="16"/>
            <w:u w:val="single" w:color="auto"/>
            <w:color w:val="0000EE"/>
          </w:rPr>
          <w:t>Specimen stock certificate (incorporated by reference to Exhibit 4.1 to Form 10-K for the year ended December 31,</w:t>
        </w:r>
      </w:hyperlink>
    </w:p>
    <w:p>
      <w:pPr>
        <w:spacing w:after="0" w:line="15" w:lineRule="exact"/>
        <w:rPr>
          <w:sz w:val="20"/>
          <w:szCs w:val="20"/>
          <w:color w:val="auto"/>
        </w:rPr>
      </w:pPr>
    </w:p>
    <w:p>
      <w:pPr>
        <w:ind w:left="1940"/>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1998).</w:t>
        </w:r>
      </w:hyperlink>
    </w:p>
    <w:p>
      <w:pPr>
        <w:spacing w:after="0" w:line="219" w:lineRule="exact"/>
        <w:rPr>
          <w:sz w:val="20"/>
          <w:szCs w:val="20"/>
          <w:color w:val="auto"/>
        </w:rPr>
      </w:pPr>
    </w:p>
    <w:p>
      <w:pPr>
        <w:ind w:left="1940" w:right="1180" w:hanging="380"/>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58">
        <w:r>
          <w:rPr>
            <w:rFonts w:ascii="Arial" w:cs="Arial" w:eastAsia="Arial" w:hAnsi="Arial"/>
            <w:sz w:val="18"/>
            <w:szCs w:val="18"/>
            <w:u w:val="single" w:color="auto"/>
            <w:color w:val="0000EE"/>
          </w:rPr>
          <w:t>Indenture for Senior Debt Securities dated September 10, 1997 (incorporated by reference to Exhibit 4.1 to Form 8-K</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filed September 24, 1997).</w:t>
        </w:r>
      </w:hyperlink>
    </w:p>
    <w:p>
      <w:pPr>
        <w:spacing w:after="0" w:line="186" w:lineRule="exact"/>
        <w:rPr>
          <w:sz w:val="20"/>
          <w:szCs w:val="20"/>
          <w:color w:val="auto"/>
        </w:rPr>
      </w:pPr>
    </w:p>
    <w:p>
      <w:pPr>
        <w:ind w:left="1940" w:right="1640" w:hanging="380"/>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59">
        <w:r>
          <w:rPr>
            <w:rFonts w:ascii="Arial" w:cs="Arial" w:eastAsia="Arial" w:hAnsi="Arial"/>
            <w:sz w:val="18"/>
            <w:szCs w:val="18"/>
            <w:u w:val="single" w:color="auto"/>
            <w:color w:val="0000EE"/>
          </w:rPr>
          <w:t>Indenture for Subordinated Debt Securities dated February 3, 1997 (incorporated by reference to Exhibit 4.1 to</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Form 8-K filed February 7, 1997).</w:t>
        </w:r>
      </w:hyperlink>
    </w:p>
    <w:p>
      <w:pPr>
        <w:spacing w:after="0" w:line="186"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Debt Securities.</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Form of Guarantee Agreement.</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Warrant Agreement.</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Unit Agreement.</w:t>
      </w:r>
    </w:p>
    <w:p>
      <w:pPr>
        <w:spacing w:after="0" w:line="225" w:lineRule="exact"/>
        <w:rPr>
          <w:sz w:val="20"/>
          <w:szCs w:val="20"/>
          <w:color w:val="auto"/>
        </w:rPr>
      </w:pPr>
    </w:p>
    <w:p>
      <w:pPr>
        <w:ind w:left="156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Legal opinion of Courtney A. Tippy.</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Courtney A. Tippy (included in Exhibit 5.1).</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Ernst &amp; Young LLP.</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(filed herewith and included on the signature page of this registration statement).</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u w:val="single" w:color="auto"/>
          <w:color w:val="0000EE"/>
        </w:rPr>
        <w:t>Statement of Eligibility of Trustee on Form T-1 with respect to the senior indenture.</w:t>
      </w:r>
    </w:p>
    <w:p>
      <w:pPr>
        <w:spacing w:after="0" w:line="225"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u w:val="single" w:color="auto"/>
          <w:color w:val="0000EE"/>
        </w:rPr>
        <w:t>Statement of Eligibility of Trustee on Form T-1 with respect to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right="180" w:hanging="531"/>
        <w:spacing w:after="0" w:line="268" w:lineRule="auto"/>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be filed by amendment to this Registration Statement or as an exhibit to a periodic report filed under the Securities Exchange Act of 1934, as amended.</w:t>
      </w:r>
    </w:p>
    <w:p>
      <w:pPr>
        <w:spacing w:after="0" w:line="213" w:lineRule="exact"/>
        <w:rPr>
          <w:sz w:val="20"/>
          <w:szCs w:val="20"/>
          <w:color w:val="auto"/>
        </w:rPr>
      </w:pPr>
    </w:p>
    <w:p>
      <w:pPr>
        <w:ind w:left="168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Pursuant to Item 601(b)(2) of Regulation S-K, exhibits and schedules to the Agreement and Plan of Merger have been omitted and will be supplementally provided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25th day of April, 2019.</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25th day of April, 2019.</w:t>
      </w:r>
    </w:p>
    <w:p>
      <w:pPr>
        <w:spacing w:after="0" w:line="182"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/s/ JAMES C. FISH, JR.</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0"/>
              </w:rPr>
              <w:t>President, Chief Executive Officer and Director (Principal</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jc w:val="center"/>
              <w:ind w:right="712"/>
              <w:spacing w:after="0"/>
              <w:rPr>
                <w:sz w:val="20"/>
                <w:szCs w:val="20"/>
                <w:color w:val="auto"/>
              </w:rPr>
            </w:pPr>
            <w:r>
              <w:rPr>
                <w:rFonts w:ascii="Arial" w:cs="Arial" w:eastAsia="Arial" w:hAnsi="Arial"/>
                <w:sz w:val="18"/>
                <w:szCs w:val="18"/>
                <w:color w:val="auto"/>
                <w:w w:val="91"/>
              </w:rPr>
              <w:t>Executive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85"/>
              </w:rPr>
              <w:t>James C. Fish, Jr.</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7"/>
              </w:rPr>
              <w:t>/s/ DEVINA A. RANKIN</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89"/>
              </w:rPr>
              <w:t>Senior Vice President and Chief Financial Officer (Principal</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jc w:val="center"/>
              <w:ind w:right="712"/>
              <w:spacing w:after="0"/>
              <w:rPr>
                <w:sz w:val="20"/>
                <w:szCs w:val="20"/>
                <w:color w:val="auto"/>
              </w:rPr>
            </w:pPr>
            <w:r>
              <w:rPr>
                <w:rFonts w:ascii="Arial" w:cs="Arial" w:eastAsia="Arial" w:hAnsi="Arial"/>
                <w:sz w:val="18"/>
                <w:szCs w:val="18"/>
                <w:color w:val="auto"/>
                <w:w w:val="92"/>
              </w:rPr>
              <w:t>Financial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2"/>
              </w:rPr>
              <w:t>Devina A. Rankin</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/s/ LESLIE K. NAGY</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0"/>
              </w:rPr>
              <w:t>Vice President and Chief Accounting Officer (Principal</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jc w:val="center"/>
              <w:ind w:right="712"/>
              <w:spacing w:after="0"/>
              <w:rPr>
                <w:sz w:val="20"/>
                <w:szCs w:val="20"/>
                <w:color w:val="auto"/>
              </w:rPr>
            </w:pPr>
            <w:r>
              <w:rPr>
                <w:rFonts w:ascii="Arial" w:cs="Arial" w:eastAsia="Arial" w:hAnsi="Arial"/>
                <w:sz w:val="18"/>
                <w:szCs w:val="18"/>
                <w:color w:val="auto"/>
                <w:w w:val="92"/>
              </w:rPr>
              <w:t>Accounting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3"/>
              </w:rPr>
              <w:t>Leslie K. Nagy</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4"/>
              </w:rPr>
              <w:t>/s/ FRANK M. CLARK, JR.</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Frank M. Clark, Jr.</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3"/>
              </w:rPr>
              <w:t>/s/ ANDRÉS R. GLUSKI</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Andrés R. Gluski</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8"/>
              </w:rPr>
              <w:t>/s/ PATRICK W. GROSS</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8"/>
              </w:rPr>
              <w:t>Patrick W. Gross</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/s/ VICTORIA H. HOLT</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Victoria M. Holt</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7"/>
              </w:rPr>
              <w:t>/s/ KATHLEEN M. MAZZARELLA</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Kathleen M. Mazzarella</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8"/>
              </w:rPr>
              <w:t>/s/ JOHN C. POPE</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4"/>
              </w:rPr>
              <w:t>John C. Pope</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/s/ THOMAS H. WEIDEMEYER</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89"/>
              </w:rPr>
              <w:t>Chairman of the Board and 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8"/>
              </w:rPr>
              <w:t>Thomas H. Weidemeyer</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5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Pursuant to the requirements of the Securities Act, Waste Management Holdings, Inc.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25th day of April, 2019.</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148590</wp:posOffset>
            </wp:positionV>
            <wp:extent cx="2795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 xml:space="preserve">Mark A. Lockett, </w:t>
      </w:r>
      <w:r>
        <w:rPr>
          <w:rFonts w:ascii="Arial" w:cs="Arial" w:eastAsia="Arial" w:hAnsi="Arial"/>
          <w:sz w:val="18"/>
          <w:szCs w:val="18"/>
          <w:i w:val="1"/>
          <w:iCs w:val="1"/>
          <w:color w:val="auto"/>
        </w:rPr>
        <w:t>President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KNOWN ALL PERSONS BY THESE PRESENTS, that the individuals whose signature appears below hereby constitute and appoint Charles C. Boettcher, Courtney A. Tippy and John S. Tsai,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172"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the 25th day of April, 2019.</w:t>
      </w:r>
    </w:p>
    <w:p>
      <w:pPr>
        <w:spacing w:after="0" w:line="182" w:lineRule="exact"/>
        <w:rPr>
          <w:sz w:val="20"/>
          <w:szCs w:val="20"/>
          <w:color w:val="auto"/>
        </w:rPr>
      </w:pPr>
    </w:p>
    <w:p>
      <w:pPr>
        <w:ind w:left="3060"/>
        <w:spacing w:after="0"/>
        <w:tabs>
          <w:tab w:leader="none" w:pos="79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 MARK A. LOCKETT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02"/>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jc w:val="center"/>
              <w:ind w:right="712"/>
              <w:spacing w:after="0"/>
              <w:rPr>
                <w:sz w:val="20"/>
                <w:szCs w:val="20"/>
                <w:color w:val="auto"/>
              </w:rPr>
            </w:pPr>
            <w:r>
              <w:rPr>
                <w:rFonts w:ascii="Arial" w:cs="Arial" w:eastAsia="Arial" w:hAnsi="Arial"/>
                <w:sz w:val="18"/>
                <w:szCs w:val="18"/>
                <w:color w:val="auto"/>
                <w:w w:val="90"/>
              </w:rPr>
              <w:t>President (Principal Executive Officer)</w:t>
            </w: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4"/>
              </w:rPr>
              <w:t>Mark A. Lockett</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4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/s/ LESLIE K. NAGY</w:t>
            </w: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0"/>
              </w:rPr>
              <w:t>Vice President, Chief Financial Officer and Controller</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restart"/>
          </w:tcPr>
          <w:p>
            <w:pPr>
              <w:jc w:val="center"/>
              <w:ind w:right="712"/>
              <w:spacing w:after="0"/>
              <w:rPr>
                <w:sz w:val="20"/>
                <w:szCs w:val="20"/>
                <w:color w:val="auto"/>
              </w:rPr>
            </w:pPr>
            <w:r>
              <w:rPr>
                <w:rFonts w:ascii="Arial" w:cs="Arial" w:eastAsia="Arial" w:hAnsi="Arial"/>
                <w:sz w:val="18"/>
                <w:szCs w:val="18"/>
                <w:color w:val="auto"/>
                <w:w w:val="91"/>
              </w:rPr>
              <w:t>(Principal Financial Officer and Principal Accounting</w:t>
            </w: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3"/>
              </w:rPr>
              <w:t>Leslie K. Nagy</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5860" w:type="dxa"/>
            <w:vAlign w:val="bottom"/>
          </w:tcPr>
          <w:p>
            <w:pPr>
              <w:jc w:val="center"/>
              <w:ind w:right="712"/>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3"/>
              </w:rPr>
              <w:t>/s/ COURTNEY A. TIPPY</w:t>
            </w:r>
          </w:p>
        </w:tc>
        <w:tc>
          <w:tcPr>
            <w:tcW w:w="5860" w:type="dxa"/>
            <w:vAlign w:val="bottom"/>
            <w:vMerge w:val="restart"/>
          </w:tcPr>
          <w:p>
            <w:pPr>
              <w:jc w:val="center"/>
              <w:ind w:right="71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1"/>
              </w:rPr>
              <w:t>Courtney A. Tippy</w:t>
            </w:r>
          </w:p>
        </w:tc>
        <w:tc>
          <w:tcPr>
            <w:tcW w:w="5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400" w:type="dxa"/>
            <w:vAlign w:val="bottom"/>
            <w:vMerge w:val="continue"/>
          </w:tcPr>
          <w:p>
            <w:pPr>
              <w:spacing w:after="0"/>
              <w:rPr>
                <w:sz w:val="17"/>
                <w:szCs w:val="17"/>
                <w:color w:val="auto"/>
              </w:rPr>
            </w:pPr>
          </w:p>
        </w:tc>
        <w:tc>
          <w:tcPr>
            <w:tcW w:w="5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5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rPr>
          <w:rFonts w:ascii="Arial" w:cs="Arial" w:eastAsia="Arial" w:hAnsi="Arial"/>
          <w:sz w:val="22"/>
          <w:szCs w:val="22"/>
          <w:color w:val="0000EE"/>
        </w:rPr>
      </w:pPr>
      <w:hyperlink w:anchor="page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[Letterhead of WM]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 and Waste Management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(filed April 25,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 am Vice President &amp; Corporate Secretary of Waste Management, Inc., a Delaware corporation ("WMI") and have acted as General Counsel—Securities &amp; Governance to WMI and Waste Management Holdings, Inc., a Delaware corporation ("Holdings") in connection with the preparation and filing with the Securities and Exchange Commission (the "Commission") under the Securities Act of 1933, as amended (the "Act"), of a Registration Statement (filed April 25, 2019) on Form S-3 (the "Registration Statement"). The Registration Statement relates to (a) securities of WMI (the "WMI Securities"), including (i) debt securities of WMI ("Debt Securities"); (ii) common stock of WMI, par value $0.01 per share ("Common Stock"); (iii) preferred stock of WMI, par value $0.01 per share ("Preferred Stock"); (iv) warrants of WMI ("Warrants"), representing rights to purchase Debt Securities, Preferred Stock, Common Stock or other securities, property, or assets pursuant to one or more warrant agreements ("Warrant Agreements"); and (v) units of WMI ("Units") representing rights to, ownership of, or undivided beneficial ownership interests in, Debt Securities, shares of Common Stock, shares of Preferred Stock, debt obligations of third parties or Warrants relating to any of the foregoing; and (b) guarantees Holdings may issue with respect to Debt Securities ("Holdings Guarantees," and collectively with the WMI Securities, the "Securities"), all of which may be issued and sold from time to time in one or more series. WMI has advised me that the Securities will be offered in amounts, at prices and on terms to be determined in light of market conditions at the time of sale and to be set forth in supplements to the prospectus contained in the Registration Statement to which this opinion is an exhibit.</w:t>
      </w:r>
    </w:p>
    <w:p>
      <w:pPr>
        <w:spacing w:after="0" w:line="178" w:lineRule="exact"/>
        <w:rPr>
          <w:sz w:val="20"/>
          <w:szCs w:val="20"/>
          <w:color w:val="auto"/>
        </w:rPr>
      </w:pPr>
    </w:p>
    <w:p>
      <w:pPr>
        <w:ind w:firstLine="351"/>
        <w:spacing w:after="0" w:line="252" w:lineRule="auto"/>
        <w:rPr>
          <w:sz w:val="20"/>
          <w:szCs w:val="20"/>
          <w:color w:val="auto"/>
        </w:rPr>
      </w:pPr>
      <w:r>
        <w:rPr>
          <w:rFonts w:ascii="Arial" w:cs="Arial" w:eastAsia="Arial" w:hAnsi="Arial"/>
          <w:sz w:val="18"/>
          <w:szCs w:val="18"/>
          <w:color w:val="auto"/>
        </w:rPr>
        <w:t>I have examined originals or copies, certified or otherwise identified to my satisfaction, of (i) the Certificate of Incorporation and By-laws of WMI and Holdings, each as amended to the date hereof; (ii) resolutions adopted by the Board of Directors of WMI and Holdings; (iii) the Registration Statement; (iv) the Senior Debt Indenture between WMI and The Bank of New York Mellon Trust Company, National Association (as successor in interest to Texas Commerce Bank National Association), as trustee, dated September 10, 1997 (the "Senior Indenture") relating to the senior Debt Securities, in the form incorporated as an exhibit to the Registration Statement; (v) the Subordinated Debt Indenture Company between WMI and The Bank of New York Mellon Trust Company, National Association (as successor in interest to Texas Commerce Bank National Association), as trustee, dated February 1, 1997 (the "Subordinated Indenture", and together with the Senior Indenture, the "Indentures") relating to the subordinated Debt Securities, in the form incorporated as an exhibit to the Registration Statement; and (vi) such other certificates, statutes and other instruments and documents as I considered appropriate for purposes of the opinions hereafter expressed.</w:t>
      </w:r>
    </w:p>
    <w:p>
      <w:pPr>
        <w:spacing w:after="0" w:line="20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to any facts material to the opinions contained herein, I have made no independent investigation of such facts and have relied, to the extent that I deemed such reliance proper, upon certificates of public officials and officers or other representatives of WMI and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4" w:name="page35"/>
    <w:bookmarkEnd w:id="34"/>
    <w:p>
      <w:pPr>
        <w:ind w:right="360" w:firstLine="351"/>
        <w:spacing w:after="0" w:line="302" w:lineRule="auto"/>
        <w:rPr>
          <w:sz w:val="20"/>
          <w:szCs w:val="20"/>
          <w:color w:val="auto"/>
        </w:rPr>
      </w:pPr>
      <w:r>
        <w:rPr>
          <w:rFonts w:ascii="Arial" w:cs="Arial" w:eastAsia="Arial" w:hAnsi="Arial"/>
          <w:sz w:val="15"/>
          <w:szCs w:val="15"/>
          <w:color w:val="auto"/>
        </w:rPr>
        <w:t>In rendering the opinions set forth below, I have assumed that (i) all information contained in all documents reviewed by me is true and correct; (ii) all signatures on all documents examined by me are genuine; (iii) all documents submitted to me as originals are authentic and all documents submitted to me as copies conform to the originals of those documents; (iv) each natural person signing any document reviewed by me had the legal capacity to do so; (v) each person signing in a representative capacity (other than on behalf of WMI or Holdings) any document reviewed by me had authority to sign in such capacity;</w:t>
      </w:r>
    </w:p>
    <w:p>
      <w:pPr>
        <w:spacing w:after="0" w:line="3" w:lineRule="exact"/>
        <w:rPr>
          <w:sz w:val="20"/>
          <w:szCs w:val="20"/>
          <w:color w:val="auto"/>
        </w:rPr>
      </w:pPr>
    </w:p>
    <w:p>
      <w:pPr>
        <w:ind w:right="260" w:firstLine="8"/>
        <w:spacing w:after="0" w:line="300" w:lineRule="auto"/>
        <w:tabs>
          <w:tab w:leader="none" w:pos="297"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Registration Statement, and any post-effective amendments thereto, will be effective and comply with all applicable laws; (vii) one or more prospectus supplements will have been prepared and filed with the Commission describing the Securities offered thereby; (viii) all Securities will be issued and sold in compliance with applicable federal and state securities laws and in the manner stated in the Registration Statement and an applicable prospectus supplement;</w:t>
      </w:r>
    </w:p>
    <w:p>
      <w:pPr>
        <w:spacing w:after="0" w:line="1" w:lineRule="exact"/>
        <w:rPr>
          <w:rFonts w:ascii="Arial" w:cs="Arial" w:eastAsia="Arial" w:hAnsi="Arial"/>
          <w:sz w:val="15"/>
          <w:szCs w:val="15"/>
          <w:color w:val="auto"/>
        </w:rPr>
      </w:pPr>
    </w:p>
    <w:p>
      <w:pPr>
        <w:ind w:right="80" w:firstLine="8"/>
        <w:spacing w:after="0" w:line="310" w:lineRule="auto"/>
        <w:tabs>
          <w:tab w:leader="none" w:pos="297" w:val="left"/>
        </w:tabs>
        <w:numPr>
          <w:ilvl w:val="0"/>
          <w:numId w:val="42"/>
        </w:numPr>
        <w:rPr>
          <w:rFonts w:ascii="Arial" w:cs="Arial" w:eastAsia="Arial" w:hAnsi="Arial"/>
          <w:sz w:val="15"/>
          <w:szCs w:val="15"/>
          <w:color w:val="auto"/>
        </w:rPr>
      </w:pPr>
      <w:r>
        <w:rPr>
          <w:rFonts w:ascii="Arial" w:cs="Arial" w:eastAsia="Arial" w:hAnsi="Arial"/>
          <w:sz w:val="15"/>
          <w:szCs w:val="15"/>
          <w:color w:val="auto"/>
        </w:rPr>
        <w:t>each of the Senior Indenture and the Subordinated Indenture, together with any supplemental indenture or other instruments establishing a series of Debt Securities to be issued under either of the Indentures, has been or will be duly authorized, executed and delivered by the parties thereto in substantially the form reviewed by me or with changes that do not affect the opinions given hereunder; (x) at the time of any offering or sale of any shares of Common Stock or Preferred Stock, that WMI will have at least such number of shares of Common Stock or Preferred Stock authorized, created and, if appropriate, reserved for issuance; (xi) a definitive purchase, underwriting or similar agreement with respect to any Securities offered will have been duly authorized and validly executed and delivered by WMI and the other parties thereto; and (xii) any Securities issuable upon conversion, exchange or exercise of any Security being offered or sold will at the time of such offering or sale have been duly authorized, created and, if appropriate, reserved for issuance upon such conversion, exchange or exercise.</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the foregoing, and subject to the assumptions, qualifications, limitations and exceptions set forth herein, I am of the opinion that:</w:t>
      </w:r>
    </w:p>
    <w:p>
      <w:pPr>
        <w:spacing w:after="0" w:line="225" w:lineRule="exact"/>
        <w:rPr>
          <w:sz w:val="20"/>
          <w:szCs w:val="20"/>
          <w:color w:val="auto"/>
        </w:rPr>
      </w:pPr>
    </w:p>
    <w:p>
      <w:pPr>
        <w:ind w:left="1220" w:hanging="321"/>
        <w:spacing w:after="0"/>
        <w:tabs>
          <w:tab w:leader="none" w:pos="12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With respect to Debt Securities, when (i) the applicable Indenture has been duly qualified under the Trust Indenture Act of 1939 (the "TIA");</w:t>
      </w:r>
    </w:p>
    <w:p>
      <w:pPr>
        <w:spacing w:after="0" w:line="38" w:lineRule="exact"/>
        <w:rPr>
          <w:rFonts w:ascii="Arial" w:cs="Arial" w:eastAsia="Arial" w:hAnsi="Arial"/>
          <w:sz w:val="16"/>
          <w:szCs w:val="16"/>
          <w:color w:val="auto"/>
        </w:rPr>
      </w:pPr>
    </w:p>
    <w:p>
      <w:pPr>
        <w:ind w:left="540" w:firstLine="8"/>
        <w:spacing w:after="0" w:line="287" w:lineRule="auto"/>
        <w:tabs>
          <w:tab w:leader="none" w:pos="79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Board of Directors of WMI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WMI or any of its assets or properties and so as to comply with any requirement or restriction imposed by any court or governmental body having jurisdiction over WMI or any of its assets or properties; and (iv) such Debt Securities have been duly executed, authenticated, issued and delivered in accordance with the provisions of the applicable Indenture and in accordance with the applicable definitive purchase, underwriting or similar agreement approved by the Board or persons duly authorized thereby, then upon payment of the consideration provided for therein, such Debt Securities will be legally issued and will constitute valid and binding obligations of WMI, enforceable against WMI in accordance with their terms and will be entitled to the benefits of the applicable Indenture.</w:t>
      </w:r>
    </w:p>
    <w:p>
      <w:pPr>
        <w:spacing w:after="0" w:line="178" w:lineRule="exact"/>
        <w:rPr>
          <w:rFonts w:ascii="Arial" w:cs="Arial" w:eastAsia="Arial" w:hAnsi="Arial"/>
          <w:sz w:val="16"/>
          <w:szCs w:val="16"/>
          <w:color w:val="auto"/>
        </w:rPr>
      </w:pPr>
    </w:p>
    <w:p>
      <w:pPr>
        <w:ind w:left="540" w:right="60" w:firstLine="359"/>
        <w:spacing w:after="0" w:line="290" w:lineRule="auto"/>
        <w:tabs>
          <w:tab w:leader="none" w:pos="1224" w:val="left"/>
        </w:tabs>
        <w:numPr>
          <w:ilvl w:val="1"/>
          <w:numId w:val="44"/>
        </w:numPr>
        <w:rPr>
          <w:rFonts w:ascii="Arial" w:cs="Arial" w:eastAsia="Arial" w:hAnsi="Arial"/>
          <w:sz w:val="16"/>
          <w:szCs w:val="16"/>
          <w:color w:val="auto"/>
        </w:rPr>
      </w:pPr>
      <w:r>
        <w:rPr>
          <w:rFonts w:ascii="Arial" w:cs="Arial" w:eastAsia="Arial" w:hAnsi="Arial"/>
          <w:sz w:val="16"/>
          <w:szCs w:val="16"/>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then upon payment of the consideration therefor (not less than the par value of the Common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or persons duly authorized thereby, such shares of Common Stock will be validly issued, fully paid and non-assessable.</w:t>
      </w:r>
    </w:p>
    <w:p>
      <w:pPr>
        <w:spacing w:after="0" w:line="172" w:lineRule="exact"/>
        <w:rPr>
          <w:rFonts w:ascii="Arial" w:cs="Arial" w:eastAsia="Arial" w:hAnsi="Arial"/>
          <w:sz w:val="16"/>
          <w:szCs w:val="16"/>
          <w:color w:val="auto"/>
        </w:rPr>
      </w:pPr>
    </w:p>
    <w:p>
      <w:pPr>
        <w:ind w:left="540" w:right="160" w:firstLine="359"/>
        <w:spacing w:after="0" w:line="268" w:lineRule="auto"/>
        <w:tabs>
          <w:tab w:leader="none" w:pos="1215"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 respect to shares of any series of Preferred Stock, when (i) the Board has taken all necessary corporate action to approve the issuance and terms of the shares of the series,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ind w:left="540" w:right="260"/>
        <w:spacing w:after="0" w:line="284" w:lineRule="auto"/>
        <w:rPr>
          <w:sz w:val="20"/>
          <w:szCs w:val="20"/>
          <w:color w:val="auto"/>
        </w:rPr>
      </w:pPr>
      <w:r>
        <w:rPr>
          <w:rFonts w:ascii="Arial" w:cs="Arial" w:eastAsia="Arial" w:hAnsi="Arial"/>
          <w:sz w:val="16"/>
          <w:szCs w:val="16"/>
          <w:color w:val="auto"/>
        </w:rPr>
        <w:t>of the offering thereof and related matters, including the adoption of a resolution establishing and designating the series and fixing and determining the preferences, limitations and relative rights thereof and the filing of a statement with respect to the series with the Secretary of State of the State of Delaware as required under Section 151 of the General Corporation law of the State of Delaware (the "DGCL") (the "Certificate of Designation"); and</w:t>
      </w:r>
    </w:p>
    <w:p>
      <w:pPr>
        <w:spacing w:after="0" w:line="1" w:lineRule="exact"/>
        <w:rPr>
          <w:sz w:val="20"/>
          <w:szCs w:val="20"/>
          <w:color w:val="auto"/>
        </w:rPr>
      </w:pPr>
    </w:p>
    <w:p>
      <w:pPr>
        <w:ind w:left="540" w:right="100" w:firstLine="8"/>
        <w:spacing w:after="0" w:line="290" w:lineRule="auto"/>
        <w:tabs>
          <w:tab w:leader="none" w:pos="798" w:val="left"/>
        </w:tabs>
        <w:numPr>
          <w:ilvl w:val="0"/>
          <w:numId w:val="45"/>
        </w:numPr>
        <w:rPr>
          <w:rFonts w:ascii="Arial" w:cs="Arial" w:eastAsia="Arial" w:hAnsi="Arial"/>
          <w:sz w:val="16"/>
          <w:szCs w:val="16"/>
          <w:color w:val="auto"/>
        </w:rPr>
      </w:pPr>
      <w:r>
        <w:rPr>
          <w:rFonts w:ascii="Arial" w:cs="Arial" w:eastAsia="Arial" w:hAnsi="Arial"/>
          <w:sz w:val="16"/>
          <w:szCs w:val="16"/>
          <w:color w:val="auto"/>
        </w:rPr>
        <w:t>certificates representing the shares of the series of Preferred Stock have been duly executed, countersigned, registered and delivered either (A) in accordance with the applicable definitive purchase, underwriting or similar agreement approved by the Board, then upon payment of the consideration therefor (not less than the par value of the Preferred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or persons duly authorized thereby, the shares of the series of Preferred Stock will be validly issued, fully paid and non-assessable.</w:t>
      </w:r>
    </w:p>
    <w:p>
      <w:pPr>
        <w:spacing w:after="0" w:line="172" w:lineRule="exact"/>
        <w:rPr>
          <w:rFonts w:ascii="Arial" w:cs="Arial" w:eastAsia="Arial" w:hAnsi="Arial"/>
          <w:sz w:val="16"/>
          <w:szCs w:val="16"/>
          <w:color w:val="auto"/>
        </w:rPr>
      </w:pPr>
    </w:p>
    <w:p>
      <w:pPr>
        <w:ind w:left="540" w:right="180" w:firstLine="359"/>
        <w:spacing w:after="0" w:line="291" w:lineRule="auto"/>
        <w:tabs>
          <w:tab w:leader="none" w:pos="1224" w:val="left"/>
        </w:tabs>
        <w:numPr>
          <w:ilvl w:val="1"/>
          <w:numId w:val="45"/>
        </w:numPr>
        <w:rPr>
          <w:rFonts w:ascii="Arial" w:cs="Arial" w:eastAsia="Arial" w:hAnsi="Arial"/>
          <w:sz w:val="16"/>
          <w:szCs w:val="16"/>
          <w:color w:val="auto"/>
        </w:rPr>
      </w:pPr>
      <w:r>
        <w:rPr>
          <w:rFonts w:ascii="Arial" w:cs="Arial" w:eastAsia="Arial" w:hAnsi="Arial"/>
          <w:sz w:val="16"/>
          <w:szCs w:val="16"/>
          <w:color w:val="auto"/>
        </w:rPr>
        <w:t>With respect to the Warrants, when (i) the Board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WMI and the warrant agent appointed by WMI;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persons duly authorized thereby, then upon payment of the consideration provided for therein, the Warrants will be legally issued and will constitute valid and binding obligations of WMI.</w:t>
      </w:r>
    </w:p>
    <w:p>
      <w:pPr>
        <w:spacing w:after="0" w:line="174" w:lineRule="exact"/>
        <w:rPr>
          <w:rFonts w:ascii="Arial" w:cs="Arial" w:eastAsia="Arial" w:hAnsi="Arial"/>
          <w:sz w:val="16"/>
          <w:szCs w:val="16"/>
          <w:color w:val="auto"/>
        </w:rPr>
      </w:pPr>
    </w:p>
    <w:p>
      <w:pPr>
        <w:ind w:left="540" w:right="20" w:firstLine="359"/>
        <w:spacing w:after="0" w:line="294" w:lineRule="auto"/>
        <w:tabs>
          <w:tab w:leader="none" w:pos="12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With respect to Units, when (i) the purchase agreement for the Units has been duly authorized and validly executed by the parties thereto, (ii) the Board has taken all necessary corporate action to approve and establish the terms of the Units and to authorize and approve the issuance thereof, the terms of the offering and related matters; and (iii) the Units have been duly executed and delivered in accordance with the purchase agreement and the applicable definitive purchase, underwriting or similar agreement approved by or on behalf of the Board or persons duly authorized thereby, then upon payment of the consideration therefor provided therein, the Units will be legally issued and will constitute valid and binding obligations of WMI.</w:t>
      </w:r>
    </w:p>
    <w:p>
      <w:pPr>
        <w:spacing w:after="0" w:line="169" w:lineRule="exact"/>
        <w:rPr>
          <w:rFonts w:ascii="Arial" w:cs="Arial" w:eastAsia="Arial" w:hAnsi="Arial"/>
          <w:sz w:val="16"/>
          <w:szCs w:val="16"/>
          <w:color w:val="auto"/>
        </w:rPr>
      </w:pPr>
    </w:p>
    <w:p>
      <w:pPr>
        <w:ind w:left="540" w:firstLine="359"/>
        <w:spacing w:after="0" w:line="294" w:lineRule="auto"/>
        <w:tabs>
          <w:tab w:leader="none" w:pos="1239" w:val="left"/>
        </w:tabs>
        <w:numPr>
          <w:ilvl w:val="1"/>
          <w:numId w:val="45"/>
        </w:numPr>
        <w:rPr>
          <w:rFonts w:ascii="Arial" w:cs="Arial" w:eastAsia="Arial" w:hAnsi="Arial"/>
          <w:sz w:val="16"/>
          <w:szCs w:val="16"/>
          <w:color w:val="auto"/>
        </w:rPr>
      </w:pPr>
      <w:r>
        <w:rPr>
          <w:rFonts w:ascii="Arial" w:cs="Arial" w:eastAsia="Arial" w:hAnsi="Arial"/>
          <w:sz w:val="16"/>
          <w:szCs w:val="16"/>
          <w:color w:val="auto"/>
        </w:rPr>
        <w:t>With respect to the Holdings Guarantees, when (i) the terms of the Holdings Guarantees and of their issuance, sale and related matters have been duly authorized and approved by all necessary action of Holdings' Board of Directors or persons duly authorized thereby; and (ii) the Holdings Guarantees have been duly executed and delivered in accordance with the purchase agreement and the applicable definitive purchase, underwriting or similar agreement approved by or on behalf of the Holdings' Board of Directors, then upon payment of the consideration therefor provided therein, the Holdings Guarantees will be legally issued and constitute the valid and binding obligation of Holdings.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foregoing opinions are qualified to the extent that the enforceability of any document, instrument or Security may be limited by or subject to</w:t>
      </w:r>
    </w:p>
    <w:p>
      <w:pPr>
        <w:spacing w:after="0" w:line="38" w:lineRule="exact"/>
        <w:rPr>
          <w:sz w:val="20"/>
          <w:szCs w:val="20"/>
          <w:color w:val="auto"/>
        </w:rPr>
      </w:pPr>
    </w:p>
    <w:p>
      <w:pPr>
        <w:ind w:right="120" w:firstLine="8"/>
        <w:spacing w:after="0" w:line="253" w:lineRule="auto"/>
        <w:tabs>
          <w:tab w:leader="none" w:pos="2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bankruptcy, insolvency, fraudulent transfer or conveyance, reorganization, moratorium or other similar laws relating to or affecting creditors' rights generally, and general equitable or public policy principles (regardless of whether enforcement is sought in a proceeding in equity or law),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19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 express no opinions concerning (i) the validity or enforceability of any provisions contained in either of the Indentures that purport to waive or not give effect to rights to notices, defenses,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right="120"/>
        <w:spacing w:after="0" w:line="332" w:lineRule="auto"/>
        <w:rPr>
          <w:sz w:val="20"/>
          <w:szCs w:val="20"/>
          <w:color w:val="auto"/>
        </w:rPr>
      </w:pPr>
      <w:r>
        <w:rPr>
          <w:rFonts w:ascii="Arial" w:cs="Arial" w:eastAsia="Arial" w:hAnsi="Arial"/>
          <w:sz w:val="16"/>
          <w:szCs w:val="16"/>
          <w:color w:val="auto"/>
        </w:rPr>
        <w:t>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My opinions above are limited to the laws of the State of Texas and New York, the DGCL and the federal laws of the United States (except that I express no opinion with respect to any state securities laws or "blue sky" laws), and I do not express any opinion herein concerning any other law. I am licensed to practice law in the State of Texas. I have not examined any laws, regulations or other governmental proceedings other than laws and regulations of general application. I assume no, and hereby specifically disclaim any, obligation to supplement this opinion if any Applicable Law changes after the date of this opinion, or if I become aware of any facts that might change the opinions expressed above after the date of this opinion.</w:t>
      </w:r>
    </w:p>
    <w:p>
      <w:pPr>
        <w:spacing w:after="0" w:line="170"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 hereby consent to the filing of this opinion as an exhibit to the Registration Statement. By giving such consent, I do not admit that I am within the category of persons whose consent is required under Section 7 of the Act or the rules and regulations of Commission issued thereunder.</w:t>
      </w:r>
    </w:p>
    <w:p>
      <w:pPr>
        <w:spacing w:after="0" w:line="13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Courtney A. Tippy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Vice President &amp; Corporate Secretary</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General Counsel—Securities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5.1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Waste Management, Inc. and Waste Management Holdings, Inc. Registration Statement on Form S-3 (filed April 25, 2019)</w:t>
        </w:r>
      </w:hyperlink>
    </w:p>
    <w:p>
      <w:pPr>
        <w:sectPr>
          <w:pgSz w:w="11900" w:h="16838" w:orient="portrait"/>
          <w:cols w:equalWidth="0" w:num="1">
            <w:col w:w="10219"/>
          </w:cols>
          <w:pgMar w:left="240" w:top="820" w:right="1440" w:bottom="1440" w:gutter="0" w:footer="0" w:header="0"/>
        </w:sectPr>
      </w:pPr>
    </w:p>
    <w:bookmarkStart w:id="38" w:name="page39"/>
    <w:bookmarkEnd w:id="38"/>
    <w:p>
      <w:pPr>
        <w:spacing w:after="0"/>
        <w:rPr>
          <w:rFonts w:ascii="Arial" w:cs="Arial" w:eastAsia="Arial" w:hAnsi="Arial"/>
          <w:sz w:val="22"/>
          <w:szCs w:val="22"/>
          <w:color w:val="0000EE"/>
        </w:rPr>
      </w:pPr>
      <w:hyperlink w:anchor="page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Waste Management, Inc. for the registration of debt securities, common stock, preferred stocks, warrants, guarantees, and units, and to the incorporation by reference therein of our reports dated February 14, 2019, with respect to the consolidated financial statements of Waste Management, Inc., and the effectiveness of internal control over financial reporting of Waste Management, Inc., included in its Annual Report (Form 10-K) for the year ended December 31, 2018, filed with the Securities and Exchange Commission.</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40" w:name="page41"/>
    <w:bookmarkEnd w:id="40"/>
    <w:p>
      <w:pPr>
        <w:spacing w:after="0"/>
        <w:rPr>
          <w:rFonts w:ascii="Arial" w:cs="Arial" w:eastAsia="Arial" w:hAnsi="Arial"/>
          <w:sz w:val="22"/>
          <w:szCs w:val="22"/>
          <w:color w:val="0000EE"/>
        </w:rPr>
      </w:pPr>
      <w:hyperlink w:anchor="page4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April 25, 2019</w:t>
      </w:r>
    </w:p>
    <w:p>
      <w:pPr>
        <w:spacing w:after="0" w:line="21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Each person whose signature appears below appoints James C. Fish, Jr., Devina A. Rankin and Charles C. Boettcher, and each of them severally, as his or her true and lawful attorney or attorneys-in-fact and agent or agents, each of whom shall be authorized to act with or without the other, with full power of substitution and resubstitution, for him or her and in his or her name, place and stead in his or her capacity as a director or officer or both, as the case may be, to sign a Registration Statement on Form S-3 and any and all amendments to the Registration Statement and all documents or instruments necessary to comply with the Securities Act of 1933, as amended,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appropriate or advisable in connection with any or all of the above-described matters and to all intents and purposes as he might or could do in person, hereby ratifying and confirming all that said attorneys-in-fact and agents or any of them or their substitutes, may lawfully do or cause to be done by virtue hereof.</w:t>
      </w:r>
    </w:p>
    <w:p>
      <w:pPr>
        <w:spacing w:after="0" w:line="169" w:lineRule="exact"/>
        <w:rPr>
          <w:sz w:val="20"/>
          <w:szCs w:val="20"/>
          <w:color w:val="auto"/>
        </w:rPr>
      </w:pPr>
    </w:p>
    <w:p>
      <w:pPr>
        <w:ind w:left="2460"/>
        <w:spacing w:after="0"/>
        <w:tabs>
          <w:tab w:leader="none" w:pos="85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jc w:val="center"/>
              <w:spacing w:after="0"/>
              <w:rPr>
                <w:sz w:val="20"/>
                <w:szCs w:val="20"/>
                <w:color w:val="auto"/>
              </w:rPr>
            </w:pPr>
            <w:r>
              <w:rPr>
                <w:rFonts w:ascii="Arial" w:cs="Arial" w:eastAsia="Arial" w:hAnsi="Arial"/>
                <w:sz w:val="18"/>
                <w:szCs w:val="18"/>
                <w:color w:val="auto"/>
                <w:w w:val="90"/>
              </w:rPr>
              <w:t>/s/ JAMES C. FISH, JR.</w:t>
            </w:r>
          </w:p>
        </w:tc>
        <w:tc>
          <w:tcPr>
            <w:tcW w:w="5920" w:type="dxa"/>
            <w:vAlign w:val="bottom"/>
          </w:tcPr>
          <w:p>
            <w:pPr>
              <w:jc w:val="center"/>
              <w:ind w:left="352"/>
              <w:spacing w:after="0"/>
              <w:rPr>
                <w:sz w:val="20"/>
                <w:szCs w:val="20"/>
                <w:color w:val="auto"/>
              </w:rPr>
            </w:pPr>
            <w:r>
              <w:rPr>
                <w:rFonts w:ascii="Arial" w:cs="Arial" w:eastAsia="Arial" w:hAnsi="Arial"/>
                <w:sz w:val="18"/>
                <w:szCs w:val="18"/>
                <w:color w:val="auto"/>
                <w:w w:val="90"/>
              </w:rPr>
              <w:t>President, Chief Executive Officer and Director (Principal Executive Officer)</w:t>
            </w:r>
          </w:p>
        </w:tc>
        <w:tc>
          <w:tcPr>
            <w:tcW w:w="0" w:type="dxa"/>
            <w:vAlign w:val="bottom"/>
          </w:tcPr>
          <w:p>
            <w:pPr>
              <w:spacing w:after="0"/>
              <w:rPr>
                <w:sz w:val="1"/>
                <w:szCs w:val="1"/>
                <w:color w:val="auto"/>
              </w:rPr>
            </w:pP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5"/>
              </w:rPr>
              <w:t>James C. Fish, Jr.</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DEVINA A. RANKIN</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90"/>
              </w:rPr>
              <w:t>Senior Vice President and Chief Financial Officer (Principal Financial</w:t>
            </w:r>
          </w:p>
        </w:tc>
        <w:tc>
          <w:tcPr>
            <w:tcW w:w="0" w:type="dxa"/>
            <w:vAlign w:val="bottom"/>
          </w:tcPr>
          <w:p>
            <w:pPr>
              <w:spacing w:after="0"/>
              <w:rPr>
                <w:sz w:val="1"/>
                <w:szCs w:val="1"/>
                <w:color w:val="auto"/>
              </w:rPr>
            </w:pPr>
          </w:p>
        </w:tc>
      </w:tr>
      <w:tr>
        <w:trPr>
          <w:trHeight w:val="103"/>
        </w:trPr>
        <w:tc>
          <w:tcPr>
            <w:tcW w:w="5500" w:type="dxa"/>
            <w:vAlign w:val="bottom"/>
            <w:tcBorders>
              <w:bottom w:val="single" w:sz="8" w:color="auto"/>
            </w:tcBorders>
          </w:tcPr>
          <w:p>
            <w:pPr>
              <w:spacing w:after="0"/>
              <w:rPr>
                <w:sz w:val="8"/>
                <w:szCs w:val="8"/>
                <w:color w:val="auto"/>
              </w:rPr>
            </w:pPr>
          </w:p>
        </w:tc>
        <w:tc>
          <w:tcPr>
            <w:tcW w:w="5920" w:type="dxa"/>
            <w:vAlign w:val="bottom"/>
            <w:vMerge w:val="restart"/>
          </w:tcPr>
          <w:p>
            <w:pPr>
              <w:jc w:val="center"/>
              <w:ind w:left="352"/>
              <w:spacing w:after="0"/>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100"/>
        </w:trPr>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2"/>
              </w:rPr>
              <w:t>Devina A. Rankin</w:t>
            </w:r>
          </w:p>
        </w:tc>
        <w:tc>
          <w:tcPr>
            <w:tcW w:w="5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500" w:type="dxa"/>
            <w:vAlign w:val="bottom"/>
            <w:vMerge w:val="continue"/>
          </w:tcPr>
          <w:p>
            <w:pPr>
              <w:spacing w:after="0"/>
              <w:rPr>
                <w:sz w:val="16"/>
                <w:szCs w:val="16"/>
                <w:color w:val="auto"/>
              </w:rPr>
            </w:pPr>
          </w:p>
        </w:tc>
        <w:tc>
          <w:tcPr>
            <w:tcW w:w="5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LESLIE K. NAGY</w:t>
            </w:r>
          </w:p>
        </w:tc>
        <w:tc>
          <w:tcPr>
            <w:tcW w:w="5920" w:type="dxa"/>
            <w:vAlign w:val="bottom"/>
          </w:tcPr>
          <w:p>
            <w:pPr>
              <w:jc w:val="center"/>
              <w:ind w:left="352"/>
              <w:spacing w:after="0"/>
              <w:rPr>
                <w:sz w:val="20"/>
                <w:szCs w:val="20"/>
                <w:color w:val="auto"/>
              </w:rPr>
            </w:pPr>
            <w:r>
              <w:rPr>
                <w:rFonts w:ascii="Arial" w:cs="Arial" w:eastAsia="Arial" w:hAnsi="Arial"/>
                <w:sz w:val="18"/>
                <w:szCs w:val="18"/>
                <w:color w:val="auto"/>
                <w:w w:val="91"/>
              </w:rPr>
              <w:t>Vice President and Chief Accounting Officer (Principal Accounting Officer)</w:t>
            </w:r>
          </w:p>
        </w:tc>
        <w:tc>
          <w:tcPr>
            <w:tcW w:w="0" w:type="dxa"/>
            <w:vAlign w:val="bottom"/>
          </w:tcPr>
          <w:p>
            <w:pPr>
              <w:spacing w:after="0"/>
              <w:rPr>
                <w:sz w:val="1"/>
                <w:szCs w:val="1"/>
                <w:color w:val="auto"/>
              </w:rPr>
            </w:pP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93"/>
              </w:rPr>
              <w:t>Leslie K. Nagy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00" w:type="dxa"/>
            <w:vAlign w:val="bottom"/>
          </w:tcPr>
          <w:p>
            <w:pPr>
              <w:jc w:val="center"/>
              <w:spacing w:after="0"/>
              <w:rPr>
                <w:sz w:val="20"/>
                <w:szCs w:val="20"/>
                <w:color w:val="auto"/>
              </w:rPr>
            </w:pPr>
            <w:r>
              <w:rPr>
                <w:rFonts w:ascii="Arial" w:cs="Arial" w:eastAsia="Arial" w:hAnsi="Arial"/>
                <w:sz w:val="18"/>
                <w:szCs w:val="18"/>
                <w:color w:val="auto"/>
                <w:w w:val="94"/>
              </w:rPr>
              <w:t>/s/ FRANK M. CLARK, JR.</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90"/>
              </w:rPr>
              <w:t>Frank M. Clark, Jr.</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00" w:type="dxa"/>
            <w:vAlign w:val="bottom"/>
          </w:tcPr>
          <w:p>
            <w:pPr>
              <w:jc w:val="center"/>
              <w:spacing w:after="0"/>
              <w:rPr>
                <w:sz w:val="20"/>
                <w:szCs w:val="20"/>
                <w:color w:val="auto"/>
              </w:rPr>
            </w:pPr>
            <w:r>
              <w:rPr>
                <w:rFonts w:ascii="Arial" w:cs="Arial" w:eastAsia="Arial" w:hAnsi="Arial"/>
                <w:sz w:val="18"/>
                <w:szCs w:val="18"/>
                <w:color w:val="auto"/>
                <w:w w:val="93"/>
              </w:rPr>
              <w:t>/s/ ANDRÉS R. GLUSKI</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90"/>
              </w:rPr>
              <w:t>Andrés R. Gluski</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00" w:type="dxa"/>
            <w:vAlign w:val="bottom"/>
          </w:tcPr>
          <w:p>
            <w:pPr>
              <w:jc w:val="center"/>
              <w:spacing w:after="0"/>
              <w:rPr>
                <w:sz w:val="20"/>
                <w:szCs w:val="20"/>
                <w:color w:val="auto"/>
              </w:rPr>
            </w:pPr>
            <w:r>
              <w:rPr>
                <w:rFonts w:ascii="Arial" w:cs="Arial" w:eastAsia="Arial" w:hAnsi="Arial"/>
                <w:sz w:val="18"/>
                <w:szCs w:val="18"/>
                <w:color w:val="auto"/>
                <w:w w:val="88"/>
              </w:rPr>
              <w:t>/s/ PATRICK W. GROSS</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8"/>
              </w:rPr>
              <w:t>Patrick W. Gross</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VICTORIA M. HOLT</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95"/>
              </w:rPr>
              <w:t>Victoria M. Holt</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KATHLEEN M. MAZZARELLA</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90"/>
              </w:rPr>
              <w:t>Kathleen M. Mazzarella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00" w:type="dxa"/>
            <w:vAlign w:val="bottom"/>
            <w:tcBorders>
              <w:bottom w:val="single" w:sz="8" w:color="808080"/>
            </w:tcBorders>
          </w:tcPr>
          <w:p>
            <w:pPr>
              <w:spacing w:after="0"/>
              <w:rPr>
                <w:sz w:val="10"/>
                <w:szCs w:val="10"/>
                <w:color w:val="auto"/>
              </w:rPr>
            </w:pPr>
          </w:p>
        </w:tc>
        <w:tc>
          <w:tcPr>
            <w:tcW w:w="5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1" w:name="page42"/>
    <w:bookmarkEnd w:id="41"/>
    <w:p>
      <w:pPr>
        <w:ind w:left="2460"/>
        <w:spacing w:after="0"/>
        <w:tabs>
          <w:tab w:leader="none" w:pos="85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jc w:val="center"/>
              <w:spacing w:after="0"/>
              <w:rPr>
                <w:sz w:val="20"/>
                <w:szCs w:val="20"/>
                <w:color w:val="auto"/>
              </w:rPr>
            </w:pPr>
            <w:r>
              <w:rPr>
                <w:rFonts w:ascii="Arial" w:cs="Arial" w:eastAsia="Arial" w:hAnsi="Arial"/>
                <w:sz w:val="18"/>
                <w:szCs w:val="18"/>
                <w:color w:val="auto"/>
                <w:w w:val="88"/>
              </w:rPr>
              <w:t>/s/ JOHN C. POPE</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91"/>
              </w:rPr>
              <w:t>Director</w:t>
            </w: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4"/>
              </w:rPr>
              <w:t>John C. Pope</w:t>
            </w:r>
          </w:p>
        </w:tc>
        <w:tc>
          <w:tcPr>
            <w:tcW w:w="5920" w:type="dxa"/>
            <w:vAlign w:val="bottom"/>
          </w:tcPr>
          <w:p>
            <w:pPr>
              <w:spacing w:after="0"/>
              <w:rPr>
                <w:sz w:val="24"/>
                <w:szCs w:val="24"/>
                <w:color w:val="auto"/>
              </w:rPr>
            </w:pPr>
          </w:p>
        </w:tc>
      </w:tr>
      <w:tr>
        <w:trPr>
          <w:trHeight w:val="459"/>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THOMAS H. WEIDEMEYER</w:t>
            </w:r>
          </w:p>
        </w:tc>
        <w:tc>
          <w:tcPr>
            <w:tcW w:w="5920" w:type="dxa"/>
            <w:vAlign w:val="bottom"/>
          </w:tcPr>
          <w:p>
            <w:pPr>
              <w:jc w:val="center"/>
              <w:ind w:left="372"/>
              <w:spacing w:after="0"/>
              <w:rPr>
                <w:sz w:val="20"/>
                <w:szCs w:val="20"/>
                <w:color w:val="auto"/>
              </w:rPr>
            </w:pPr>
            <w:r>
              <w:rPr>
                <w:rFonts w:ascii="Arial" w:cs="Arial" w:eastAsia="Arial" w:hAnsi="Arial"/>
                <w:sz w:val="18"/>
                <w:szCs w:val="18"/>
                <w:color w:val="auto"/>
                <w:w w:val="89"/>
              </w:rPr>
              <w:t>Chairman of the Board and Director</w:t>
            </w:r>
          </w:p>
        </w:tc>
      </w:tr>
      <w:tr>
        <w:trPr>
          <w:trHeight w:val="97"/>
        </w:trPr>
        <w:tc>
          <w:tcPr>
            <w:tcW w:w="550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r>
      <w:tr>
        <w:trPr>
          <w:trHeight w:val="289"/>
        </w:trPr>
        <w:tc>
          <w:tcPr>
            <w:tcW w:w="5500" w:type="dxa"/>
            <w:vAlign w:val="bottom"/>
          </w:tcPr>
          <w:p>
            <w:pPr>
              <w:jc w:val="center"/>
              <w:spacing w:after="0"/>
              <w:rPr>
                <w:sz w:val="20"/>
                <w:szCs w:val="20"/>
                <w:color w:val="auto"/>
              </w:rPr>
            </w:pPr>
            <w:r>
              <w:rPr>
                <w:rFonts w:ascii="Arial" w:cs="Arial" w:eastAsia="Arial" w:hAnsi="Arial"/>
                <w:sz w:val="18"/>
                <w:szCs w:val="18"/>
                <w:color w:val="auto"/>
                <w:w w:val="88"/>
              </w:rPr>
              <w:t>Thomas H. Weidemeyer</w:t>
            </w:r>
          </w:p>
        </w:tc>
        <w:tc>
          <w:tcPr>
            <w:tcW w:w="5920" w:type="dxa"/>
            <w:vAlign w:val="bottom"/>
          </w:tcPr>
          <w:p>
            <w:pPr>
              <w:spacing w:after="0"/>
              <w:rPr>
                <w:sz w:val="24"/>
                <w:szCs w:val="24"/>
                <w:color w:val="auto"/>
              </w:rPr>
            </w:pPr>
          </w:p>
        </w:tc>
      </w:tr>
      <w:tr>
        <w:trPr>
          <w:trHeight w:val="120"/>
        </w:trPr>
        <w:tc>
          <w:tcPr>
            <w:tcW w:w="5500" w:type="dxa"/>
            <w:vAlign w:val="bottom"/>
            <w:tcBorders>
              <w:bottom w:val="single" w:sz="8" w:color="808080"/>
            </w:tcBorders>
          </w:tcPr>
          <w:p>
            <w:pPr>
              <w:spacing w:after="0"/>
              <w:rPr>
                <w:sz w:val="10"/>
                <w:szCs w:val="10"/>
                <w:color w:val="auto"/>
              </w:rPr>
            </w:pPr>
          </w:p>
        </w:tc>
        <w:tc>
          <w:tcPr>
            <w:tcW w:w="5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 24.1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POWER OF ATTORNEY April 25, 2019</w:t>
        </w:r>
      </w:hyperlink>
    </w:p>
    <w:p>
      <w:pPr>
        <w:sectPr>
          <w:pgSz w:w="11900" w:h="16838" w:orient="portrait"/>
          <w:cols w:equalWidth="0" w:num="1">
            <w:col w:w="10219"/>
          </w:cols>
          <w:pgMar w:left="240" w:top="820" w:right="1440" w:bottom="1440" w:gutter="0" w:footer="0" w:header="0"/>
        </w:sectPr>
      </w:pPr>
    </w:p>
    <w:bookmarkStart w:id="43" w:name="page44"/>
    <w:bookmarkEnd w:id="43"/>
    <w:p>
      <w:pPr>
        <w:spacing w:after="0"/>
        <w:rPr>
          <w:rFonts w:ascii="Arial" w:cs="Arial" w:eastAsia="Arial" w:hAnsi="Arial"/>
          <w:sz w:val="22"/>
          <w:szCs w:val="22"/>
          <w:color w:val="0000EE"/>
        </w:rPr>
      </w:pPr>
      <w:hyperlink w:anchor="page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59"/>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ind w:right="-59"/>
        <w:spacing w:after="0" w:line="231" w:lineRule="auto"/>
        <w:rPr>
          <w:sz w:val="20"/>
          <w:szCs w:val="20"/>
          <w:color w:val="auto"/>
        </w:rPr>
      </w:pPr>
      <w:r>
        <w:rPr>
          <w:rFonts w:ascii="Arial" w:cs="Arial" w:eastAsia="Arial" w:hAnsi="Arial"/>
          <w:sz w:val="22"/>
          <w:szCs w:val="22"/>
          <w:b w:val="1"/>
          <w:bCs w:val="1"/>
          <w:color w:val="auto"/>
        </w:rPr>
        <w:t>CHECK IF AN APPLICATION TO DETERMINE</w:t>
      </w:r>
    </w:p>
    <w:p>
      <w:pPr>
        <w:jc w:val="center"/>
        <w:ind w:right="-59"/>
        <w:spacing w:after="0" w:line="230" w:lineRule="auto"/>
        <w:rPr>
          <w:sz w:val="20"/>
          <w:szCs w:val="20"/>
          <w:color w:val="auto"/>
        </w:rPr>
      </w:pPr>
      <w:r>
        <w:rPr>
          <w:rFonts w:ascii="Arial" w:cs="Arial" w:eastAsia="Arial" w:hAnsi="Arial"/>
          <w:sz w:val="22"/>
          <w:szCs w:val="22"/>
          <w:b w:val="1"/>
          <w:bCs w:val="1"/>
          <w:color w:val="auto"/>
        </w:rPr>
        <w:t>ELIGIBILITY OF A TRUSTEE PURSUANT TO</w:t>
      </w:r>
    </w:p>
    <w:p>
      <w:pPr>
        <w:spacing w:after="0" w:line="1"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2"/>
          <w:szCs w:val="22"/>
          <w:b w:val="1"/>
          <w:bCs w:val="1"/>
          <w:color w:val="auto"/>
        </w:rPr>
        <w:t>SECTION 305(b)(2)</w:t>
      </w:r>
      <w:r>
        <w:rPr>
          <w:sz w:val="20"/>
          <w:szCs w:val="20"/>
          <w:color w:val="auto"/>
        </w:rPr>
        <w:tab/>
      </w:r>
      <w:r>
        <w:rPr>
          <w:rFonts w:ascii="Arial" w:cs="Arial" w:eastAsia="Arial" w:hAnsi="Arial"/>
          <w:sz w:val="16"/>
          <w:szCs w:val="16"/>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THE BANK OF NEW YORK MELLON</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TRUST COMPANY, N.A.</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2960" w:type="dxa"/>
        <w:tblCellMar>
          <w:top w:w="0" w:type="dxa"/>
          <w:left w:w="0" w:type="dxa"/>
          <w:bottom w:w="0" w:type="dxa"/>
          <w:right w:w="0" w:type="dxa"/>
        </w:tblCellMar>
      </w:tblPr>
      <w:tr>
        <w:trPr>
          <w:trHeight w:val="222"/>
        </w:trPr>
        <w:tc>
          <w:tcPr>
            <w:tcW w:w="3060" w:type="dxa"/>
            <w:vAlign w:val="bottom"/>
          </w:tcPr>
          <w:p>
            <w:pPr>
              <w:jc w:val="center"/>
              <w:ind w:right="512"/>
              <w:spacing w:after="0"/>
              <w:rPr>
                <w:sz w:val="20"/>
                <w:szCs w:val="20"/>
                <w:color w:val="auto"/>
              </w:rPr>
            </w:pPr>
            <w:r>
              <w:rPr>
                <w:rFonts w:ascii="Arial" w:cs="Arial" w:eastAsia="Arial" w:hAnsi="Arial"/>
                <w:sz w:val="18"/>
                <w:szCs w:val="18"/>
                <w:b w:val="1"/>
                <w:bCs w:val="1"/>
                <w:color w:val="auto"/>
                <w:w w:val="96"/>
              </w:rPr>
              <w:t>N/A</w:t>
            </w:r>
          </w:p>
        </w:tc>
        <w:tc>
          <w:tcPr>
            <w:tcW w:w="1840" w:type="dxa"/>
            <w:vAlign w:val="bottom"/>
          </w:tcPr>
          <w:p>
            <w:pPr>
              <w:jc w:val="right"/>
              <w:ind w:right="112"/>
              <w:spacing w:after="0"/>
              <w:rPr>
                <w:sz w:val="20"/>
                <w:szCs w:val="20"/>
                <w:color w:val="auto"/>
              </w:rPr>
            </w:pPr>
            <w:r>
              <w:rPr>
                <w:rFonts w:ascii="Arial" w:cs="Arial" w:eastAsia="Arial" w:hAnsi="Arial"/>
                <w:sz w:val="18"/>
                <w:szCs w:val="18"/>
                <w:b w:val="1"/>
                <w:bCs w:val="1"/>
                <w:color w:val="auto"/>
              </w:rPr>
              <w:t>95-3571558</w:t>
            </w:r>
          </w:p>
        </w:tc>
        <w:tc>
          <w:tcPr>
            <w:tcW w:w="0" w:type="dxa"/>
            <w:vAlign w:val="bottom"/>
          </w:tcPr>
          <w:p>
            <w:pPr>
              <w:spacing w:after="0"/>
              <w:rPr>
                <w:sz w:val="1"/>
                <w:szCs w:val="1"/>
                <w:color w:val="auto"/>
              </w:rPr>
            </w:pPr>
          </w:p>
        </w:tc>
      </w:tr>
      <w:tr>
        <w:trPr>
          <w:trHeight w:val="216"/>
        </w:trPr>
        <w:tc>
          <w:tcPr>
            <w:tcW w:w="3060" w:type="dxa"/>
            <w:vAlign w:val="bottom"/>
          </w:tcPr>
          <w:p>
            <w:pPr>
              <w:jc w:val="center"/>
              <w:ind w:right="512"/>
              <w:spacing w:after="0"/>
              <w:rPr>
                <w:sz w:val="20"/>
                <w:szCs w:val="20"/>
                <w:color w:val="auto"/>
              </w:rPr>
            </w:pPr>
            <w:r>
              <w:rPr>
                <w:rFonts w:ascii="Arial" w:cs="Arial" w:eastAsia="Arial" w:hAnsi="Arial"/>
                <w:sz w:val="18"/>
                <w:szCs w:val="18"/>
                <w:color w:val="auto"/>
                <w:w w:val="89"/>
              </w:rPr>
              <w:t>(State of incorporation</w:t>
            </w:r>
          </w:p>
        </w:tc>
        <w:tc>
          <w:tcPr>
            <w:tcW w:w="1840" w:type="dxa"/>
            <w:vAlign w:val="bottom"/>
          </w:tcPr>
          <w:p>
            <w:pPr>
              <w:jc w:val="center"/>
              <w:ind w:left="49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3060" w:type="dxa"/>
            <w:vAlign w:val="bottom"/>
          </w:tcPr>
          <w:p>
            <w:pPr>
              <w:jc w:val="center"/>
              <w:ind w:right="512"/>
              <w:spacing w:after="0"/>
              <w:rPr>
                <w:sz w:val="20"/>
                <w:szCs w:val="20"/>
                <w:color w:val="auto"/>
              </w:rPr>
            </w:pPr>
            <w:r>
              <w:rPr>
                <w:rFonts w:ascii="Arial" w:cs="Arial" w:eastAsia="Arial" w:hAnsi="Arial"/>
                <w:sz w:val="18"/>
                <w:szCs w:val="18"/>
                <w:color w:val="auto"/>
                <w:w w:val="89"/>
              </w:rPr>
              <w:t>if not a U.S. national bank)</w:t>
            </w:r>
          </w:p>
        </w:tc>
        <w:tc>
          <w:tcPr>
            <w:tcW w:w="1840" w:type="dxa"/>
            <w:vAlign w:val="bottom"/>
          </w:tcPr>
          <w:p>
            <w:pPr>
              <w:jc w:val="center"/>
              <w:ind w:left="49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447"/>
        </w:trPr>
        <w:tc>
          <w:tcPr>
            <w:tcW w:w="30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400 South Hope Street, Suite 500</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jc w:val="center"/>
              <w:ind w:right="492"/>
              <w:spacing w:after="0"/>
              <w:rPr>
                <w:sz w:val="20"/>
                <w:szCs w:val="20"/>
                <w:color w:val="auto"/>
              </w:rPr>
            </w:pPr>
            <w:r>
              <w:rPr>
                <w:rFonts w:ascii="Arial" w:cs="Arial" w:eastAsia="Arial" w:hAnsi="Arial"/>
                <w:sz w:val="18"/>
                <w:szCs w:val="18"/>
                <w:b w:val="1"/>
                <w:bCs w:val="1"/>
                <w:color w:val="auto"/>
                <w:w w:val="87"/>
              </w:rPr>
              <w:t>Los Angeles, California</w:t>
            </w:r>
          </w:p>
        </w:tc>
        <w:tc>
          <w:tcPr>
            <w:tcW w:w="18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90071</w:t>
            </w:r>
          </w:p>
        </w:tc>
        <w:tc>
          <w:tcPr>
            <w:tcW w:w="0" w:type="dxa"/>
            <w:vAlign w:val="bottom"/>
          </w:tcPr>
          <w:p>
            <w:pPr>
              <w:spacing w:after="0"/>
              <w:rPr>
                <w:sz w:val="1"/>
                <w:szCs w:val="1"/>
                <w:color w:val="auto"/>
              </w:rPr>
            </w:pPr>
          </w:p>
        </w:tc>
      </w:tr>
      <w:tr>
        <w:trPr>
          <w:trHeight w:val="216"/>
        </w:trPr>
        <w:tc>
          <w:tcPr>
            <w:tcW w:w="3060" w:type="dxa"/>
            <w:vAlign w:val="bottom"/>
          </w:tcPr>
          <w:p>
            <w:pPr>
              <w:jc w:val="center"/>
              <w:ind w:right="492"/>
              <w:spacing w:after="0"/>
              <w:rPr>
                <w:sz w:val="20"/>
                <w:szCs w:val="20"/>
                <w:color w:val="auto"/>
              </w:rPr>
            </w:pPr>
            <w:r>
              <w:rPr>
                <w:rFonts w:ascii="Arial" w:cs="Arial" w:eastAsia="Arial" w:hAnsi="Arial"/>
                <w:sz w:val="18"/>
                <w:szCs w:val="18"/>
                <w:color w:val="auto"/>
                <w:w w:val="89"/>
              </w:rPr>
              <w:t>(Address of principal executive</w:t>
            </w: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tcPr>
          <w:p>
            <w:pPr>
              <w:jc w:val="center"/>
              <w:ind w:right="512"/>
              <w:spacing w:after="0"/>
              <w:rPr>
                <w:sz w:val="20"/>
                <w:szCs w:val="20"/>
                <w:color w:val="auto"/>
              </w:rPr>
            </w:pPr>
            <w:r>
              <w:rPr>
                <w:rFonts w:ascii="Arial" w:cs="Arial" w:eastAsia="Arial" w:hAnsi="Arial"/>
                <w:sz w:val="18"/>
                <w:szCs w:val="18"/>
                <w:color w:val="auto"/>
                <w:w w:val="92"/>
              </w:rPr>
              <w:t>offices)</w:t>
            </w:r>
          </w:p>
        </w:tc>
        <w:tc>
          <w:tcPr>
            <w:tcW w:w="1840" w:type="dxa"/>
            <w:vAlign w:val="bottom"/>
          </w:tcPr>
          <w:p>
            <w:pPr>
              <w:jc w:val="center"/>
              <w:ind w:left="49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Department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240 Greenwich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NY 10286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635-1270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WASTE MANAGEMENT, INC.</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obligor as specified in its charter)</w:t>
      </w:r>
    </w:p>
    <w:p>
      <w:pPr>
        <w:spacing w:after="0" w:line="205" w:lineRule="exact"/>
        <w:rPr>
          <w:sz w:val="20"/>
          <w:szCs w:val="20"/>
          <w:color w:val="auto"/>
        </w:rPr>
      </w:pPr>
    </w:p>
    <w:tbl>
      <w:tblPr>
        <w:tblLayout w:type="fixed"/>
        <w:tblInd w:w="3100" w:type="dxa"/>
        <w:tblCellMar>
          <w:top w:w="0" w:type="dxa"/>
          <w:left w:w="0" w:type="dxa"/>
          <w:bottom w:w="0" w:type="dxa"/>
          <w:right w:w="0" w:type="dxa"/>
        </w:tblCellMar>
      </w:tblPr>
      <w:tr>
        <w:trPr>
          <w:trHeight w:val="222"/>
        </w:trPr>
        <w:tc>
          <w:tcPr>
            <w:tcW w:w="28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Delaware</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73-1309529</w:t>
            </w:r>
          </w:p>
        </w:tc>
        <w:tc>
          <w:tcPr>
            <w:tcW w:w="0" w:type="dxa"/>
            <w:vAlign w:val="bottom"/>
          </w:tcPr>
          <w:p>
            <w:pPr>
              <w:spacing w:after="0"/>
              <w:rPr>
                <w:sz w:val="1"/>
                <w:szCs w:val="1"/>
                <w:color w:val="auto"/>
              </w:rPr>
            </w:pPr>
          </w:p>
        </w:tc>
      </w:tr>
      <w:tr>
        <w:trPr>
          <w:trHeight w:val="216"/>
        </w:trPr>
        <w:tc>
          <w:tcPr>
            <w:tcW w:w="28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(State or other jurisdiction of</w:t>
            </w:r>
          </w:p>
        </w:tc>
        <w:tc>
          <w:tcPr>
            <w:tcW w:w="1900" w:type="dxa"/>
            <w:vAlign w:val="bottom"/>
            <w:gridSpan w:val="2"/>
          </w:tcPr>
          <w:p>
            <w:pPr>
              <w:jc w:val="center"/>
              <w:ind w:left="55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incorporation or organization)</w:t>
            </w:r>
          </w:p>
        </w:tc>
        <w:tc>
          <w:tcPr>
            <w:tcW w:w="1900" w:type="dxa"/>
            <w:vAlign w:val="bottom"/>
            <w:gridSpan w:val="2"/>
          </w:tcPr>
          <w:p>
            <w:pPr>
              <w:jc w:val="center"/>
              <w:ind w:left="55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447"/>
        </w:trPr>
        <w:tc>
          <w:tcPr>
            <w:tcW w:w="28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1001 Fannin Street</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5"/>
              </w:rPr>
              <w:t>Houston, Texas</w:t>
            </w:r>
          </w:p>
        </w:tc>
        <w:tc>
          <w:tcPr>
            <w:tcW w:w="19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77002</w:t>
            </w:r>
          </w:p>
        </w:tc>
        <w:tc>
          <w:tcPr>
            <w:tcW w:w="0" w:type="dxa"/>
            <w:vAlign w:val="bottom"/>
          </w:tcPr>
          <w:p>
            <w:pPr>
              <w:spacing w:after="0"/>
              <w:rPr>
                <w:sz w:val="1"/>
                <w:szCs w:val="1"/>
                <w:color w:val="auto"/>
              </w:rPr>
            </w:pPr>
          </w:p>
        </w:tc>
      </w:tr>
      <w:tr>
        <w:trPr>
          <w:trHeight w:val="216"/>
        </w:trPr>
        <w:tc>
          <w:tcPr>
            <w:tcW w:w="286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(Address of principal executive</w:t>
            </w: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offices)</w:t>
            </w:r>
          </w:p>
        </w:tc>
        <w:tc>
          <w:tcPr>
            <w:tcW w:w="1900" w:type="dxa"/>
            <w:vAlign w:val="bottom"/>
            <w:gridSpan w:val="2"/>
          </w:tcPr>
          <w:p>
            <w:pPr>
              <w:jc w:val="center"/>
              <w:ind w:left="55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Senior Debt Securities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862330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127"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TABLE OF ADDITIONAL GUARANTOR OBLIGORS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160" w:type="dxa"/>
            <w:vAlign w:val="bottom"/>
          </w:tcPr>
          <w:p>
            <w:pPr>
              <w:spacing w:after="0"/>
              <w:rPr>
                <w:sz w:val="12"/>
                <w:szCs w:val="12"/>
                <w:color w:val="auto"/>
              </w:rPr>
            </w:pPr>
          </w:p>
        </w:tc>
        <w:tc>
          <w:tcPr>
            <w:tcW w:w="29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Address, Including Zip Code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 or</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160" w:type="dxa"/>
            <w:vAlign w:val="bottom"/>
          </w:tcPr>
          <w:p>
            <w:pPr>
              <w:spacing w:after="0"/>
              <w:rPr>
                <w:sz w:val="12"/>
                <w:szCs w:val="12"/>
                <w:color w:val="auto"/>
              </w:rPr>
            </w:pPr>
          </w:p>
        </w:tc>
        <w:tc>
          <w:tcPr>
            <w:tcW w:w="29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and Telephone Number</w:t>
            </w:r>
          </w:p>
        </w:tc>
        <w:tc>
          <w:tcPr>
            <w:tcW w:w="0" w:type="dxa"/>
            <w:vAlign w:val="bottom"/>
          </w:tcPr>
          <w:p>
            <w:pPr>
              <w:spacing w:after="0"/>
              <w:rPr>
                <w:sz w:val="1"/>
                <w:szCs w:val="1"/>
                <w:color w:val="auto"/>
              </w:rPr>
            </w:pPr>
          </w:p>
        </w:tc>
      </w:tr>
      <w:tr>
        <w:trPr>
          <w:trHeight w:val="161"/>
        </w:trPr>
        <w:tc>
          <w:tcPr>
            <w:tcW w:w="6120" w:type="dxa"/>
            <w:vAlign w:val="bottom"/>
            <w:gridSpan w:val="3"/>
          </w:tcPr>
          <w:p>
            <w:pPr>
              <w:ind w:left="1140"/>
              <w:spacing w:after="0"/>
              <w:rPr>
                <w:sz w:val="20"/>
                <w:szCs w:val="20"/>
                <w:color w:val="auto"/>
              </w:rPr>
            </w:pPr>
            <w:r>
              <w:rPr>
                <w:rFonts w:ascii="Arial" w:cs="Arial" w:eastAsia="Arial" w:hAnsi="Arial"/>
                <w:sz w:val="14"/>
                <w:szCs w:val="14"/>
                <w:b w:val="1"/>
                <w:bCs w:val="1"/>
                <w:color w:val="auto"/>
              </w:rPr>
              <w:t>Exact Name as Specified in Its Charter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Organization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9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of Principal Executive Office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4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Waste Management Holdings, Inc.</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Delaware</w:t>
            </w:r>
          </w:p>
        </w:tc>
        <w:tc>
          <w:tcPr>
            <w:tcW w:w="1160" w:type="dxa"/>
            <w:vAlign w:val="bottom"/>
            <w:gridSpan w:val="2"/>
            <w:shd w:val="clear" w:color="auto" w:fill="CCEEFF"/>
          </w:tcPr>
          <w:p>
            <w:pPr>
              <w:jc w:val="center"/>
              <w:ind w:left="72"/>
              <w:spacing w:after="0" w:line="201" w:lineRule="exact"/>
              <w:rPr>
                <w:sz w:val="20"/>
                <w:szCs w:val="20"/>
                <w:color w:val="auto"/>
              </w:rPr>
            </w:pPr>
            <w:r>
              <w:rPr>
                <w:rFonts w:ascii="Arial" w:cs="Arial" w:eastAsia="Arial" w:hAnsi="Arial"/>
                <w:sz w:val="18"/>
                <w:szCs w:val="18"/>
                <w:color w:val="auto"/>
                <w:w w:val="86"/>
              </w:rPr>
              <w:t>36-26660763</w:t>
            </w:r>
          </w:p>
        </w:tc>
        <w:tc>
          <w:tcPr>
            <w:tcW w:w="19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1001 Fannin Street</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Houston, Texas 77002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Furnish the following information as to the trustee:</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24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Address</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vMerge w:val="restart"/>
          </w:tcPr>
          <w:p>
            <w:pPr>
              <w:spacing w:after="0"/>
              <w:rPr>
                <w:sz w:val="20"/>
                <w:szCs w:val="20"/>
                <w:color w:val="auto"/>
              </w:rPr>
            </w:pPr>
            <w:r>
              <w:rPr>
                <w:rFonts w:ascii="Arial" w:cs="Arial" w:eastAsia="Arial" w:hAnsi="Arial"/>
                <w:sz w:val="18"/>
                <w:szCs w:val="18"/>
                <w:color w:val="auto"/>
              </w:rPr>
              <w:t>Washington, D.C. 20219</w:t>
            </w: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Comptroller of the Currency—United States Department of the Treasury</w:t>
            </w:r>
          </w:p>
        </w:tc>
        <w:tc>
          <w:tcPr>
            <w:tcW w:w="24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80" w:type="dxa"/>
            <w:vAlign w:val="bottom"/>
          </w:tcPr>
          <w:p>
            <w:pPr>
              <w:spacing w:after="0"/>
              <w:rPr>
                <w:sz w:val="24"/>
                <w:szCs w:val="24"/>
                <w:color w:val="auto"/>
              </w:rPr>
            </w:pPr>
          </w:p>
        </w:tc>
        <w:tc>
          <w:tcPr>
            <w:tcW w:w="6140" w:type="dxa"/>
            <w:vAlign w:val="bottom"/>
            <w:gridSpan w:val="3"/>
          </w:tcPr>
          <w:p>
            <w:pPr>
              <w:ind w:left="800"/>
              <w:spacing w:after="0"/>
              <w:rPr>
                <w:sz w:val="20"/>
                <w:szCs w:val="20"/>
                <w:color w:val="auto"/>
              </w:rPr>
            </w:pPr>
            <w:r>
              <w:rPr>
                <w:rFonts w:ascii="Arial" w:cs="Arial" w:eastAsia="Arial" w:hAnsi="Arial"/>
                <w:sz w:val="18"/>
                <w:szCs w:val="18"/>
                <w:color w:val="auto"/>
              </w:rPr>
              <w:t>Federal Reserve Bank</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w w:val="92"/>
              </w:rPr>
              <w:t>San Francisco, California 94105</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140" w:type="dxa"/>
            <w:vAlign w:val="bottom"/>
            <w:gridSpan w:val="3"/>
          </w:tcPr>
          <w:p>
            <w:pPr>
              <w:ind w:left="800"/>
              <w:spacing w:after="0"/>
              <w:rPr>
                <w:sz w:val="20"/>
                <w:szCs w:val="20"/>
                <w:color w:val="auto"/>
              </w:rPr>
            </w:pPr>
            <w:r>
              <w:rPr>
                <w:rFonts w:ascii="Arial" w:cs="Arial" w:eastAsia="Arial" w:hAnsi="Arial"/>
                <w:sz w:val="18"/>
                <w:szCs w:val="18"/>
                <w:color w:val="auto"/>
              </w:rPr>
              <w:t>Federal Deposit Insurance Corporation</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6140" w:type="dxa"/>
            <w:vAlign w:val="bottom"/>
            <w:gridSpan w:val="3"/>
          </w:tcPr>
          <w:p>
            <w:pPr>
              <w:ind w:left="160"/>
              <w:spacing w:after="0"/>
              <w:rPr>
                <w:sz w:val="20"/>
                <w:szCs w:val="20"/>
                <w:color w:val="auto"/>
              </w:rPr>
            </w:pPr>
            <w:r>
              <w:rPr>
                <w:rFonts w:ascii="Arial" w:cs="Arial" w:eastAsia="Arial" w:hAnsi="Arial"/>
                <w:sz w:val="18"/>
                <w:szCs w:val="18"/>
                <w:color w:val="auto"/>
              </w:rPr>
              <w:t>Whether it is authorized to exercise corporate trust powers.</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140" w:type="dxa"/>
            <w:vAlign w:val="bottom"/>
            <w:gridSpan w:val="3"/>
          </w:tcPr>
          <w:p>
            <w:pPr>
              <w:ind w:left="160"/>
              <w:spacing w:after="0"/>
              <w:rPr>
                <w:sz w:val="20"/>
                <w:szCs w:val="20"/>
                <w:color w:val="auto"/>
              </w:rPr>
            </w:pPr>
            <w:r>
              <w:rPr>
                <w:rFonts w:ascii="Arial" w:cs="Arial" w:eastAsia="Arial" w:hAnsi="Arial"/>
                <w:sz w:val="18"/>
                <w:szCs w:val="18"/>
                <w:color w:val="auto"/>
              </w:rPr>
              <w:t>Yes.</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225" w:lineRule="exact"/>
        <w:rPr>
          <w:sz w:val="20"/>
          <w:szCs w:val="20"/>
          <w:color w:val="auto"/>
        </w:rPr>
      </w:pPr>
    </w:p>
    <w:p>
      <w:pPr>
        <w:ind w:left="540" w:right="360"/>
        <w:spacing w:after="0" w:line="275"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93" w:lineRule="exact"/>
        <w:rPr>
          <w:sz w:val="20"/>
          <w:szCs w:val="20"/>
          <w:color w:val="auto"/>
        </w:rPr>
      </w:pPr>
    </w:p>
    <w:p>
      <w:pPr>
        <w:ind w:left="1080" w:right="9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(Exhibit 1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6" w:name="page47"/>
    <w:bookmarkEnd w:id="46"/>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Los Angeles, and State of California, on the 23rd day of April, 2019.</w:t>
      </w:r>
    </w:p>
    <w:p>
      <w:pPr>
        <w:spacing w:after="0" w:line="18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THE BANK OF NEW YORK MELLON TRUST</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COMPANY, N.A.</w:t>
      </w:r>
    </w:p>
    <w:p>
      <w:pPr>
        <w:spacing w:after="0" w:line="219"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tab/>
        <w:t>/s/ KAREN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Karen Yu</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341" w:right="659" w:bottom="1440" w:gutter="0" w:footer="0" w:header="0"/>
        </w:sectPr>
      </w:pPr>
    </w:p>
    <w:bookmarkStart w:id="47" w:name="page48"/>
    <w:bookmarkEnd w:id="47"/>
    <w:p>
      <w:pPr>
        <w:ind w:left="10500"/>
        <w:spacing w:after="0"/>
        <w:rPr>
          <w:sz w:val="20"/>
          <w:szCs w:val="20"/>
          <w:color w:val="auto"/>
        </w:rPr>
      </w:pPr>
      <w:r>
        <w:rPr>
          <w:rFonts w:ascii="Arial" w:cs="Arial" w:eastAsia="Arial" w:hAnsi="Arial"/>
          <w:sz w:val="18"/>
          <w:szCs w:val="18"/>
          <w:b w:val="1"/>
          <w:bCs w:val="1"/>
          <w:color w:val="auto"/>
        </w:rPr>
        <w:t>EXHIBIT 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close of business December 31, 2018, published in accordance with Federal regulatory authority instructions.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8"/>
              </w:rPr>
              <w:t>Dollar amounts</w:t>
            </w: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2"/>
              </w:rPr>
              <w:t>in thousands</w:t>
            </w: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1"/>
        </w:trPr>
        <w:tc>
          <w:tcPr>
            <w:tcW w:w="114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8"/>
                <w:szCs w:val="18"/>
                <w:color w:val="auto"/>
              </w:rPr>
              <w:t>Cash and balances due from depository institutions: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Noninterest-bearing balances and currency and coin</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Interest-bearing balances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Held-to-maturity securities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Available-for-sale securities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NR</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Federal funds sold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Securities purchased under agreements to resell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Loans and lease financing receivables: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Loans and leases held for sale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Loans and leases, held for investment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LESS: Allowance for loan and lease losses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Loans and leases held for investment, net of allowance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859,682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9040" w:type="dxa"/>
            <w:vAlign w:val="bottom"/>
            <w:gridSpan w:val="5"/>
          </w:tcPr>
          <w:p>
            <w:pPr>
              <w:ind w:left="114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8"/>
              </w:rPr>
              <w:t>LIABILITIES</w:t>
            </w:r>
          </w:p>
        </w:tc>
        <w:tc>
          <w:tcPr>
            <w:tcW w:w="6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376"/>
        </w:trPr>
        <w:tc>
          <w:tcPr>
            <w:tcW w:w="9040" w:type="dxa"/>
            <w:vAlign w:val="bottom"/>
            <w:gridSpan w:val="5"/>
          </w:tcPr>
          <w:p>
            <w:pPr>
              <w:ind w:left="11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6"/>
        </w:trPr>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Noninterest-bearing</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Interest-bearing</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Not applicable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Federal funds purchased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Securities sold under agreements to repurchase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52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226,786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12"/>
        </w:trPr>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Dollar amounts</w:t>
            </w: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in thousands</w:t>
            </w:r>
          </w:p>
        </w:tc>
      </w:tr>
      <w:tr>
        <w:trPr>
          <w:trHeight w:val="190"/>
        </w:trPr>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5"/>
              </w:rPr>
              <w:t>EQUITY CAPITAL</w:t>
            </w:r>
          </w:p>
        </w:tc>
        <w:tc>
          <w:tcPr>
            <w:tcW w:w="6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430"/>
        </w:trPr>
        <w:tc>
          <w:tcPr>
            <w:tcW w:w="7900" w:type="dxa"/>
            <w:vAlign w:val="bottom"/>
            <w:gridSpan w:val="3"/>
          </w:tcPr>
          <w:p>
            <w:pPr>
              <w:spacing w:after="0"/>
              <w:rPr>
                <w:sz w:val="20"/>
                <w:szCs w:val="20"/>
                <w:color w:val="auto"/>
              </w:rPr>
            </w:pPr>
            <w:r>
              <w:rPr>
                <w:rFonts w:ascii="Arial" w:cs="Arial" w:eastAsia="Arial" w:hAnsi="Arial"/>
                <w:sz w:val="18"/>
                <w:szCs w:val="18"/>
                <w:color w:val="auto"/>
              </w:rPr>
              <w:t>Perpetual preferred stock and related surplus</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323,516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available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jc w:val="right"/>
              <w:spacing w:after="0"/>
              <w:rPr>
                <w:sz w:val="20"/>
                <w:szCs w:val="20"/>
                <w:color w:val="auto"/>
              </w:rPr>
            </w:pPr>
            <w:r>
              <w:rPr>
                <w:rFonts w:ascii="Arial" w:cs="Arial" w:eastAsia="Arial" w:hAnsi="Arial"/>
                <w:sz w:val="18"/>
                <w:szCs w:val="18"/>
                <w:color w:val="auto"/>
              </w:rPr>
              <w:t>777,089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w:t>
            </w: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equity capital components</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available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Total bank equity capital</w:t>
            </w:r>
          </w:p>
        </w:tc>
        <w:tc>
          <w:tcPr>
            <w:tcW w:w="1080" w:type="dxa"/>
            <w:vAlign w:val="bottom"/>
          </w:tcPr>
          <w:p>
            <w:pPr>
              <w:jc w:val="right"/>
              <w:spacing w:after="0"/>
              <w:rPr>
                <w:sz w:val="20"/>
                <w:szCs w:val="20"/>
                <w:color w:val="auto"/>
              </w:rPr>
            </w:pPr>
            <w:r>
              <w:rPr>
                <w:rFonts w:ascii="Arial" w:cs="Arial" w:eastAsia="Arial" w:hAnsi="Arial"/>
                <w:sz w:val="18"/>
                <w:szCs w:val="18"/>
                <w:color w:val="auto"/>
              </w:rPr>
              <w:t>1,100,509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(minority) interests in consolidated subsidiaries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1,100,509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1,329,972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94" w:lineRule="exact"/>
        <w:rPr>
          <w:sz w:val="20"/>
          <w:szCs w:val="20"/>
          <w:color w:val="auto"/>
        </w:rPr>
      </w:pPr>
    </w:p>
    <w:p>
      <w:pPr>
        <w:ind w:left="2060"/>
        <w:spacing w:after="0"/>
        <w:tabs>
          <w:tab w:leader="none" w:pos="8060" w:val="left"/>
          <w:tab w:leader="none" w:pos="882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CFO</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1420"/>
              <w:spacing w:after="0"/>
              <w:rPr>
                <w:sz w:val="20"/>
                <w:szCs w:val="20"/>
                <w:color w:val="auto"/>
              </w:rPr>
            </w:pPr>
            <w:r>
              <w:rPr>
                <w:rFonts w:ascii="Arial" w:cs="Arial" w:eastAsia="Arial" w:hAnsi="Arial"/>
                <w:sz w:val="18"/>
                <w:szCs w:val="18"/>
                <w:color w:val="auto"/>
              </w:rPr>
              <w:t>Antonio I. Portuondo, President</w:t>
            </w:r>
          </w:p>
        </w:tc>
        <w:tc>
          <w:tcPr>
            <w:tcW w:w="620" w:type="dxa"/>
            <w:vAlign w:val="bottom"/>
          </w:tcPr>
          <w:p>
            <w:pPr>
              <w:jc w:val="right"/>
              <w:ind w:right="474"/>
              <w:spacing w:after="0"/>
              <w:rPr>
                <w:sz w:val="20"/>
                <w:szCs w:val="20"/>
                <w:color w:val="auto"/>
              </w:rPr>
            </w:pPr>
            <w:r>
              <w:rPr>
                <w:rFonts w:ascii="Arial" w:cs="Arial" w:eastAsia="Arial" w:hAnsi="Arial"/>
                <w:sz w:val="16"/>
                <w:szCs w:val="16"/>
                <w:color w:val="auto"/>
                <w:w w:val="74"/>
              </w:rPr>
              <w:t>)</w:t>
            </w:r>
          </w:p>
        </w:tc>
        <w:tc>
          <w:tcPr>
            <w:tcW w:w="6800" w:type="dxa"/>
            <w:vAlign w:val="bottom"/>
          </w:tcPr>
          <w:p>
            <w:pPr>
              <w:spacing w:after="0"/>
              <w:rPr>
                <w:sz w:val="18"/>
                <w:szCs w:val="18"/>
                <w:color w:val="auto"/>
              </w:rPr>
            </w:pPr>
          </w:p>
        </w:tc>
      </w:tr>
      <w:tr>
        <w:trPr>
          <w:trHeight w:val="216"/>
        </w:trPr>
        <w:tc>
          <w:tcPr>
            <w:tcW w:w="4000" w:type="dxa"/>
            <w:vAlign w:val="bottom"/>
          </w:tcPr>
          <w:p>
            <w:pPr>
              <w:ind w:left="1420"/>
              <w:spacing w:after="0"/>
              <w:rPr>
                <w:sz w:val="20"/>
                <w:szCs w:val="20"/>
                <w:color w:val="auto"/>
              </w:rPr>
            </w:pPr>
            <w:r>
              <w:rPr>
                <w:rFonts w:ascii="Arial" w:cs="Arial" w:eastAsia="Arial" w:hAnsi="Arial"/>
                <w:sz w:val="18"/>
                <w:szCs w:val="18"/>
                <w:color w:val="auto"/>
                <w:w w:val="89"/>
              </w:rPr>
              <w:t>Michael P. Scott, Managing Director</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0" w:type="dxa"/>
            <w:vAlign w:val="bottom"/>
          </w:tcPr>
          <w:p>
            <w:pPr>
              <w:ind w:left="220"/>
              <w:spacing w:after="0"/>
              <w:rPr>
                <w:sz w:val="20"/>
                <w:szCs w:val="20"/>
                <w:color w:val="auto"/>
              </w:rPr>
            </w:pPr>
            <w:r>
              <w:rPr>
                <w:rFonts w:ascii="Arial" w:cs="Arial" w:eastAsia="Arial" w:hAnsi="Arial"/>
                <w:sz w:val="18"/>
                <w:szCs w:val="18"/>
                <w:color w:val="auto"/>
              </w:rPr>
              <w:t>Directors (Trustees)</w:t>
            </w:r>
          </w:p>
        </w:tc>
      </w:tr>
      <w:tr>
        <w:trPr>
          <w:trHeight w:val="222"/>
        </w:trPr>
        <w:tc>
          <w:tcPr>
            <w:tcW w:w="4000" w:type="dxa"/>
            <w:vAlign w:val="bottom"/>
          </w:tcPr>
          <w:p>
            <w:pPr>
              <w:ind w:left="1420"/>
              <w:spacing w:after="0"/>
              <w:rPr>
                <w:sz w:val="20"/>
                <w:szCs w:val="20"/>
                <w:color w:val="auto"/>
              </w:rPr>
            </w:pPr>
            <w:r>
              <w:rPr>
                <w:rFonts w:ascii="Arial" w:cs="Arial" w:eastAsia="Arial" w:hAnsi="Arial"/>
                <w:sz w:val="18"/>
                <w:szCs w:val="18"/>
                <w:color w:val="auto"/>
                <w:w w:val="89"/>
              </w:rPr>
              <w:t>Kevin P. Caffrey, Managing Director</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9"/>
                <w:szCs w:val="19"/>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25.1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TABLE OF ADDITIONAL GUARANTOR OBLIGORS</w:t>
        </w:r>
      </w:hyperlink>
    </w:p>
    <w:p>
      <w:pPr>
        <w:spacing w:after="0" w:line="248"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 General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 Affiliations with Obligor.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16. List of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SIGNATURE</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 7</w:t>
        </w:r>
      </w:hyperlink>
    </w:p>
    <w:p>
      <w:pPr>
        <w:sectPr>
          <w:pgSz w:w="11900" w:h="16838" w:orient="portrait"/>
          <w:cols w:equalWidth="0" w:num="1">
            <w:col w:w="10219"/>
          </w:cols>
          <w:pgMar w:left="240" w:top="820" w:right="1440" w:bottom="1440" w:gutter="0" w:footer="0" w:header="0"/>
        </w:sectPr>
      </w:pPr>
    </w:p>
    <w:bookmarkStart w:id="50" w:name="page51"/>
    <w:bookmarkEnd w:id="50"/>
    <w:p>
      <w:pPr>
        <w:spacing w:after="0"/>
        <w:rPr>
          <w:rFonts w:ascii="Arial" w:cs="Arial" w:eastAsia="Arial" w:hAnsi="Arial"/>
          <w:sz w:val="22"/>
          <w:szCs w:val="22"/>
          <w:color w:val="0000EE"/>
        </w:rPr>
      </w:pPr>
      <w:hyperlink w:anchor="page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59"/>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ind w:right="-59"/>
        <w:spacing w:after="0" w:line="231" w:lineRule="auto"/>
        <w:rPr>
          <w:sz w:val="20"/>
          <w:szCs w:val="20"/>
          <w:color w:val="auto"/>
        </w:rPr>
      </w:pPr>
      <w:r>
        <w:rPr>
          <w:rFonts w:ascii="Arial" w:cs="Arial" w:eastAsia="Arial" w:hAnsi="Arial"/>
          <w:sz w:val="22"/>
          <w:szCs w:val="22"/>
          <w:b w:val="1"/>
          <w:bCs w:val="1"/>
          <w:color w:val="auto"/>
        </w:rPr>
        <w:t>CHECK IF AN APPLICATION TO DETERMINE</w:t>
      </w:r>
    </w:p>
    <w:p>
      <w:pPr>
        <w:jc w:val="center"/>
        <w:ind w:right="-59"/>
        <w:spacing w:after="0" w:line="230" w:lineRule="auto"/>
        <w:rPr>
          <w:sz w:val="20"/>
          <w:szCs w:val="20"/>
          <w:color w:val="auto"/>
        </w:rPr>
      </w:pPr>
      <w:r>
        <w:rPr>
          <w:rFonts w:ascii="Arial" w:cs="Arial" w:eastAsia="Arial" w:hAnsi="Arial"/>
          <w:sz w:val="22"/>
          <w:szCs w:val="22"/>
          <w:b w:val="1"/>
          <w:bCs w:val="1"/>
          <w:color w:val="auto"/>
        </w:rPr>
        <w:t>ELIGIBILITY OF A TRUSTEE PURSUANT TO</w:t>
      </w:r>
    </w:p>
    <w:p>
      <w:pPr>
        <w:spacing w:after="0" w:line="1"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2"/>
          <w:szCs w:val="22"/>
          <w:b w:val="1"/>
          <w:bCs w:val="1"/>
          <w:color w:val="auto"/>
        </w:rPr>
        <w:t>SECTION 305(b)(2)</w:t>
      </w:r>
      <w:r>
        <w:rPr>
          <w:sz w:val="20"/>
          <w:szCs w:val="20"/>
          <w:color w:val="auto"/>
        </w:rPr>
        <w:tab/>
      </w:r>
      <w:r>
        <w:rPr>
          <w:rFonts w:ascii="Arial" w:cs="Arial" w:eastAsia="Arial" w:hAnsi="Arial"/>
          <w:sz w:val="16"/>
          <w:szCs w:val="16"/>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THE BANK OF NEW YORK MELLON TRUST COMPANY, N.A.</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2940" w:type="dxa"/>
        <w:tblCellMar>
          <w:top w:w="0" w:type="dxa"/>
          <w:left w:w="0" w:type="dxa"/>
          <w:bottom w:w="0" w:type="dxa"/>
          <w:right w:w="0" w:type="dxa"/>
        </w:tblCellMar>
      </w:tblPr>
      <w:tr>
        <w:trPr>
          <w:trHeight w:val="222"/>
        </w:trPr>
        <w:tc>
          <w:tcPr>
            <w:tcW w:w="3080" w:type="dxa"/>
            <w:vAlign w:val="bottom"/>
          </w:tcPr>
          <w:p>
            <w:pPr>
              <w:jc w:val="center"/>
              <w:ind w:right="492"/>
              <w:spacing w:after="0"/>
              <w:rPr>
                <w:sz w:val="20"/>
                <w:szCs w:val="20"/>
                <w:color w:val="auto"/>
              </w:rPr>
            </w:pPr>
            <w:r>
              <w:rPr>
                <w:rFonts w:ascii="Arial" w:cs="Arial" w:eastAsia="Arial" w:hAnsi="Arial"/>
                <w:sz w:val="18"/>
                <w:szCs w:val="18"/>
                <w:b w:val="1"/>
                <w:bCs w:val="1"/>
                <w:color w:val="auto"/>
                <w:w w:val="96"/>
              </w:rPr>
              <w:t>N/A</w:t>
            </w:r>
          </w:p>
        </w:tc>
        <w:tc>
          <w:tcPr>
            <w:tcW w:w="1840" w:type="dxa"/>
            <w:vAlign w:val="bottom"/>
          </w:tcPr>
          <w:p>
            <w:pPr>
              <w:jc w:val="right"/>
              <w:ind w:right="112"/>
              <w:spacing w:after="0"/>
              <w:rPr>
                <w:sz w:val="20"/>
                <w:szCs w:val="20"/>
                <w:color w:val="auto"/>
              </w:rPr>
            </w:pPr>
            <w:r>
              <w:rPr>
                <w:rFonts w:ascii="Arial" w:cs="Arial" w:eastAsia="Arial" w:hAnsi="Arial"/>
                <w:sz w:val="18"/>
                <w:szCs w:val="18"/>
                <w:b w:val="1"/>
                <w:bCs w:val="1"/>
                <w:color w:val="auto"/>
              </w:rPr>
              <w:t>95-3571558</w:t>
            </w:r>
          </w:p>
        </w:tc>
        <w:tc>
          <w:tcPr>
            <w:tcW w:w="0" w:type="dxa"/>
            <w:vAlign w:val="bottom"/>
          </w:tcPr>
          <w:p>
            <w:pPr>
              <w:spacing w:after="0"/>
              <w:rPr>
                <w:sz w:val="1"/>
                <w:szCs w:val="1"/>
                <w:color w:val="auto"/>
              </w:rPr>
            </w:pPr>
          </w:p>
        </w:tc>
      </w:tr>
      <w:tr>
        <w:trPr>
          <w:trHeight w:val="216"/>
        </w:trPr>
        <w:tc>
          <w:tcPr>
            <w:tcW w:w="3080" w:type="dxa"/>
            <w:vAlign w:val="bottom"/>
          </w:tcPr>
          <w:p>
            <w:pPr>
              <w:jc w:val="center"/>
              <w:ind w:right="492"/>
              <w:spacing w:after="0"/>
              <w:rPr>
                <w:sz w:val="20"/>
                <w:szCs w:val="20"/>
                <w:color w:val="auto"/>
              </w:rPr>
            </w:pPr>
            <w:r>
              <w:rPr>
                <w:rFonts w:ascii="Arial" w:cs="Arial" w:eastAsia="Arial" w:hAnsi="Arial"/>
                <w:sz w:val="18"/>
                <w:szCs w:val="18"/>
                <w:color w:val="auto"/>
                <w:w w:val="89"/>
              </w:rPr>
              <w:t>(State of incorporation</w:t>
            </w:r>
          </w:p>
        </w:tc>
        <w:tc>
          <w:tcPr>
            <w:tcW w:w="1840" w:type="dxa"/>
            <w:vAlign w:val="bottom"/>
          </w:tcPr>
          <w:p>
            <w:pPr>
              <w:jc w:val="center"/>
              <w:ind w:left="49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3080" w:type="dxa"/>
            <w:vAlign w:val="bottom"/>
          </w:tcPr>
          <w:p>
            <w:pPr>
              <w:jc w:val="center"/>
              <w:ind w:right="492"/>
              <w:spacing w:after="0"/>
              <w:rPr>
                <w:sz w:val="20"/>
                <w:szCs w:val="20"/>
                <w:color w:val="auto"/>
              </w:rPr>
            </w:pPr>
            <w:r>
              <w:rPr>
                <w:rFonts w:ascii="Arial" w:cs="Arial" w:eastAsia="Arial" w:hAnsi="Arial"/>
                <w:sz w:val="18"/>
                <w:szCs w:val="18"/>
                <w:color w:val="auto"/>
                <w:w w:val="89"/>
              </w:rPr>
              <w:t>if not a U.S. national bank)</w:t>
            </w:r>
          </w:p>
        </w:tc>
        <w:tc>
          <w:tcPr>
            <w:tcW w:w="1840" w:type="dxa"/>
            <w:vAlign w:val="bottom"/>
          </w:tcPr>
          <w:p>
            <w:pPr>
              <w:jc w:val="center"/>
              <w:ind w:left="49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447"/>
        </w:trPr>
        <w:tc>
          <w:tcPr>
            <w:tcW w:w="3080" w:type="dxa"/>
            <w:vAlign w:val="bottom"/>
          </w:tcPr>
          <w:p>
            <w:pPr>
              <w:jc w:val="center"/>
              <w:ind w:right="472"/>
              <w:spacing w:after="0"/>
              <w:rPr>
                <w:sz w:val="20"/>
                <w:szCs w:val="20"/>
                <w:color w:val="auto"/>
              </w:rPr>
            </w:pPr>
            <w:r>
              <w:rPr>
                <w:rFonts w:ascii="Arial" w:cs="Arial" w:eastAsia="Arial" w:hAnsi="Arial"/>
                <w:sz w:val="18"/>
                <w:szCs w:val="18"/>
                <w:b w:val="1"/>
                <w:bCs w:val="1"/>
                <w:color w:val="auto"/>
                <w:w w:val="87"/>
              </w:rPr>
              <w:t>400 South Hope Street,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80" w:type="dxa"/>
            <w:vAlign w:val="bottom"/>
          </w:tcPr>
          <w:p>
            <w:pPr>
              <w:jc w:val="center"/>
              <w:ind w:right="492"/>
              <w:spacing w:after="0"/>
              <w:rPr>
                <w:sz w:val="20"/>
                <w:szCs w:val="20"/>
                <w:color w:val="auto"/>
              </w:rPr>
            </w:pPr>
            <w:r>
              <w:rPr>
                <w:rFonts w:ascii="Arial" w:cs="Arial" w:eastAsia="Arial" w:hAnsi="Arial"/>
                <w:sz w:val="18"/>
                <w:szCs w:val="18"/>
                <w:b w:val="1"/>
                <w:bCs w:val="1"/>
                <w:color w:val="auto"/>
                <w:w w:val="87"/>
              </w:rPr>
              <w:t>Suite 500 Los Angeles, California</w:t>
            </w:r>
          </w:p>
        </w:tc>
        <w:tc>
          <w:tcPr>
            <w:tcW w:w="18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90071</w:t>
            </w:r>
          </w:p>
        </w:tc>
        <w:tc>
          <w:tcPr>
            <w:tcW w:w="0" w:type="dxa"/>
            <w:vAlign w:val="bottom"/>
          </w:tcPr>
          <w:p>
            <w:pPr>
              <w:spacing w:after="0"/>
              <w:rPr>
                <w:sz w:val="1"/>
                <w:szCs w:val="1"/>
                <w:color w:val="auto"/>
              </w:rPr>
            </w:pPr>
          </w:p>
        </w:tc>
      </w:tr>
      <w:tr>
        <w:trPr>
          <w:trHeight w:val="216"/>
        </w:trPr>
        <w:tc>
          <w:tcPr>
            <w:tcW w:w="3080" w:type="dxa"/>
            <w:vAlign w:val="bottom"/>
          </w:tcPr>
          <w:p>
            <w:pPr>
              <w:jc w:val="center"/>
              <w:ind w:right="472"/>
              <w:spacing w:after="0"/>
              <w:rPr>
                <w:sz w:val="20"/>
                <w:szCs w:val="20"/>
                <w:color w:val="auto"/>
              </w:rPr>
            </w:pPr>
            <w:r>
              <w:rPr>
                <w:rFonts w:ascii="Arial" w:cs="Arial" w:eastAsia="Arial" w:hAnsi="Arial"/>
                <w:sz w:val="18"/>
                <w:szCs w:val="18"/>
                <w:color w:val="auto"/>
                <w:w w:val="89"/>
              </w:rPr>
              <w:t>(Address of principal executive</w:t>
            </w: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jc w:val="center"/>
              <w:ind w:right="492"/>
              <w:spacing w:after="0"/>
              <w:rPr>
                <w:sz w:val="20"/>
                <w:szCs w:val="20"/>
                <w:color w:val="auto"/>
              </w:rPr>
            </w:pPr>
            <w:r>
              <w:rPr>
                <w:rFonts w:ascii="Arial" w:cs="Arial" w:eastAsia="Arial" w:hAnsi="Arial"/>
                <w:sz w:val="18"/>
                <w:szCs w:val="18"/>
                <w:color w:val="auto"/>
                <w:w w:val="92"/>
              </w:rPr>
              <w:t>offices)</w:t>
            </w:r>
          </w:p>
        </w:tc>
        <w:tc>
          <w:tcPr>
            <w:tcW w:w="1840" w:type="dxa"/>
            <w:vAlign w:val="bottom"/>
          </w:tcPr>
          <w:p>
            <w:pPr>
              <w:jc w:val="center"/>
              <w:ind w:left="49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Department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240 Greenwich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NY 10286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635-1270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WASTE MANAGEMENT, INC.</w:t>
      </w:r>
    </w:p>
    <w:p>
      <w:pPr>
        <w:spacing w:after="0" w:line="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obligor as specified in its charter)</w:t>
      </w:r>
    </w:p>
    <w:p>
      <w:pPr>
        <w:spacing w:after="0" w:line="205" w:lineRule="exact"/>
        <w:rPr>
          <w:sz w:val="20"/>
          <w:szCs w:val="20"/>
          <w:color w:val="auto"/>
        </w:rPr>
      </w:pPr>
    </w:p>
    <w:tbl>
      <w:tblPr>
        <w:tblLayout w:type="fixed"/>
        <w:tblInd w:w="3100" w:type="dxa"/>
        <w:tblCellMar>
          <w:top w:w="0" w:type="dxa"/>
          <w:left w:w="0" w:type="dxa"/>
          <w:bottom w:w="0" w:type="dxa"/>
          <w:right w:w="0" w:type="dxa"/>
        </w:tblCellMar>
      </w:tblPr>
      <w:tr>
        <w:trPr>
          <w:trHeight w:val="222"/>
        </w:trPr>
        <w:tc>
          <w:tcPr>
            <w:tcW w:w="28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Delaware</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73-1309529</w:t>
            </w:r>
          </w:p>
        </w:tc>
        <w:tc>
          <w:tcPr>
            <w:tcW w:w="0" w:type="dxa"/>
            <w:vAlign w:val="bottom"/>
          </w:tcPr>
          <w:p>
            <w:pPr>
              <w:spacing w:after="0"/>
              <w:rPr>
                <w:sz w:val="1"/>
                <w:szCs w:val="1"/>
                <w:color w:val="auto"/>
              </w:rPr>
            </w:pPr>
          </w:p>
        </w:tc>
      </w:tr>
      <w:tr>
        <w:trPr>
          <w:trHeight w:val="216"/>
        </w:trPr>
        <w:tc>
          <w:tcPr>
            <w:tcW w:w="28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(State or other jurisdiction of</w:t>
            </w:r>
          </w:p>
        </w:tc>
        <w:tc>
          <w:tcPr>
            <w:tcW w:w="1900" w:type="dxa"/>
            <w:vAlign w:val="bottom"/>
            <w:gridSpan w:val="2"/>
          </w:tcPr>
          <w:p>
            <w:pPr>
              <w:jc w:val="center"/>
              <w:ind w:left="55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incorporation or organization)</w:t>
            </w:r>
          </w:p>
        </w:tc>
        <w:tc>
          <w:tcPr>
            <w:tcW w:w="1900" w:type="dxa"/>
            <w:vAlign w:val="bottom"/>
            <w:gridSpan w:val="2"/>
          </w:tcPr>
          <w:p>
            <w:pPr>
              <w:jc w:val="center"/>
              <w:ind w:left="55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447"/>
        </w:trPr>
        <w:tc>
          <w:tcPr>
            <w:tcW w:w="28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1001 Fannin Street</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5"/>
              </w:rPr>
              <w:t>Houston, Texas</w:t>
            </w:r>
          </w:p>
        </w:tc>
        <w:tc>
          <w:tcPr>
            <w:tcW w:w="19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77002</w:t>
            </w:r>
          </w:p>
        </w:tc>
        <w:tc>
          <w:tcPr>
            <w:tcW w:w="0" w:type="dxa"/>
            <w:vAlign w:val="bottom"/>
          </w:tcPr>
          <w:p>
            <w:pPr>
              <w:spacing w:after="0"/>
              <w:rPr>
                <w:sz w:val="1"/>
                <w:szCs w:val="1"/>
                <w:color w:val="auto"/>
              </w:rPr>
            </w:pPr>
          </w:p>
        </w:tc>
      </w:tr>
      <w:tr>
        <w:trPr>
          <w:trHeight w:val="216"/>
        </w:trPr>
        <w:tc>
          <w:tcPr>
            <w:tcW w:w="286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(Address of principal executive</w:t>
            </w: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offices)</w:t>
            </w:r>
          </w:p>
        </w:tc>
        <w:tc>
          <w:tcPr>
            <w:tcW w:w="1900" w:type="dxa"/>
            <w:vAlign w:val="bottom"/>
            <w:gridSpan w:val="2"/>
          </w:tcPr>
          <w:p>
            <w:pPr>
              <w:jc w:val="center"/>
              <w:ind w:left="55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Subordinated Debt Securities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862330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18"/>
          <w:szCs w:val="18"/>
          <w:b w:val="1"/>
          <w:bCs w:val="1"/>
          <w:color w:val="auto"/>
        </w:rPr>
        <w:t>TABLE OF ADDITIONAL GUARANTOR OBLIGORS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160" w:type="dxa"/>
            <w:vAlign w:val="bottom"/>
          </w:tcPr>
          <w:p>
            <w:pPr>
              <w:spacing w:after="0"/>
              <w:rPr>
                <w:sz w:val="12"/>
                <w:szCs w:val="12"/>
                <w:color w:val="auto"/>
              </w:rPr>
            </w:pPr>
          </w:p>
        </w:tc>
        <w:tc>
          <w:tcPr>
            <w:tcW w:w="29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Address, Including Zip Code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 or</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160" w:type="dxa"/>
            <w:vAlign w:val="bottom"/>
          </w:tcPr>
          <w:p>
            <w:pPr>
              <w:spacing w:after="0"/>
              <w:rPr>
                <w:sz w:val="12"/>
                <w:szCs w:val="12"/>
                <w:color w:val="auto"/>
              </w:rPr>
            </w:pPr>
          </w:p>
        </w:tc>
        <w:tc>
          <w:tcPr>
            <w:tcW w:w="29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and Telephone Number</w:t>
            </w:r>
          </w:p>
        </w:tc>
        <w:tc>
          <w:tcPr>
            <w:tcW w:w="0" w:type="dxa"/>
            <w:vAlign w:val="bottom"/>
          </w:tcPr>
          <w:p>
            <w:pPr>
              <w:spacing w:after="0"/>
              <w:rPr>
                <w:sz w:val="1"/>
                <w:szCs w:val="1"/>
                <w:color w:val="auto"/>
              </w:rPr>
            </w:pPr>
          </w:p>
        </w:tc>
      </w:tr>
      <w:tr>
        <w:trPr>
          <w:trHeight w:val="161"/>
        </w:trPr>
        <w:tc>
          <w:tcPr>
            <w:tcW w:w="6120" w:type="dxa"/>
            <w:vAlign w:val="bottom"/>
            <w:gridSpan w:val="3"/>
          </w:tcPr>
          <w:p>
            <w:pPr>
              <w:ind w:left="1140"/>
              <w:spacing w:after="0"/>
              <w:rPr>
                <w:sz w:val="20"/>
                <w:szCs w:val="20"/>
                <w:color w:val="auto"/>
              </w:rPr>
            </w:pPr>
            <w:r>
              <w:rPr>
                <w:rFonts w:ascii="Arial" w:cs="Arial" w:eastAsia="Arial" w:hAnsi="Arial"/>
                <w:sz w:val="14"/>
                <w:szCs w:val="14"/>
                <w:b w:val="1"/>
                <w:bCs w:val="1"/>
                <w:color w:val="auto"/>
              </w:rPr>
              <w:t>Exact Name as Specified in Its Charter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Organization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9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of Principal Executive Office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4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Waste Management Holdings, Inc.</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Delaware</w:t>
            </w:r>
          </w:p>
        </w:tc>
        <w:tc>
          <w:tcPr>
            <w:tcW w:w="1160" w:type="dxa"/>
            <w:vAlign w:val="bottom"/>
            <w:gridSpan w:val="2"/>
            <w:shd w:val="clear" w:color="auto" w:fill="CCEEFF"/>
          </w:tcPr>
          <w:p>
            <w:pPr>
              <w:jc w:val="center"/>
              <w:ind w:left="72"/>
              <w:spacing w:after="0" w:line="201" w:lineRule="exact"/>
              <w:rPr>
                <w:sz w:val="20"/>
                <w:szCs w:val="20"/>
                <w:color w:val="auto"/>
              </w:rPr>
            </w:pPr>
            <w:r>
              <w:rPr>
                <w:rFonts w:ascii="Arial" w:cs="Arial" w:eastAsia="Arial" w:hAnsi="Arial"/>
                <w:sz w:val="18"/>
                <w:szCs w:val="18"/>
                <w:color w:val="auto"/>
                <w:w w:val="86"/>
              </w:rPr>
              <w:t>36-26660763</w:t>
            </w:r>
          </w:p>
        </w:tc>
        <w:tc>
          <w:tcPr>
            <w:tcW w:w="19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1001 Fannin Street</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Houston, Texas 77002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Furnish the following information as to the trustee:</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2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24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Address</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vMerge w:val="restart"/>
          </w:tcPr>
          <w:p>
            <w:pPr>
              <w:spacing w:after="0"/>
              <w:rPr>
                <w:sz w:val="20"/>
                <w:szCs w:val="20"/>
                <w:color w:val="auto"/>
              </w:rPr>
            </w:pPr>
            <w:r>
              <w:rPr>
                <w:rFonts w:ascii="Arial" w:cs="Arial" w:eastAsia="Arial" w:hAnsi="Arial"/>
                <w:sz w:val="18"/>
                <w:szCs w:val="18"/>
                <w:color w:val="auto"/>
              </w:rPr>
              <w:t>Washington, D.C. 20219</w:t>
            </w: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2"/>
              </w:rPr>
              <w:t>Comptroller of the Currency—United States Department of the Treasury</w:t>
            </w:r>
          </w:p>
        </w:tc>
        <w:tc>
          <w:tcPr>
            <w:tcW w:w="24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80" w:type="dxa"/>
            <w:vAlign w:val="bottom"/>
          </w:tcPr>
          <w:p>
            <w:pPr>
              <w:spacing w:after="0"/>
              <w:rPr>
                <w:sz w:val="24"/>
                <w:szCs w:val="24"/>
                <w:color w:val="auto"/>
              </w:rPr>
            </w:pPr>
          </w:p>
        </w:tc>
        <w:tc>
          <w:tcPr>
            <w:tcW w:w="6140" w:type="dxa"/>
            <w:vAlign w:val="bottom"/>
            <w:gridSpan w:val="3"/>
          </w:tcPr>
          <w:p>
            <w:pPr>
              <w:ind w:left="800"/>
              <w:spacing w:after="0"/>
              <w:rPr>
                <w:sz w:val="20"/>
                <w:szCs w:val="20"/>
                <w:color w:val="auto"/>
              </w:rPr>
            </w:pPr>
            <w:r>
              <w:rPr>
                <w:rFonts w:ascii="Arial" w:cs="Arial" w:eastAsia="Arial" w:hAnsi="Arial"/>
                <w:sz w:val="18"/>
                <w:szCs w:val="18"/>
                <w:color w:val="auto"/>
              </w:rPr>
              <w:t>Federal Reserve Bank</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w w:val="92"/>
              </w:rPr>
              <w:t>San Francisco, California 94105</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140" w:type="dxa"/>
            <w:vAlign w:val="bottom"/>
            <w:gridSpan w:val="3"/>
          </w:tcPr>
          <w:p>
            <w:pPr>
              <w:ind w:left="800"/>
              <w:spacing w:after="0"/>
              <w:rPr>
                <w:sz w:val="20"/>
                <w:szCs w:val="20"/>
                <w:color w:val="auto"/>
              </w:rPr>
            </w:pPr>
            <w:r>
              <w:rPr>
                <w:rFonts w:ascii="Arial" w:cs="Arial" w:eastAsia="Arial" w:hAnsi="Arial"/>
                <w:sz w:val="18"/>
                <w:szCs w:val="18"/>
                <w:color w:val="auto"/>
              </w:rPr>
              <w:t>Federal Deposit Insurance Corporation</w:t>
            </w:r>
          </w:p>
        </w:tc>
        <w:tc>
          <w:tcPr>
            <w:tcW w:w="2640" w:type="dxa"/>
            <w:vAlign w:val="bottom"/>
            <w:gridSpan w:val="2"/>
          </w:tcPr>
          <w:p>
            <w:pPr>
              <w:ind w:left="24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6140" w:type="dxa"/>
            <w:vAlign w:val="bottom"/>
            <w:gridSpan w:val="3"/>
          </w:tcPr>
          <w:p>
            <w:pPr>
              <w:ind w:left="160"/>
              <w:spacing w:after="0"/>
              <w:rPr>
                <w:sz w:val="20"/>
                <w:szCs w:val="20"/>
                <w:color w:val="auto"/>
              </w:rPr>
            </w:pPr>
            <w:r>
              <w:rPr>
                <w:rFonts w:ascii="Arial" w:cs="Arial" w:eastAsia="Arial" w:hAnsi="Arial"/>
                <w:sz w:val="18"/>
                <w:szCs w:val="18"/>
                <w:color w:val="auto"/>
              </w:rPr>
              <w:t>Whether it is authorized to exercise corporate trust powers.</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140" w:type="dxa"/>
            <w:vAlign w:val="bottom"/>
            <w:gridSpan w:val="3"/>
          </w:tcPr>
          <w:p>
            <w:pPr>
              <w:ind w:left="160"/>
              <w:spacing w:after="0"/>
              <w:rPr>
                <w:sz w:val="20"/>
                <w:szCs w:val="20"/>
                <w:color w:val="auto"/>
              </w:rPr>
            </w:pPr>
            <w:r>
              <w:rPr>
                <w:rFonts w:ascii="Arial" w:cs="Arial" w:eastAsia="Arial" w:hAnsi="Arial"/>
                <w:sz w:val="18"/>
                <w:szCs w:val="18"/>
                <w:color w:val="auto"/>
              </w:rPr>
              <w:t>Yes.</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Affiliations with Obligor.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List of Exhibits.</w:t>
      </w:r>
    </w:p>
    <w:p>
      <w:pPr>
        <w:spacing w:after="0" w:line="225" w:lineRule="exact"/>
        <w:rPr>
          <w:sz w:val="20"/>
          <w:szCs w:val="20"/>
          <w:color w:val="auto"/>
        </w:rPr>
      </w:pPr>
    </w:p>
    <w:p>
      <w:pPr>
        <w:ind w:left="540" w:right="360"/>
        <w:spacing w:after="0" w:line="275"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93" w:lineRule="exact"/>
        <w:rPr>
          <w:sz w:val="20"/>
          <w:szCs w:val="20"/>
          <w:color w:val="auto"/>
        </w:rPr>
      </w:pPr>
    </w:p>
    <w:p>
      <w:pPr>
        <w:ind w:left="1080" w:right="9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(Exhibit 1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275"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pursuant to Section 305(b)(2) of the Act in connection with Registration Statement No. 333-135006-10).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3" w:name="page54"/>
    <w:bookmarkEnd w:id="53"/>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Los Angeles, and State of California, on the 23rd day of April, 2019.</w:t>
      </w:r>
    </w:p>
    <w:p>
      <w:pPr>
        <w:spacing w:after="0" w:line="18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 BANK OF NEW YORK MELLON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TRUST COMPANY, N.A.</w:t>
      </w:r>
    </w:p>
    <w:p>
      <w:pPr>
        <w:spacing w:after="0" w:line="246"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KAREN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3353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Karen Yu</w:t>
      </w:r>
    </w:p>
    <w:p>
      <w:pPr>
        <w:spacing w:after="0" w:line="15" w:lineRule="exact"/>
        <w:rPr>
          <w:sz w:val="20"/>
          <w:szCs w:val="20"/>
          <w:color w:val="auto"/>
        </w:rPr>
      </w:pPr>
    </w:p>
    <w:p>
      <w:pPr>
        <w:ind w:left="616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341" w:right="659" w:bottom="1440" w:gutter="0" w:footer="0" w:header="0"/>
        </w:sectPr>
      </w:pPr>
    </w:p>
    <w:bookmarkStart w:id="54" w:name="page55"/>
    <w:bookmarkEnd w:id="54"/>
    <w:p>
      <w:pPr>
        <w:ind w:left="10500"/>
        <w:spacing w:after="0"/>
        <w:rPr>
          <w:sz w:val="20"/>
          <w:szCs w:val="20"/>
          <w:color w:val="auto"/>
        </w:rPr>
      </w:pPr>
      <w:r>
        <w:rPr>
          <w:rFonts w:ascii="Arial" w:cs="Arial" w:eastAsia="Arial" w:hAnsi="Arial"/>
          <w:sz w:val="18"/>
          <w:szCs w:val="18"/>
          <w:b w:val="1"/>
          <w:bCs w:val="1"/>
          <w:color w:val="auto"/>
        </w:rPr>
        <w:t>EXHIBIT 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500, Los Angeles, CA 90071</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close of business December 31, 2018, published in accordance with Federal regulatory authority instructions.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8"/>
              </w:rPr>
              <w:t>Dollar amounts</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2"/>
              </w:rPr>
              <w:t>in thousands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Cash and balances due from depository institutions: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Interest-bearing balances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Held-to-maturity securities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NR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Federal funds sold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Loans and lease financing receivables: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Loans and leases held for sale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Loans and leases, held for investment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Loans and leases held for investment, net of allowance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859,682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40" w:type="dxa"/>
            <w:vAlign w:val="bottom"/>
            <w:gridSpan w:val="5"/>
          </w:tcPr>
          <w:p>
            <w:pPr>
              <w:ind w:left="114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8"/>
              </w:rPr>
              <w:t>LIABILITIES</w:t>
            </w:r>
          </w:p>
        </w:tc>
        <w:tc>
          <w:tcPr>
            <w:tcW w:w="6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Noninterest-bearing</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160"/>
              <w:spacing w:after="0"/>
              <w:rPr>
                <w:sz w:val="20"/>
                <w:szCs w:val="20"/>
                <w:color w:val="auto"/>
              </w:rPr>
            </w:pPr>
            <w:r>
              <w:rPr>
                <w:rFonts w:ascii="Arial" w:cs="Arial" w:eastAsia="Arial" w:hAnsi="Arial"/>
                <w:sz w:val="18"/>
                <w:szCs w:val="18"/>
                <w:color w:val="auto"/>
              </w:rPr>
              <w:t>Not applicable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Federal funds purchased</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ind w:left="3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226,786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Dollar amounts</w:t>
            </w: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in thousands</w:t>
            </w:r>
          </w:p>
        </w:tc>
      </w:tr>
      <w:tr>
        <w:trPr>
          <w:trHeight w:val="190"/>
        </w:trPr>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5"/>
              </w:rPr>
              <w:t>EQUITY CAPITAL</w:t>
            </w:r>
          </w:p>
        </w:tc>
        <w:tc>
          <w:tcPr>
            <w:tcW w:w="6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Perpetual preferred stock and related surplus</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323,516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available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jc w:val="right"/>
              <w:spacing w:after="0"/>
              <w:rPr>
                <w:sz w:val="20"/>
                <w:szCs w:val="20"/>
                <w:color w:val="auto"/>
              </w:rPr>
            </w:pPr>
            <w:r>
              <w:rPr>
                <w:rFonts w:ascii="Arial" w:cs="Arial" w:eastAsia="Arial" w:hAnsi="Arial"/>
                <w:sz w:val="18"/>
                <w:szCs w:val="18"/>
                <w:color w:val="auto"/>
              </w:rPr>
              <w:t>777,089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w:t>
            </w: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equity capital components</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available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Total bank equity capital</w:t>
            </w:r>
          </w:p>
        </w:tc>
        <w:tc>
          <w:tcPr>
            <w:tcW w:w="1080" w:type="dxa"/>
            <w:vAlign w:val="bottom"/>
          </w:tcPr>
          <w:p>
            <w:pPr>
              <w:jc w:val="right"/>
              <w:spacing w:after="0"/>
              <w:rPr>
                <w:sz w:val="20"/>
                <w:szCs w:val="20"/>
                <w:color w:val="auto"/>
              </w:rPr>
            </w:pPr>
            <w:r>
              <w:rPr>
                <w:rFonts w:ascii="Arial" w:cs="Arial" w:eastAsia="Arial" w:hAnsi="Arial"/>
                <w:sz w:val="18"/>
                <w:szCs w:val="18"/>
                <w:color w:val="auto"/>
              </w:rPr>
              <w:t>1,100,509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(minority) interests in consolidated subsidiaries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1,100,509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1,329,972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 Matthew J. McNulty,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94" w:lineRule="exact"/>
        <w:rPr>
          <w:sz w:val="20"/>
          <w:szCs w:val="20"/>
          <w:color w:val="auto"/>
        </w:rPr>
      </w:pPr>
    </w:p>
    <w:p>
      <w:pPr>
        <w:ind w:left="1420"/>
        <w:spacing w:after="0"/>
        <w:tabs>
          <w:tab w:leader="none" w:pos="3200" w:val="left"/>
          <w:tab w:leader="none" w:pos="3620" w:val="left"/>
        </w:tabs>
        <w:rPr>
          <w:sz w:val="20"/>
          <w:szCs w:val="20"/>
          <w:color w:val="auto"/>
        </w:rPr>
      </w:pPr>
      <w:r>
        <w:rPr>
          <w:rFonts w:ascii="Arial" w:cs="Arial" w:eastAsia="Arial" w:hAnsi="Arial"/>
          <w:sz w:val="18"/>
          <w:szCs w:val="18"/>
          <w:color w:val="auto"/>
        </w:rPr>
        <w:t>Matthew J. McNulty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CFO</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ind w:left="1420"/>
              <w:spacing w:after="0"/>
              <w:rPr>
                <w:sz w:val="20"/>
                <w:szCs w:val="20"/>
                <w:color w:val="auto"/>
              </w:rPr>
            </w:pPr>
            <w:r>
              <w:rPr>
                <w:rFonts w:ascii="Arial" w:cs="Arial" w:eastAsia="Arial" w:hAnsi="Arial"/>
                <w:sz w:val="18"/>
                <w:szCs w:val="18"/>
                <w:color w:val="auto"/>
              </w:rPr>
              <w:t>Antonio I. Portuondo, President</w:t>
            </w:r>
          </w:p>
        </w:tc>
        <w:tc>
          <w:tcPr>
            <w:tcW w:w="620" w:type="dxa"/>
            <w:vAlign w:val="bottom"/>
          </w:tcPr>
          <w:p>
            <w:pPr>
              <w:jc w:val="right"/>
              <w:ind w:right="474"/>
              <w:spacing w:after="0"/>
              <w:rPr>
                <w:sz w:val="20"/>
                <w:szCs w:val="20"/>
                <w:color w:val="auto"/>
              </w:rPr>
            </w:pPr>
            <w:r>
              <w:rPr>
                <w:rFonts w:ascii="Arial" w:cs="Arial" w:eastAsia="Arial" w:hAnsi="Arial"/>
                <w:sz w:val="16"/>
                <w:szCs w:val="16"/>
                <w:color w:val="auto"/>
                <w:w w:val="74"/>
              </w:rPr>
              <w:t>)</w:t>
            </w:r>
          </w:p>
        </w:tc>
        <w:tc>
          <w:tcPr>
            <w:tcW w:w="6800" w:type="dxa"/>
            <w:vAlign w:val="bottom"/>
          </w:tcPr>
          <w:p>
            <w:pPr>
              <w:spacing w:after="0"/>
              <w:rPr>
                <w:sz w:val="18"/>
                <w:szCs w:val="18"/>
                <w:color w:val="auto"/>
              </w:rPr>
            </w:pPr>
          </w:p>
        </w:tc>
      </w:tr>
      <w:tr>
        <w:trPr>
          <w:trHeight w:val="216"/>
        </w:trPr>
        <w:tc>
          <w:tcPr>
            <w:tcW w:w="4000" w:type="dxa"/>
            <w:vAlign w:val="bottom"/>
          </w:tcPr>
          <w:p>
            <w:pPr>
              <w:ind w:left="1420"/>
              <w:spacing w:after="0"/>
              <w:rPr>
                <w:sz w:val="20"/>
                <w:szCs w:val="20"/>
                <w:color w:val="auto"/>
              </w:rPr>
            </w:pPr>
            <w:r>
              <w:rPr>
                <w:rFonts w:ascii="Arial" w:cs="Arial" w:eastAsia="Arial" w:hAnsi="Arial"/>
                <w:sz w:val="18"/>
                <w:szCs w:val="18"/>
                <w:color w:val="auto"/>
                <w:w w:val="89"/>
              </w:rPr>
              <w:t>Michael P. Scott, Managing Director</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0" w:type="dxa"/>
            <w:vAlign w:val="bottom"/>
          </w:tcPr>
          <w:p>
            <w:pPr>
              <w:ind w:left="220"/>
              <w:spacing w:after="0"/>
              <w:rPr>
                <w:sz w:val="20"/>
                <w:szCs w:val="20"/>
                <w:color w:val="auto"/>
              </w:rPr>
            </w:pPr>
            <w:r>
              <w:rPr>
                <w:rFonts w:ascii="Arial" w:cs="Arial" w:eastAsia="Arial" w:hAnsi="Arial"/>
                <w:sz w:val="18"/>
                <w:szCs w:val="18"/>
                <w:color w:val="auto"/>
              </w:rPr>
              <w:t>Directors (Trustees)</w:t>
            </w:r>
          </w:p>
        </w:tc>
      </w:tr>
      <w:tr>
        <w:trPr>
          <w:trHeight w:val="222"/>
        </w:trPr>
        <w:tc>
          <w:tcPr>
            <w:tcW w:w="4000" w:type="dxa"/>
            <w:vAlign w:val="bottom"/>
          </w:tcPr>
          <w:p>
            <w:pPr>
              <w:ind w:left="1420"/>
              <w:spacing w:after="0"/>
              <w:rPr>
                <w:sz w:val="20"/>
                <w:szCs w:val="20"/>
                <w:color w:val="auto"/>
              </w:rPr>
            </w:pPr>
            <w:r>
              <w:rPr>
                <w:rFonts w:ascii="Arial" w:cs="Arial" w:eastAsia="Arial" w:hAnsi="Arial"/>
                <w:sz w:val="18"/>
                <w:szCs w:val="18"/>
                <w:color w:val="auto"/>
                <w:w w:val="89"/>
              </w:rPr>
              <w:t>Kevin P. Caffrey, Managing Director</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800" w:type="dxa"/>
            <w:vAlign w:val="bottom"/>
          </w:tcPr>
          <w:p>
            <w:pPr>
              <w:spacing w:after="0"/>
              <w:rPr>
                <w:sz w:val="19"/>
                <w:szCs w:val="19"/>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25.2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TABLE OF ADDITIONAL GUARANTOR OBLIGORS</w:t>
        </w:r>
      </w:hyperlink>
    </w:p>
    <w:p>
      <w:pPr>
        <w:spacing w:after="0" w:line="248"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 General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2. Affiliations with Obligor.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16. List of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SIGNATURE</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 7</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713"/>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3"/>
    </w:lvl>
    <w:lvl w:ilvl="1">
      <w:lvlJc w:val="left"/>
      <w:lvlText w:val="•"/>
      <w:numFmt w:val="bullet"/>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lvl w:ilvl="1">
      <w:lvlJc w:val="left"/>
      <w:lvlText w:val="(%2)"/>
      <w:numFmt w:val="lowerRoman"/>
      <w:start w:val="1"/>
    </w:lvl>
  </w:abstractNum>
  <w:abstractNum w:abstractNumId="32">
    <w:nsid w:val="3855585C"/>
    <w:multiLevelType w:val="hybridMultilevel"/>
    <w:lvl w:ilvl="0">
      <w:lvlJc w:val="left"/>
      <w:lvlText w:val="(%1)"/>
      <w:numFmt w:val="lowerRoman"/>
      <w:start w:val="3"/>
    </w:lvl>
  </w:abstractNum>
  <w:abstractNum w:abstractNumId="33">
    <w:nsid w:val="70A64E2A"/>
    <w:multiLevelType w:val="hybridMultilevel"/>
    <w:lvl w:ilvl="0">
      <w:lvlJc w:val="left"/>
      <w:lvlText w:val="(%1)"/>
      <w:numFmt w:val="decimal"/>
      <w:start w:val="2"/>
    </w:lvl>
    <w:lvl w:ilvl="1">
      <w:lvlJc w:val="left"/>
      <w:lvlText w:val="(%2)"/>
      <w:numFmt w:val="lowerRoman"/>
      <w:start w:val="1"/>
    </w:lvl>
  </w:abstractNum>
  <w:abstractNum w:abstractNumId="34">
    <w:nsid w:val="6A2342EC"/>
    <w:multiLevelType w:val="hybridMultilevel"/>
    <w:lvl w:ilvl="0">
      <w:lvlJc w:val="left"/>
      <w:lvlText w:val="(%1)"/>
      <w:numFmt w:val="decimal"/>
      <w:start w:val="5"/>
    </w:lvl>
  </w:abstractNum>
  <w:abstractNum w:abstractNumId="35">
    <w:nsid w:val="2A487CB0"/>
    <w:multiLevelType w:val="hybridMultilevel"/>
    <w:lvl w:ilvl="0">
      <w:lvlJc w:val="left"/>
      <w:lvlText w:val="%1"/>
      <w:numFmt w:val="decimal"/>
      <w:start w:val="1"/>
    </w:lvl>
    <w:lvl w:ilvl="1">
      <w:lvlJc w:val="left"/>
      <w:lvlText w:val="(%2)"/>
      <w:numFmt w:val="lowerRoman"/>
      <w:start w:val="1"/>
    </w:lvl>
  </w:abstractNum>
  <w:abstractNum w:abstractNumId="36">
    <w:nsid w:val="1D4ED43B"/>
    <w:multiLevelType w:val="hybridMultilevel"/>
    <w:lvl w:ilvl="0">
      <w:lvlJc w:val="left"/>
      <w:lvlText w:val="(%1)"/>
      <w:numFmt w:val="decimal"/>
      <w:start w:val="6"/>
    </w:lvl>
    <w:lvl w:ilvl="1">
      <w:lvlJc w:val="left"/>
      <w:lvlText w:val="%2"/>
      <w:numFmt w:val="lowerRoman"/>
      <w:start w:val="1"/>
    </w:lvl>
  </w:abstractNum>
  <w:abstractNum w:abstractNumId="37">
    <w:nsid w:val="725A06FB"/>
    <w:multiLevelType w:val="hybridMultilevel"/>
    <w:lvl w:ilvl="0">
      <w:lvlJc w:val="left"/>
      <w:lvlText w:val="(%1)"/>
      <w:numFmt w:val="decimal"/>
      <w:start w:val="7"/>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lowerRoman"/>
      <w:start w:val="6"/>
    </w:lvl>
  </w:abstractNum>
  <w:abstractNum w:abstractNumId="41">
    <w:nsid w:val="4B588F54"/>
    <w:multiLevelType w:val="hybridMultilevel"/>
    <w:lvl w:ilvl="0">
      <w:lvlJc w:val="left"/>
      <w:lvlText w:val="(%1)"/>
      <w:numFmt w:val="lowerRoman"/>
      <w:start w:val="9"/>
    </w:lvl>
  </w:abstractNum>
  <w:abstractNum w:abstractNumId="42">
    <w:nsid w:val="542289EC"/>
    <w:multiLevelType w:val="hybridMultilevel"/>
    <w:lvl w:ilvl="0">
      <w:lvlJc w:val="left"/>
      <w:lvlText w:val="%1"/>
      <w:numFmt w:val="lowerLetter"/>
      <w:start w:val="1"/>
    </w:lvl>
    <w:lvl w:ilvl="1">
      <w:lvlJc w:val="left"/>
      <w:lvlText w:val="(%2)"/>
      <w:numFmt w:val="lowerLetter"/>
      <w:start w:val="1"/>
    </w:lvl>
  </w:abstractNum>
  <w:abstractNum w:abstractNumId="43">
    <w:nsid w:val="6DE91B18"/>
    <w:multiLevelType w:val="hybridMultilevel"/>
    <w:lvl w:ilvl="0">
      <w:lvlJc w:val="left"/>
      <w:lvlText w:val="(%1)"/>
      <w:numFmt w:val="lowerLetter"/>
      <w:start w:val="35"/>
    </w:lvl>
    <w:lvl w:ilvl="1">
      <w:lvlJc w:val="left"/>
      <w:lvlText w:val="(%2)"/>
      <w:numFmt w:val="lowerLetter"/>
      <w:start w:val="2"/>
    </w:lvl>
  </w:abstractNum>
  <w:abstractNum w:abstractNumId="44">
    <w:nsid w:val="38437FDB"/>
    <w:multiLevelType w:val="hybridMultilevel"/>
    <w:lvl w:ilvl="0">
      <w:lvlJc w:val="left"/>
      <w:lvlText w:val="(%1)"/>
      <w:numFmt w:val="lowerLetter"/>
      <w:start w:val="35"/>
    </w:lvl>
    <w:lvl w:ilvl="1">
      <w:lvlJc w:val="left"/>
      <w:lvlText w:val="(%2)"/>
      <w:numFmt w:val="lowerLetter"/>
      <w:start w:val="4"/>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51" Type="http://schemas.openxmlformats.org/officeDocument/2006/relationships/hyperlink" Target="http://www.sec.gov/Archives/edgar/data/823768/000110465919021340/a19-8354_1ex2d1.htm" TargetMode="External"/><Relationship Id="rId52" Type="http://schemas.openxmlformats.org/officeDocument/2006/relationships/hyperlink" Target="http://www.sec.gov/Archives/edgar/data/823768/000110465919021340/a19-8354_1ex2d2.htm" TargetMode="External"/><Relationship Id="rId53" Type="http://schemas.openxmlformats.org/officeDocument/2006/relationships/hyperlink" Target="http://www.sec.gov/Archives/edgar/data/823768/000095012310070947/h74168exv3w1.htm" TargetMode="External"/><Relationship Id="rId54" Type="http://schemas.openxmlformats.org/officeDocument/2006/relationships/hyperlink" Target="http://www.sec.gov/Archives/edgar/data/823768/000110465918011700/a18-6740_1ex3d2.htm" TargetMode="External"/><Relationship Id="rId55" Type="http://schemas.openxmlformats.org/officeDocument/2006/relationships/hyperlink" Target="http://www.sec.gov/Archives/edgar/data/823768/000095012315002550/d793975dex42.htm" TargetMode="External"/><Relationship Id="rId56" Type="http://schemas.openxmlformats.org/officeDocument/2006/relationships/hyperlink" Target="http://www.sec.gov/Archives/edgar/data/823768/000119312514283972/d740524dex43.htm" TargetMode="External"/><Relationship Id="rId57" Type="http://schemas.openxmlformats.org/officeDocument/2006/relationships/hyperlink" Target="http://www.sec.gov/Archives/edgar/data/823768/0000950129-99-001268.txt" TargetMode="External"/><Relationship Id="rId58" Type="http://schemas.openxmlformats.org/officeDocument/2006/relationships/hyperlink" Target="http://www.sec.gov/Archives/edgar/data/823768/0000950129-97-003909.txt" TargetMode="External"/><Relationship Id="rId59" Type="http://schemas.openxmlformats.org/officeDocument/2006/relationships/hyperlink" Target="http://www.sec.gov/Archives/edgar/data/823768/0000950129-97-000380.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2019-12-03T06:01:46Z</dcterms:created>
  <dcterms:modified xsi:type="dcterms:W3CDTF">2019-12-03T06:01:46Z</dcterms:modified>
</cp:coreProperties>
</file>