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tabs>
          <w:tab w:leader="none" w:pos="3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ind w:left="960" w:right="2319" w:hanging="952"/>
        <w:spacing w:after="0" w:line="34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18"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MARCH 31,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960" w:right="2199" w:hanging="952"/>
        <w:spacing w:after="0" w:line="347" w:lineRule="auto"/>
        <w:tabs>
          <w:tab w:leader="none" w:pos="3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 THE TRANSITION PERIOD FROM _____ TO _____</w:t>
      </w:r>
    </w:p>
    <w:p>
      <w:pPr>
        <w:spacing w:after="0" w:line="201" w:lineRule="exact"/>
        <w:rPr>
          <w:sz w:val="24"/>
          <w:szCs w:val="24"/>
          <w:color w:val="auto"/>
        </w:rPr>
      </w:pP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1-12154</w:t>
      </w:r>
    </w:p>
    <w:p>
      <w:pPr>
        <w:spacing w:after="0" w:line="3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__________</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200" w:lineRule="exact"/>
        <w:rPr>
          <w:sz w:val="24"/>
          <w:szCs w:val="24"/>
          <w:color w:val="auto"/>
        </w:rPr>
      </w:pPr>
    </w:p>
    <w:p>
      <w:pPr>
        <w:spacing w:after="0" w:line="37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73-1309529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22" w:lineRule="exact"/>
        <w:rPr>
          <w:sz w:val="24"/>
          <w:szCs w:val="24"/>
          <w:color w:val="auto"/>
        </w:rPr>
      </w:pPr>
    </w:p>
    <w:p>
      <w:pPr>
        <w:sectPr>
          <w:pgSz w:w="11900" w:h="16838" w:orient="portrait"/>
          <w:cols w:equalWidth="0" w:num="2">
            <w:col w:w="6980" w:space="720"/>
            <w:col w:w="2519"/>
          </w:cols>
          <w:pgMar w:left="240" w:top="218" w:right="1440" w:bottom="1440" w:gutter="0" w:footer="0" w:header="0"/>
          <w:type w:val="continuous"/>
        </w:sectPr>
      </w:pPr>
    </w:p>
    <w:p>
      <w:pPr>
        <w:spacing w:after="0" w:line="1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5400 LBJ FREEWAY</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SUITE 300 - TOWER ONE</w:t>
      </w:r>
    </w:p>
    <w:p>
      <w:pPr>
        <w:ind w:left="30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DALLAS, TEXAS</w:t>
        <w:tab/>
        <w:t>75240</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(214) 383-7900</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 CHANGE</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(FORMER NAME, FORMER ADDRESS, AND FORMER FISCAL YEAR, IF CHANGED SINCE LAST</w:t>
      </w:r>
    </w:p>
    <w:p>
      <w:pPr>
        <w:jc w:val="center"/>
        <w:ind w:right="1879"/>
        <w:spacing w:after="0"/>
        <w:rPr>
          <w:sz w:val="20"/>
          <w:szCs w:val="20"/>
          <w:color w:val="auto"/>
        </w:rPr>
      </w:pPr>
      <w:r>
        <w:rPr>
          <w:rFonts w:ascii="Courier New" w:cs="Courier New" w:eastAsia="Courier New" w:hAnsi="Courier New"/>
          <w:sz w:val="18"/>
          <w:szCs w:val="18"/>
          <w:color w:val="auto"/>
        </w:rPr>
        <w:t>REPORT)</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__________</w:t>
      </w:r>
    </w:p>
    <w:p>
      <w:pPr>
        <w:spacing w:after="0" w:line="201" w:lineRule="exact"/>
        <w:rPr>
          <w:sz w:val="24"/>
          <w:szCs w:val="24"/>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YES   X</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NO</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INDICATE</w:t>
            </w:r>
          </w:p>
        </w:tc>
        <w:tc>
          <w:tcPr>
            <w:tcW w:w="100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5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THE NUMBER OF SHARES OUTSTANDING OF EACH OF THE ISSUER'S</w:t>
            </w:r>
          </w:p>
        </w:tc>
        <w:tc>
          <w:tcPr>
            <w:tcW w:w="0" w:type="dxa"/>
            <w:vAlign w:val="bottom"/>
          </w:tcPr>
          <w:p>
            <w:pPr>
              <w:spacing w:after="0"/>
              <w:rPr>
                <w:sz w:val="1"/>
                <w:szCs w:val="1"/>
                <w:color w:val="auto"/>
              </w:rPr>
            </w:pPr>
          </w:p>
        </w:tc>
      </w:tr>
      <w:tr>
        <w:trPr>
          <w:trHeight w:val="296"/>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CLASSES OF COMMON</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 AS OF MAY 1, 1996:</w:t>
            </w:r>
          </w:p>
        </w:tc>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gridSpan w:val="2"/>
          </w:tcPr>
          <w:p>
            <w:pPr>
              <w:ind w:left="1380"/>
              <w:spacing w:after="0"/>
              <w:rPr>
                <w:sz w:val="20"/>
                <w:szCs w:val="20"/>
                <w:color w:val="auto"/>
              </w:rPr>
            </w:pPr>
            <w:r>
              <w:rPr>
                <w:rFonts w:ascii="Courier New" w:cs="Courier New" w:eastAsia="Courier New" w:hAnsi="Courier New"/>
                <w:sz w:val="18"/>
                <w:szCs w:val="18"/>
                <w:color w:val="auto"/>
              </w:rPr>
              <w:t>COMMON STOCK</w:t>
            </w:r>
          </w:p>
        </w:tc>
        <w:tc>
          <w:tcPr>
            <w:tcW w:w="22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$.01 PAR VALUE</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66,014,914 SHARES</w:t>
            </w:r>
          </w:p>
        </w:tc>
        <w:tc>
          <w:tcPr>
            <w:tcW w:w="0" w:type="dxa"/>
            <w:vAlign w:val="bottom"/>
          </w:tcPr>
          <w:p>
            <w:pPr>
              <w:spacing w:after="0"/>
              <w:rPr>
                <w:sz w:val="1"/>
                <w:szCs w:val="1"/>
                <w:color w:val="auto"/>
              </w:rPr>
            </w:pPr>
          </w:p>
        </w:tc>
      </w:tr>
    </w:tbl>
    <w:p>
      <w:pPr>
        <w:sectPr>
          <w:pgSz w:w="11900" w:h="16838" w:orient="portrait"/>
          <w:cols w:equalWidth="0" w:num="1">
            <w:col w:w="10219"/>
          </w:cols>
          <w:pgMar w:left="240" w:top="218"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61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w:t>
            </w:r>
          </w:p>
        </w:tc>
        <w:tc>
          <w:tcPr>
            <w:tcW w:w="616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16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860" w:type="dxa"/>
            <w:vAlign w:val="bottom"/>
          </w:tcPr>
          <w:p>
            <w:pPr>
              <w:spacing w:after="0"/>
              <w:rPr>
                <w:sz w:val="24"/>
                <w:szCs w:val="24"/>
                <w:color w:val="auto"/>
              </w:rPr>
            </w:pPr>
          </w:p>
        </w:tc>
        <w:tc>
          <w:tcPr>
            <w:tcW w:w="616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7"/>
              </w:rPr>
              <w:t>USA WASTE SERVICES, INC.</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616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7"/>
              </w:rPr>
              <w:t>CONDENSED CONSOLIDATED BALANCE SHEETS</w:t>
            </w: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616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7"/>
              </w:rPr>
              <w:t>(In Thousands, Except Share and Par Value Amounts)</w:t>
            </w: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61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7"/>
              </w:rPr>
              <w:t>(Unaudited)</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8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March 31,</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1996</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78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6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78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  16,591</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13,164</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61,006</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58,333</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Notes and other receivables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13,133</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13,802</w:t>
            </w:r>
          </w:p>
        </w:tc>
        <w:tc>
          <w:tcPr>
            <w:tcW w:w="0" w:type="dxa"/>
            <w:vAlign w:val="bottom"/>
          </w:tcPr>
          <w:p>
            <w:pPr>
              <w:spacing w:after="0"/>
              <w:rPr>
                <w:sz w:val="1"/>
                <w:szCs w:val="1"/>
                <w:color w:val="auto"/>
              </w:rPr>
            </w:pPr>
          </w:p>
        </w:tc>
      </w:tr>
      <w:tr>
        <w:trPr>
          <w:trHeight w:val="203"/>
        </w:trPr>
        <w:tc>
          <w:tcPr>
            <w:tcW w:w="7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15,600</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15,600</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25,411</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19,223</w:t>
            </w:r>
          </w:p>
        </w:tc>
        <w:tc>
          <w:tcPr>
            <w:tcW w:w="0" w:type="dxa"/>
            <w:vAlign w:val="bottom"/>
          </w:tcPr>
          <w:p>
            <w:pPr>
              <w:spacing w:after="0"/>
              <w:rPr>
                <w:sz w:val="1"/>
                <w:szCs w:val="1"/>
                <w:color w:val="auto"/>
              </w:rPr>
            </w:pPr>
          </w:p>
        </w:tc>
      </w:tr>
      <w:tr>
        <w:trPr>
          <w:trHeight w:val="203"/>
        </w:trPr>
        <w:tc>
          <w:tcPr>
            <w:tcW w:w="7020" w:type="dxa"/>
            <w:vAlign w:val="bottom"/>
            <w:gridSpan w:val="2"/>
            <w:vMerge w:val="restart"/>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20" w:type="dxa"/>
            <w:vAlign w:val="bottom"/>
            <w:gridSpan w:val="2"/>
            <w:vMerge w:val="continue"/>
          </w:tcPr>
          <w:p>
            <w:pPr>
              <w:spacing w:after="0"/>
              <w:rPr>
                <w:sz w:val="24"/>
                <w:szCs w:val="24"/>
                <w:color w:val="auto"/>
              </w:rPr>
            </w:pP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131,741</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120,122</w:t>
            </w:r>
          </w:p>
        </w:tc>
        <w:tc>
          <w:tcPr>
            <w:tcW w:w="0" w:type="dxa"/>
            <w:vAlign w:val="bottom"/>
          </w:tcPr>
          <w:p>
            <w:pPr>
              <w:spacing w:after="0"/>
              <w:rPr>
                <w:sz w:val="1"/>
                <w:szCs w:val="1"/>
                <w:color w:val="auto"/>
              </w:rPr>
            </w:pPr>
          </w:p>
        </w:tc>
      </w:tr>
      <w:tr>
        <w:trPr>
          <w:trHeight w:val="311"/>
        </w:trPr>
        <w:tc>
          <w:tcPr>
            <w:tcW w:w="7020" w:type="dxa"/>
            <w:vAlign w:val="bottom"/>
            <w:gridSpan w:val="2"/>
          </w:tcPr>
          <w:p>
            <w:pPr>
              <w:spacing w:after="0"/>
              <w:rPr>
                <w:sz w:val="20"/>
                <w:szCs w:val="20"/>
                <w:color w:val="auto"/>
              </w:rPr>
            </w:pPr>
            <w:r>
              <w:rPr>
                <w:rFonts w:ascii="Courier New" w:cs="Courier New" w:eastAsia="Courier New" w:hAnsi="Courier New"/>
                <w:sz w:val="18"/>
                <w:szCs w:val="18"/>
                <w:color w:val="auto"/>
              </w:rPr>
              <w:t>Notes and other receivables</w:t>
            </w: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17,208</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11,704</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599,869</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593,293</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Excess of cost over net assets of acquired</w:t>
            </w:r>
          </w:p>
        </w:tc>
        <w:tc>
          <w:tcPr>
            <w:tcW w:w="178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95,643</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91,250</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businesses, net</w:t>
            </w:r>
          </w:p>
        </w:tc>
        <w:tc>
          <w:tcPr>
            <w:tcW w:w="17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intangible assets, net</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27,639</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27,528</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69,109</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64,140</w:t>
            </w:r>
          </w:p>
        </w:tc>
        <w:tc>
          <w:tcPr>
            <w:tcW w:w="0" w:type="dxa"/>
            <w:vAlign w:val="bottom"/>
          </w:tcPr>
          <w:p>
            <w:pPr>
              <w:spacing w:after="0"/>
              <w:rPr>
                <w:sz w:val="1"/>
                <w:szCs w:val="1"/>
                <w:color w:val="auto"/>
              </w:rPr>
            </w:pPr>
          </w:p>
        </w:tc>
      </w:tr>
      <w:tr>
        <w:trPr>
          <w:trHeight w:val="203"/>
        </w:trPr>
        <w:tc>
          <w:tcPr>
            <w:tcW w:w="702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rPr>
              <w:t>Total assets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vMerge w:val="continue"/>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$941,209</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$908,037</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02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78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$ 32,457</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$ 32,364</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7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20,295</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27,924</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6,007</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6,030</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41,601</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38,925</w:t>
            </w:r>
          </w:p>
        </w:tc>
        <w:tc>
          <w:tcPr>
            <w:tcW w:w="0" w:type="dxa"/>
            <w:vAlign w:val="bottom"/>
          </w:tcPr>
          <w:p>
            <w:pPr>
              <w:spacing w:after="0"/>
              <w:rPr>
                <w:sz w:val="1"/>
                <w:szCs w:val="1"/>
                <w:color w:val="auto"/>
              </w:rPr>
            </w:pPr>
          </w:p>
        </w:tc>
      </w:tr>
      <w:tr>
        <w:trPr>
          <w:trHeight w:val="203"/>
        </w:trPr>
        <w:tc>
          <w:tcPr>
            <w:tcW w:w="702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rPr>
              <w:t>Total current liabilities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20" w:type="dxa"/>
            <w:vAlign w:val="bottom"/>
            <w:gridSpan w:val="2"/>
            <w:vMerge w:val="continue"/>
          </w:tcPr>
          <w:p>
            <w:pPr>
              <w:spacing w:after="0"/>
              <w:rPr>
                <w:sz w:val="24"/>
                <w:szCs w:val="24"/>
                <w:color w:val="auto"/>
              </w:rPr>
            </w:pP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100,360</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105,243</w:t>
            </w:r>
          </w:p>
        </w:tc>
        <w:tc>
          <w:tcPr>
            <w:tcW w:w="0" w:type="dxa"/>
            <w:vAlign w:val="bottom"/>
          </w:tcPr>
          <w:p>
            <w:pPr>
              <w:spacing w:after="0"/>
              <w:rPr>
                <w:sz w:val="1"/>
                <w:szCs w:val="1"/>
                <w:color w:val="auto"/>
              </w:rPr>
            </w:pPr>
          </w:p>
        </w:tc>
      </w:tr>
      <w:tr>
        <w:trPr>
          <w:trHeight w:val="311"/>
        </w:trPr>
        <w:tc>
          <w:tcPr>
            <w:tcW w:w="702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 less current maturities</w:t>
            </w: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354,978</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334,860</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Closure, post-closure, and other liabilities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61,887</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65,085</w:t>
            </w:r>
          </w:p>
        </w:tc>
        <w:tc>
          <w:tcPr>
            <w:tcW w:w="0" w:type="dxa"/>
            <w:vAlign w:val="bottom"/>
          </w:tcPr>
          <w:p>
            <w:pPr>
              <w:spacing w:after="0"/>
              <w:rPr>
                <w:sz w:val="1"/>
                <w:szCs w:val="1"/>
                <w:color w:val="auto"/>
              </w:rPr>
            </w:pPr>
          </w:p>
        </w:tc>
      </w:tr>
      <w:tr>
        <w:trPr>
          <w:trHeight w:val="203"/>
        </w:trPr>
        <w:tc>
          <w:tcPr>
            <w:tcW w:w="702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rPr>
              <w:t>Total liabilities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vMerge w:val="continue"/>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517,225</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505,188</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702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2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10,000,000 shares authorized;</w:t>
            </w:r>
          </w:p>
        </w:tc>
        <w:tc>
          <w:tcPr>
            <w:tcW w:w="17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none issued</w:t>
            </w:r>
          </w:p>
        </w:tc>
        <w:tc>
          <w:tcPr>
            <w:tcW w:w="17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150,000,000 shares authorized; 66,082,850 and</w:t>
            </w:r>
          </w:p>
        </w:tc>
        <w:tc>
          <w:tcPr>
            <w:tcW w:w="17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661</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660</w:t>
            </w:r>
          </w:p>
        </w:tc>
        <w:tc>
          <w:tcPr>
            <w:tcW w:w="0" w:type="dxa"/>
            <w:vAlign w:val="bottom"/>
          </w:tcPr>
          <w:p>
            <w:pPr>
              <w:spacing w:after="0"/>
              <w:rPr>
                <w:sz w:val="1"/>
                <w:szCs w:val="1"/>
                <w:color w:val="auto"/>
              </w:rPr>
            </w:pPr>
          </w:p>
        </w:tc>
      </w:tr>
      <w:tr>
        <w:trPr>
          <w:trHeight w:val="203"/>
        </w:trPr>
        <w:tc>
          <w:tcPr>
            <w:tcW w:w="7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65,975,048 shares issued, respectively</w:t>
            </w:r>
          </w:p>
        </w:tc>
        <w:tc>
          <w:tcPr>
            <w:tcW w:w="17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728,924</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727,971</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(303,447)</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(323,963)</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treasury stock at cost, 144,975 shares and</w:t>
            </w:r>
          </w:p>
        </w:tc>
        <w:tc>
          <w:tcPr>
            <w:tcW w:w="17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(2,154)</w:t>
            </w:r>
          </w:p>
        </w:tc>
        <w:tc>
          <w:tcPr>
            <w:tcW w:w="1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(1,819)</w:t>
            </w:r>
          </w:p>
        </w:tc>
        <w:tc>
          <w:tcPr>
            <w:tcW w:w="0" w:type="dxa"/>
            <w:vAlign w:val="bottom"/>
          </w:tcPr>
          <w:p>
            <w:pPr>
              <w:spacing w:after="0"/>
              <w:rPr>
                <w:sz w:val="1"/>
                <w:szCs w:val="1"/>
                <w:color w:val="auto"/>
              </w:rPr>
            </w:pPr>
          </w:p>
        </w:tc>
      </w:tr>
      <w:tr>
        <w:trPr>
          <w:trHeight w:val="203"/>
        </w:trPr>
        <w:tc>
          <w:tcPr>
            <w:tcW w:w="7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138,810 shares, respectively</w:t>
            </w:r>
          </w:p>
        </w:tc>
        <w:tc>
          <w:tcPr>
            <w:tcW w:w="17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rPr>
              <w:t>Total stockholders' equity</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vMerge w:val="continue"/>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423,984</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402,849</w:t>
            </w:r>
          </w:p>
        </w:tc>
        <w:tc>
          <w:tcPr>
            <w:tcW w:w="0" w:type="dxa"/>
            <w:vAlign w:val="bottom"/>
          </w:tcPr>
          <w:p>
            <w:pPr>
              <w:spacing w:after="0"/>
              <w:rPr>
                <w:sz w:val="1"/>
                <w:szCs w:val="1"/>
                <w:color w:val="auto"/>
              </w:rPr>
            </w:pPr>
          </w:p>
        </w:tc>
      </w:tr>
      <w:tr>
        <w:trPr>
          <w:trHeight w:val="203"/>
        </w:trPr>
        <w:tc>
          <w:tcPr>
            <w:tcW w:w="702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vMerge w:val="continue"/>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$941,209</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$908,037</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320" w:right="2840" w:hanging="1052"/>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w:t>
      </w:r>
    </w:p>
    <w:p>
      <w:pPr>
        <w:sectPr>
          <w:pgSz w:w="11900" w:h="16838" w:orient="portrait"/>
          <w:cols w:equalWidth="0" w:num="1">
            <w:col w:w="10640"/>
          </w:cols>
          <w:pgMar w:left="240" w:top="284" w:right="10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640"/>
          </w:cols>
          <w:pgMar w:left="240" w:top="284" w:right="1019" w:bottom="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jc w:val="center"/>
        <w:ind w:right="1779"/>
        <w:spacing w:after="0"/>
        <w:rPr>
          <w:sz w:val="20"/>
          <w:szCs w:val="20"/>
          <w:color w:val="auto"/>
        </w:rPr>
      </w:pPr>
      <w:r>
        <w:rPr>
          <w:rFonts w:ascii="Courier New" w:cs="Courier New" w:eastAsia="Courier New" w:hAnsi="Courier New"/>
          <w:sz w:val="18"/>
          <w:szCs w:val="18"/>
          <w:color w:val="auto"/>
        </w:rPr>
        <w:t>(In Thousands, Except Per Share Amounts)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33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717"/>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$124,629</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$101,242</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42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69,598</w:t>
            </w:r>
          </w:p>
        </w:tc>
        <w:tc>
          <w:tcPr>
            <w:tcW w:w="160" w:type="dxa"/>
            <w:vAlign w:val="bottom"/>
          </w:tcPr>
          <w:p>
            <w:pPr>
              <w:spacing w:after="0"/>
              <w:rPr>
                <w:sz w:val="24"/>
                <w:szCs w:val="24"/>
                <w:color w:val="auto"/>
              </w:rPr>
            </w:pPr>
          </w:p>
        </w:tc>
        <w:tc>
          <w:tcPr>
            <w:tcW w:w="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58,279</w:t>
            </w: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2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14,542</w:t>
            </w:r>
          </w:p>
        </w:tc>
        <w:tc>
          <w:tcPr>
            <w:tcW w:w="1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16,890</w:t>
            </w: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14,875</w:t>
            </w:r>
          </w:p>
        </w:tc>
        <w:tc>
          <w:tcPr>
            <w:tcW w:w="1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12,980</w:t>
            </w: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Unusual items</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99,015</w:t>
            </w:r>
          </w:p>
        </w:tc>
        <w:tc>
          <w:tcPr>
            <w:tcW w:w="1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88,842</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25,614</w:t>
            </w:r>
          </w:p>
        </w:tc>
        <w:tc>
          <w:tcPr>
            <w:tcW w:w="16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12,400</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42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(3,512)</w:t>
            </w:r>
          </w:p>
        </w:tc>
        <w:tc>
          <w:tcPr>
            <w:tcW w:w="0" w:type="dxa"/>
            <w:vAlign w:val="bottom"/>
          </w:tcPr>
          <w:p>
            <w:pPr>
              <w:spacing w:after="0"/>
              <w:rPr>
                <w:sz w:val="1"/>
                <w:szCs w:val="1"/>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Nonrecurring interest</w:t>
            </w:r>
          </w:p>
        </w:tc>
        <w:tc>
          <w:tcPr>
            <w:tcW w:w="2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(5,767)</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(8,212)</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 income, net</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2,033</w:t>
            </w:r>
          </w:p>
        </w:tc>
        <w:tc>
          <w:tcPr>
            <w:tcW w:w="1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1,845</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(3,734)</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(9,879)</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21,880</w:t>
            </w:r>
          </w:p>
        </w:tc>
        <w:tc>
          <w:tcPr>
            <w:tcW w:w="16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2,521</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1,364</w:t>
            </w:r>
          </w:p>
        </w:tc>
        <w:tc>
          <w:tcPr>
            <w:tcW w:w="1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2,337</w:t>
            </w: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$20,516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0.31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and</w:t>
            </w:r>
          </w:p>
        </w:tc>
        <w:tc>
          <w:tcPr>
            <w:tcW w:w="242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66,964</w:t>
            </w:r>
          </w:p>
        </w:tc>
        <w:tc>
          <w:tcPr>
            <w:tcW w:w="160" w:type="dxa"/>
            <w:vAlign w:val="bottom"/>
          </w:tcPr>
          <w:p>
            <w:pPr>
              <w:spacing w:after="0"/>
              <w:rPr>
                <w:sz w:val="24"/>
                <w:szCs w:val="24"/>
                <w:color w:val="auto"/>
              </w:rPr>
            </w:pPr>
          </w:p>
        </w:tc>
        <w:tc>
          <w:tcPr>
            <w:tcW w:w="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51,088</w:t>
            </w:r>
          </w:p>
        </w:tc>
        <w:tc>
          <w:tcPr>
            <w:tcW w:w="0" w:type="dxa"/>
            <w:vAlign w:val="bottom"/>
          </w:tcPr>
          <w:p>
            <w:pPr>
              <w:spacing w:after="0"/>
              <w:rPr>
                <w:sz w:val="1"/>
                <w:szCs w:val="1"/>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2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320" w:right="2419" w:hanging="1052"/>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85"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USA WASTE SERVICES, INC.</w:t>
      </w:r>
    </w:p>
    <w:p>
      <w:pPr>
        <w:jc w:val="center"/>
        <w:ind w:right="2520"/>
        <w:spacing w:after="0" w:line="238" w:lineRule="auto"/>
        <w:rPr>
          <w:sz w:val="20"/>
          <w:szCs w:val="20"/>
          <w:color w:val="auto"/>
        </w:rPr>
      </w:pPr>
      <w:r>
        <w:rPr>
          <w:rFonts w:ascii="Courier New" w:cs="Courier New" w:eastAsia="Courier New" w:hAnsi="Courier New"/>
          <w:sz w:val="18"/>
          <w:szCs w:val="18"/>
          <w:color w:val="auto"/>
        </w:rPr>
        <w:t>CONDENSED CONSOLIDATED STATEMENT OF STOCKHOLDERS' EQUITY</w:t>
      </w:r>
    </w:p>
    <w:p>
      <w:pPr>
        <w:ind w:left="3480"/>
        <w:spacing w:after="0"/>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48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rPr>
              <w:t>Preferred</w:t>
            </w:r>
          </w:p>
        </w:tc>
        <w:tc>
          <w:tcPr>
            <w:tcW w:w="100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rPr>
              <w:t>Common</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Additional</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Accumulated</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Treasury</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Paid-in</w:t>
            </w: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Stock</w:t>
            </w:r>
          </w:p>
        </w:tc>
        <w:tc>
          <w:tcPr>
            <w:tcW w:w="1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Stock</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Capital</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Deficit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Balance, December 31, 1995</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660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$727,971</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$(323,963)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$(1,819)</w:t>
            </w:r>
          </w:p>
        </w:tc>
        <w:tc>
          <w:tcPr>
            <w:tcW w:w="0" w:type="dxa"/>
            <w:vAlign w:val="bottom"/>
          </w:tcPr>
          <w:p>
            <w:pPr>
              <w:spacing w:after="0"/>
              <w:rPr>
                <w:sz w:val="1"/>
                <w:szCs w:val="1"/>
                <w:color w:val="auto"/>
              </w:rPr>
            </w:pPr>
          </w:p>
        </w:tc>
      </w:tr>
      <w:tr>
        <w:trPr>
          <w:trHeight w:val="514"/>
        </w:trPr>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Common stock issued in acquisitions</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1,160</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returned for acquisition</w:t>
            </w:r>
          </w:p>
        </w:tc>
        <w:tc>
          <w:tcPr>
            <w:tcW w:w="420" w:type="dxa"/>
            <w:vAlign w:val="bottom"/>
          </w:tcPr>
          <w:p>
            <w:pPr>
              <w:spacing w:after="0"/>
              <w:rPr>
                <w:sz w:val="17"/>
                <w:szCs w:val="17"/>
                <w:color w:val="auto"/>
              </w:rPr>
            </w:pP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(751)</w:t>
            </w:r>
          </w:p>
        </w:tc>
        <w:tc>
          <w:tcPr>
            <w:tcW w:w="0" w:type="dxa"/>
            <w:vAlign w:val="bottom"/>
          </w:tcPr>
          <w:p>
            <w:pPr>
              <w:spacing w:after="0"/>
              <w:rPr>
                <w:sz w:val="1"/>
                <w:szCs w:val="1"/>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settlement</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issued from treasury upon</w:t>
            </w:r>
          </w:p>
        </w:tc>
        <w:tc>
          <w:tcPr>
            <w:tcW w:w="420" w:type="dxa"/>
            <w:vAlign w:val="bottom"/>
          </w:tcPr>
          <w:p>
            <w:pPr>
              <w:spacing w:after="0"/>
              <w:rPr>
                <w:sz w:val="17"/>
                <w:szCs w:val="17"/>
                <w:color w:val="auto"/>
              </w:rPr>
            </w:pP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(82)</w:t>
            </w:r>
          </w:p>
        </w:tc>
        <w:tc>
          <w:tcPr>
            <w:tcW w:w="14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219</w:t>
            </w:r>
          </w:p>
        </w:tc>
        <w:tc>
          <w:tcPr>
            <w:tcW w:w="0" w:type="dxa"/>
            <w:vAlign w:val="bottom"/>
          </w:tcPr>
          <w:p>
            <w:pPr>
              <w:spacing w:after="0"/>
              <w:rPr>
                <w:sz w:val="1"/>
                <w:szCs w:val="1"/>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issued from treasury upon</w:t>
            </w:r>
          </w:p>
        </w:tc>
        <w:tc>
          <w:tcPr>
            <w:tcW w:w="420" w:type="dxa"/>
            <w:vAlign w:val="bottom"/>
          </w:tcPr>
          <w:p>
            <w:pPr>
              <w:spacing w:after="0"/>
              <w:rPr>
                <w:sz w:val="17"/>
                <w:szCs w:val="17"/>
                <w:color w:val="auto"/>
              </w:rPr>
            </w:pP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(125)</w:t>
            </w:r>
          </w:p>
        </w:tc>
        <w:tc>
          <w:tcPr>
            <w:tcW w:w="14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197</w:t>
            </w:r>
          </w:p>
        </w:tc>
        <w:tc>
          <w:tcPr>
            <w:tcW w:w="0" w:type="dxa"/>
            <w:vAlign w:val="bottom"/>
          </w:tcPr>
          <w:p>
            <w:pPr>
              <w:spacing w:after="0"/>
              <w:rPr>
                <w:sz w:val="1"/>
                <w:szCs w:val="1"/>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exercise of stock warrants</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20,516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Balance, March 31, 1996</w:t>
            </w:r>
          </w:p>
        </w:tc>
        <w:tc>
          <w:tcPr>
            <w:tcW w:w="4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vMerge w:val="continue"/>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$728,924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$(303,447)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$(2,154)</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The accompanying notes are an integral part of these condensed</w:t>
      </w:r>
    </w:p>
    <w:p>
      <w:pPr>
        <w:spacing w:after="0" w:line="31"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960"/>
          </w:cols>
          <w:pgMar w:left="240" w:top="285" w:right="69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2620"/>
        <w:spacing w:after="0" w:line="238" w:lineRule="auto"/>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96"/>
        </w:trPr>
        <w:tc>
          <w:tcPr>
            <w:tcW w:w="644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(Unaudited)</w:t>
            </w:r>
          </w:p>
        </w:tc>
        <w:tc>
          <w:tcPr>
            <w:tcW w:w="2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6440" w:type="dxa"/>
            <w:vAlign w:val="bottom"/>
          </w:tcPr>
          <w:p>
            <w:pPr>
              <w:spacing w:after="0"/>
              <w:rPr>
                <w:sz w:val="24"/>
                <w:szCs w:val="24"/>
                <w:color w:val="auto"/>
              </w:rPr>
            </w:pPr>
          </w:p>
        </w:tc>
        <w:tc>
          <w:tcPr>
            <w:tcW w:w="46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4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8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1996</w:t>
            </w: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2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8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$14 ,431</w:t>
            </w:r>
          </w:p>
        </w:tc>
        <w:tc>
          <w:tcPr>
            <w:tcW w:w="17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$14,163</w:t>
            </w:r>
          </w:p>
        </w:tc>
        <w:tc>
          <w:tcPr>
            <w:tcW w:w="0" w:type="dxa"/>
            <w:vAlign w:val="bottom"/>
          </w:tcPr>
          <w:p>
            <w:pPr>
              <w:spacing w:after="0"/>
              <w:rPr>
                <w:sz w:val="1"/>
                <w:szCs w:val="1"/>
                <w:color w:val="auto"/>
              </w:rPr>
            </w:pPr>
          </w:p>
        </w:tc>
      </w:tr>
      <w:tr>
        <w:trPr>
          <w:trHeight w:val="203"/>
        </w:trPr>
        <w:tc>
          <w:tcPr>
            <w:tcW w:w="644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84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84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(12,246)</w:t>
            </w:r>
          </w:p>
        </w:tc>
        <w:tc>
          <w:tcPr>
            <w:tcW w:w="178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Acquisitions of businesses, net of cash acquired</w:t>
            </w:r>
          </w:p>
        </w:tc>
        <w:tc>
          <w:tcPr>
            <w:tcW w:w="284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(14,680)</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(16,044)</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Loans and advances to others</w:t>
            </w:r>
          </w:p>
        </w:tc>
        <w:tc>
          <w:tcPr>
            <w:tcW w:w="2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(7,659)</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(5,426)</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 of loans to others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1,158</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633</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4,155</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restricted assets</w:t>
            </w:r>
          </w:p>
        </w:tc>
        <w:tc>
          <w:tcPr>
            <w:tcW w:w="2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(499)</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w:t>
            </w:r>
          </w:p>
        </w:tc>
        <w:tc>
          <w:tcPr>
            <w:tcW w:w="0" w:type="dxa"/>
            <w:vAlign w:val="bottom"/>
          </w:tcPr>
          <w:p>
            <w:pPr>
              <w:spacing w:after="0"/>
              <w:rPr>
                <w:sz w:val="1"/>
                <w:szCs w:val="1"/>
                <w:color w:val="auto"/>
              </w:rPr>
            </w:pPr>
          </w:p>
        </w:tc>
      </w:tr>
      <w:tr>
        <w:trPr>
          <w:trHeight w:val="203"/>
        </w:trPr>
        <w:tc>
          <w:tcPr>
            <w:tcW w:w="64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used in investing activities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(33,293)</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(27,027)</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8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32,000</w:t>
            </w:r>
          </w:p>
        </w:tc>
        <w:tc>
          <w:tcPr>
            <w:tcW w:w="17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17,000</w:t>
            </w:r>
          </w:p>
        </w:tc>
        <w:tc>
          <w:tcPr>
            <w:tcW w:w="0" w:type="dxa"/>
            <w:vAlign w:val="bottom"/>
          </w:tcPr>
          <w:p>
            <w:pPr>
              <w:spacing w:after="0"/>
              <w:rPr>
                <w:sz w:val="1"/>
                <w:szCs w:val="1"/>
                <w:color w:val="auto"/>
              </w:rPr>
            </w:pPr>
          </w:p>
        </w:tc>
      </w:tr>
      <w:tr>
        <w:trPr>
          <w:trHeight w:val="296"/>
        </w:trPr>
        <w:tc>
          <w:tcPr>
            <w:tcW w:w="644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Proceeds from issuance of long-term debt</w:t>
            </w:r>
          </w:p>
        </w:tc>
        <w:tc>
          <w:tcPr>
            <w:tcW w:w="284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40" w:type="dxa"/>
            <w:vAlign w:val="bottom"/>
          </w:tcPr>
          <w:p>
            <w:pPr>
              <w:ind w:left="220"/>
              <w:spacing w:after="0"/>
              <w:rPr>
                <w:sz w:val="20"/>
                <w:szCs w:val="20"/>
                <w:color w:val="auto"/>
              </w:rPr>
            </w:pPr>
            <w:r>
              <w:rPr>
                <w:rFonts w:ascii="Courier New" w:cs="Courier New" w:eastAsia="Courier New" w:hAnsi="Courier New"/>
                <w:sz w:val="18"/>
                <w:szCs w:val="18"/>
                <w:color w:val="auto"/>
              </w:rPr>
              <w:t>Principal payments on long-term debt</w:t>
            </w:r>
          </w:p>
        </w:tc>
        <w:tc>
          <w:tcPr>
            <w:tcW w:w="2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(9,920)</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(10,792)</w:t>
            </w:r>
          </w:p>
        </w:tc>
        <w:tc>
          <w:tcPr>
            <w:tcW w:w="0" w:type="dxa"/>
            <w:vAlign w:val="bottom"/>
          </w:tcPr>
          <w:p>
            <w:pPr>
              <w:spacing w:after="0"/>
              <w:rPr>
                <w:sz w:val="1"/>
                <w:szCs w:val="1"/>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137</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warrants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72</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517</w:t>
            </w:r>
          </w:p>
        </w:tc>
        <w:tc>
          <w:tcPr>
            <w:tcW w:w="0" w:type="dxa"/>
            <w:vAlign w:val="bottom"/>
          </w:tcPr>
          <w:p>
            <w:pPr>
              <w:spacing w:after="0"/>
              <w:rPr>
                <w:sz w:val="1"/>
                <w:szCs w:val="1"/>
                <w:color w:val="auto"/>
              </w:rPr>
            </w:pPr>
          </w:p>
        </w:tc>
      </w:tr>
      <w:tr>
        <w:trPr>
          <w:trHeight w:val="203"/>
        </w:trPr>
        <w:tc>
          <w:tcPr>
            <w:tcW w:w="644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by financing activities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22,289</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6,755</w:t>
            </w:r>
          </w:p>
        </w:tc>
        <w:tc>
          <w:tcPr>
            <w:tcW w:w="0" w:type="dxa"/>
            <w:vAlign w:val="bottom"/>
          </w:tcPr>
          <w:p>
            <w:pPr>
              <w:spacing w:after="0"/>
              <w:rPr>
                <w:sz w:val="1"/>
                <w:szCs w:val="1"/>
                <w:color w:val="auto"/>
              </w:rPr>
            </w:pPr>
          </w:p>
        </w:tc>
      </w:tr>
      <w:tr>
        <w:trPr>
          <w:trHeight w:val="203"/>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Increase (decrease) in cash and cash equivalents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3,427</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(6,109)</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13,164</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30,161</w:t>
            </w:r>
          </w:p>
        </w:tc>
        <w:tc>
          <w:tcPr>
            <w:tcW w:w="0" w:type="dxa"/>
            <w:vAlign w:val="bottom"/>
          </w:tcPr>
          <w:p>
            <w:pPr>
              <w:spacing w:after="0"/>
              <w:rPr>
                <w:sz w:val="1"/>
                <w:szCs w:val="1"/>
                <w:color w:val="auto"/>
              </w:rPr>
            </w:pPr>
          </w:p>
        </w:tc>
      </w:tr>
      <w:tr>
        <w:trPr>
          <w:trHeight w:val="203"/>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$16,591</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$24,052</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spacing w:after="0" w:line="31"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financial statements.</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060"/>
          </w:cols>
          <w:pgMar w:left="240" w:top="285" w:right="59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USA WASTE SERVICES, INC.</w:t>
      </w:r>
    </w:p>
    <w:p>
      <w:pPr>
        <w:jc w:val="center"/>
        <w:ind w:right="440"/>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540"/>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ind w:right="540" w:firstLine="316"/>
        <w:spacing w:after="0" w:line="278" w:lineRule="auto"/>
        <w:rPr>
          <w:sz w:val="20"/>
          <w:szCs w:val="20"/>
          <w:color w:val="auto"/>
        </w:rPr>
      </w:pPr>
      <w:r>
        <w:rPr>
          <w:rFonts w:ascii="Courier New" w:cs="Courier New" w:eastAsia="Courier New" w:hAnsi="Courier New"/>
          <w:sz w:val="16"/>
          <w:szCs w:val="16"/>
          <w:color w:val="auto"/>
        </w:rPr>
        <w:t>The condensed consolidated balance sheets of USA Waste Services, Inc. ("the Company") as of March 31, 1996 and December 31, 1995, the related condensed consolidated statements of operations for the three months ended March 31, 1996 and 1995, the condensed consolidated statement of stockholders' equity for the three months ended March 31, 1996, and the condensed consolidated statements of cash flows for the three months ended March 31, 1996 and 1995 are unaudited. In the opinion of management, such financial statements include all adjustments, consisting only of normal recurring adjustments, necessary for a fair presentation of financial position, results of operations, and cash flows for the periods presented. The financial statements included herein should be read in connection with the Company's Consolidated Financial Statements and related notes thereto included in the Company's Annual Report on Form 10-K for the year ended December 31, 1995 and to the Company's Joint Proxy Statement and Prospectus dated April 2, 1996 included in the Company's Registration Statement on Form S-4 filed in connection with the acquisition of Western Waste Industries ("Western") (see Note 5).</w:t>
      </w:r>
    </w:p>
    <w:p>
      <w:pPr>
        <w:spacing w:after="0" w:line="295"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Long-term debt consists of the following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3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3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Credit Facility:</w:t>
            </w:r>
          </w:p>
        </w:tc>
        <w:tc>
          <w:tcPr>
            <w:tcW w:w="3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83,613</w:t>
            </w:r>
          </w:p>
        </w:tc>
        <w:tc>
          <w:tcPr>
            <w:tcW w:w="0" w:type="dxa"/>
            <w:vAlign w:val="bottom"/>
          </w:tcPr>
          <w:p>
            <w:pPr>
              <w:spacing w:after="0"/>
              <w:rPr>
                <w:sz w:val="1"/>
                <w:szCs w:val="1"/>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Revolving credit facility</w:t>
            </w: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Term loan facility</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209,228</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Industrial revenue bonds</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80,500</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23,238</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vMerge w:val="restart"/>
          </w:tcPr>
          <w:p>
            <w:pPr>
              <w:spacing w:after="0"/>
              <w:rPr>
                <w:sz w:val="20"/>
                <w:szCs w:val="20"/>
                <w:color w:val="auto"/>
              </w:rPr>
            </w:pPr>
            <w:r>
              <w:rPr>
                <w:rFonts w:ascii="Courier New" w:cs="Courier New" w:eastAsia="Courier New" w:hAnsi="Courier New"/>
                <w:sz w:val="18"/>
                <w:szCs w:val="18"/>
                <w:color w:val="auto"/>
              </w:rPr>
              <w:t>Less current maturities</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396,579</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41,601</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$354,978</w:t>
            </w: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3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40" w:firstLine="316"/>
        <w:spacing w:after="0" w:line="246" w:lineRule="auto"/>
        <w:rPr>
          <w:sz w:val="20"/>
          <w:szCs w:val="20"/>
          <w:color w:val="auto"/>
        </w:rPr>
      </w:pPr>
      <w:r>
        <w:rPr>
          <w:rFonts w:ascii="Courier New" w:cs="Courier New" w:eastAsia="Courier New" w:hAnsi="Courier New"/>
          <w:sz w:val="18"/>
          <w:szCs w:val="18"/>
          <w:color w:val="auto"/>
        </w:rPr>
        <w:t>On June 30, 1995, in connection with the acquisition of Chambers Development Company ("Chambers"), the Company entered into a $550,000,000 financing agreement consisting of a $300,000,000 five-year revolving credit and letter of credit facility and a $250,000,000 term loan facility. Borrowings under the credit facility are collateralized by all the stock and intercompany receivables of the Company and its subsidiaries, whether now owned or hereafter acquired. Revolving credit loans under the credit facility are limited to $180,000,000 at March 31, 1996, less the amount of any future industrial revenue bonds enhanced by letters of credit under the credit facility. Loans bear interest at a rate based on the Eurodollar rate or the prime rate, plus a spread not to exceed 1.75% per annum. The credit facility may also be used for letters of credit purposes with variable fees from 0.75% to 1.75% per annum charged on amounts issued. A commitment fee of up to .5% is required on the unused portion of the credit facility.</w:t>
      </w:r>
    </w:p>
    <w:p>
      <w:pPr>
        <w:spacing w:after="0" w:line="113" w:lineRule="exact"/>
        <w:rPr>
          <w:sz w:val="20"/>
          <w:szCs w:val="20"/>
          <w:color w:val="auto"/>
        </w:rPr>
      </w:pPr>
    </w:p>
    <w:p>
      <w:pPr>
        <w:ind w:right="540" w:firstLine="316"/>
        <w:spacing w:after="0" w:line="247" w:lineRule="auto"/>
        <w:rPr>
          <w:sz w:val="20"/>
          <w:szCs w:val="20"/>
          <w:color w:val="auto"/>
        </w:rPr>
      </w:pPr>
      <w:r>
        <w:rPr>
          <w:rFonts w:ascii="Courier New" w:cs="Courier New" w:eastAsia="Courier New" w:hAnsi="Courier New"/>
          <w:sz w:val="18"/>
          <w:szCs w:val="18"/>
          <w:color w:val="auto"/>
        </w:rPr>
        <w:t>On May 7, 1996, in connection with the acquisition of Western, the Company replaced its existing credit facility with a $750,000,000 senior revolving credit facility ("Credit Facility"). The Credit Facility will be used to refinance existing bank loans and letters of credit as well as fund additional acquisitions and working capital. The Credit Facility will be available for standby letters of credit of up to $300,000,000. Loans under the Credit Facility bear interest at a rate based on the Eurodollar rate plus a spread not to exceed 0.75% per annum (spread initially set at 0.405% per annum). The Credit Facility requires a facility fee not to exceed 0.38% per annum on the entire available credit facility (facility fee initially set at 0.22% per annum). The Company's liquidity will be enhanced by the Credit Facility as the financial covenants are less restrictive and principal reductions are not required for a three year period.</w:t>
      </w:r>
    </w:p>
    <w:p>
      <w:pPr>
        <w:spacing w:after="0" w:line="108"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COMBINATIONS:</w:t>
      </w:r>
    </w:p>
    <w:p>
      <w:pPr>
        <w:spacing w:after="0" w:line="201" w:lineRule="exact"/>
        <w:rPr>
          <w:sz w:val="20"/>
          <w:szCs w:val="20"/>
          <w:color w:val="auto"/>
        </w:rPr>
      </w:pPr>
    </w:p>
    <w:p>
      <w:pPr>
        <w:ind w:right="540" w:firstLine="316"/>
        <w:spacing w:after="0" w:line="306" w:lineRule="auto"/>
        <w:rPr>
          <w:sz w:val="20"/>
          <w:szCs w:val="20"/>
          <w:color w:val="auto"/>
        </w:rPr>
      </w:pPr>
      <w:r>
        <w:rPr>
          <w:rFonts w:ascii="Courier New" w:cs="Courier New" w:eastAsia="Courier New" w:hAnsi="Courier New"/>
          <w:sz w:val="16"/>
          <w:szCs w:val="16"/>
          <w:color w:val="auto"/>
        </w:rPr>
        <w:t>During the three months ended March 31, 1996, the Company acquired 13 collection businesses for approximately $12,246,000 in cash and 64,624 shares of the Company's Common Stock. These acquisitions were accounted for under the purchase method of accounting and the pro forma effect of the acquisitions is not material to the Company's financial condition or its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hanging="526"/>
        <w:spacing w:after="0" w:line="289" w:lineRule="auto"/>
        <w:rPr>
          <w:sz w:val="20"/>
          <w:szCs w:val="20"/>
          <w:color w:val="auto"/>
        </w:rPr>
      </w:pPr>
      <w:r>
        <w:rPr>
          <w:rFonts w:ascii="Courier New" w:cs="Courier New" w:eastAsia="Courier New" w:hAnsi="Courier New"/>
          <w:sz w:val="16"/>
          <w:szCs w:val="16"/>
          <w:color w:val="auto"/>
        </w:rPr>
        <w:t>December 31, 1995</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left="620" w:hanging="310"/>
        <w:spacing w:after="0"/>
        <w:tabs>
          <w:tab w:leader="none" w:pos="6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51,613</w:t>
      </w:r>
    </w:p>
    <w:p>
      <w:pPr>
        <w:spacing w:after="0" w:line="52"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215,835</w:t>
      </w:r>
    </w:p>
    <w:p>
      <w:pPr>
        <w:jc w:val="right"/>
        <w:spacing w:after="0" w:line="238" w:lineRule="auto"/>
        <w:rPr>
          <w:sz w:val="20"/>
          <w:szCs w:val="20"/>
          <w:color w:val="auto"/>
        </w:rPr>
      </w:pPr>
      <w:r>
        <w:rPr>
          <w:rFonts w:ascii="Courier New" w:cs="Courier New" w:eastAsia="Courier New" w:hAnsi="Courier New"/>
          <w:sz w:val="18"/>
          <w:szCs w:val="18"/>
          <w:color w:val="auto"/>
        </w:rPr>
        <w:t>82,250</w:t>
      </w:r>
    </w:p>
    <w:p>
      <w:pPr>
        <w:jc w:val="right"/>
        <w:spacing w:after="0"/>
        <w:rPr>
          <w:sz w:val="20"/>
          <w:szCs w:val="20"/>
          <w:color w:val="auto"/>
        </w:rPr>
      </w:pPr>
      <w:r>
        <w:rPr>
          <w:rFonts w:ascii="Courier New" w:cs="Courier New" w:eastAsia="Courier New" w:hAnsi="Courier New"/>
          <w:sz w:val="18"/>
          <w:szCs w:val="18"/>
          <w:color w:val="auto"/>
        </w:rPr>
        <w:t>24,087</w:t>
      </w: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373,785</w:t>
      </w:r>
    </w:p>
    <w:p>
      <w:pPr>
        <w:jc w:val="right"/>
        <w:spacing w:after="0" w:line="238" w:lineRule="auto"/>
        <w:rPr>
          <w:sz w:val="20"/>
          <w:szCs w:val="20"/>
          <w:color w:val="auto"/>
        </w:rPr>
      </w:pPr>
      <w:r>
        <w:rPr>
          <w:rFonts w:ascii="Courier New" w:cs="Courier New" w:eastAsia="Courier New" w:hAnsi="Courier New"/>
          <w:sz w:val="18"/>
          <w:szCs w:val="18"/>
          <w:color w:val="auto"/>
        </w:rPr>
        <w:t>38,925</w:t>
      </w: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$334,860</w:t>
      </w:r>
    </w:p>
    <w:p>
      <w:pPr>
        <w:jc w:val="right"/>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880" w:space="720"/>
            <w:col w:w="1260"/>
          </w:cols>
          <w:pgMar w:left="240" w:top="285" w:right="799" w:bottom="0" w:gutter="0" w:footer="0" w:header="0"/>
        </w:sectPr>
      </w:pPr>
    </w:p>
    <w:bookmarkStart w:id="6" w:name="page7"/>
    <w:bookmarkEnd w:id="6"/>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123"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USA WASTE SERVICES,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37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difference in federal income taxes at the statutory rate and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income taxes is primarily due to the net change in the valuation</w:t>
      </w:r>
    </w:p>
    <w:p>
      <w:pPr>
        <w:spacing w:after="0" w:line="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allowance.</w:t>
        <w:tab/>
        <w:t>The valuation allowance for deferred tax assets had a net decrease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$5,814,000 in the first quarter of 1996 due to changes in the Company's</w:t>
      </w:r>
    </w:p>
    <w:p>
      <w:pPr>
        <w:spacing w:after="0"/>
        <w:rPr>
          <w:sz w:val="20"/>
          <w:szCs w:val="20"/>
          <w:color w:val="auto"/>
        </w:rPr>
      </w:pPr>
      <w:r>
        <w:rPr>
          <w:rFonts w:ascii="Courier New" w:cs="Courier New" w:eastAsia="Courier New" w:hAnsi="Courier New"/>
          <w:sz w:val="16"/>
          <w:szCs w:val="16"/>
          <w:color w:val="auto"/>
        </w:rPr>
        <w:t>gross deferred tax assets and liabilities and the realizations of a portion of</w:t>
      </w:r>
    </w:p>
    <w:p>
      <w:pPr>
        <w:spacing w:after="0" w:line="20"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the Company's net deferred tax asset.</w:t>
      </w:r>
      <w:r>
        <w:rPr>
          <w:sz w:val="20"/>
          <w:szCs w:val="20"/>
          <w:color w:val="auto"/>
        </w:rPr>
        <w:tab/>
      </w:r>
      <w:r>
        <w:rPr>
          <w:rFonts w:ascii="Courier New" w:cs="Courier New" w:eastAsia="Courier New" w:hAnsi="Courier New"/>
          <w:sz w:val="16"/>
          <w:szCs w:val="16"/>
          <w:color w:val="auto"/>
        </w:rPr>
        <w:t>Future taxable income was projected</w:t>
      </w:r>
    </w:p>
    <w:p>
      <w:pPr>
        <w:spacing w:after="0"/>
        <w:tabs>
          <w:tab w:leader="none" w:pos="5460" w:val="left"/>
        </w:tabs>
        <w:rPr>
          <w:sz w:val="20"/>
          <w:szCs w:val="20"/>
          <w:color w:val="auto"/>
        </w:rPr>
      </w:pPr>
      <w:r>
        <w:rPr>
          <w:rFonts w:ascii="Courier New" w:cs="Courier New" w:eastAsia="Courier New" w:hAnsi="Courier New"/>
          <w:sz w:val="18"/>
          <w:szCs w:val="18"/>
          <w:color w:val="auto"/>
        </w:rPr>
        <w:t>utilizing annualized first quarter taxable income.</w:t>
      </w:r>
      <w:r>
        <w:rPr>
          <w:sz w:val="20"/>
          <w:szCs w:val="20"/>
          <w:color w:val="auto"/>
        </w:rPr>
        <w:tab/>
      </w:r>
      <w:r>
        <w:rPr>
          <w:rFonts w:ascii="Courier New" w:cs="Courier New" w:eastAsia="Courier New" w:hAnsi="Courier New"/>
          <w:sz w:val="16"/>
          <w:szCs w:val="16"/>
          <w:color w:val="auto"/>
        </w:rPr>
        <w:t>Based on this analysis of</w:t>
      </w:r>
    </w:p>
    <w:p>
      <w:pPr>
        <w:spacing w:after="0"/>
        <w:rPr>
          <w:sz w:val="20"/>
          <w:szCs w:val="20"/>
          <w:color w:val="auto"/>
        </w:rPr>
      </w:pPr>
      <w:r>
        <w:rPr>
          <w:rFonts w:ascii="Courier New" w:cs="Courier New" w:eastAsia="Courier New" w:hAnsi="Courier New"/>
          <w:sz w:val="18"/>
          <w:szCs w:val="18"/>
          <w:color w:val="auto"/>
        </w:rPr>
        <w:t>taxable income, the Company has restored the net deferred tax asset to</w:t>
      </w:r>
    </w:p>
    <w:p>
      <w:pPr>
        <w:spacing w:after="0"/>
        <w:tabs>
          <w:tab w:leader="none" w:pos="1460" w:val="left"/>
        </w:tabs>
        <w:rPr>
          <w:sz w:val="20"/>
          <w:szCs w:val="20"/>
          <w:color w:val="auto"/>
        </w:rPr>
      </w:pPr>
      <w:r>
        <w:rPr>
          <w:rFonts w:ascii="Courier New" w:cs="Courier New" w:eastAsia="Courier New" w:hAnsi="Courier New"/>
          <w:sz w:val="18"/>
          <w:szCs w:val="18"/>
          <w:color w:val="auto"/>
        </w:rPr>
        <w:t>$15,600,000.</w:t>
      </w:r>
      <w:r>
        <w:rPr>
          <w:sz w:val="20"/>
          <w:szCs w:val="20"/>
          <w:color w:val="auto"/>
        </w:rPr>
        <w:tab/>
      </w:r>
      <w:r>
        <w:rPr>
          <w:rFonts w:ascii="Courier New" w:cs="Courier New" w:eastAsia="Courier New" w:hAnsi="Courier New"/>
          <w:sz w:val="16"/>
          <w:szCs w:val="16"/>
          <w:color w:val="auto"/>
        </w:rPr>
        <w:t>If the Company's current trend of profitability continues,</w:t>
      </w:r>
    </w:p>
    <w:p>
      <w:pPr>
        <w:spacing w:after="0"/>
        <w:rPr>
          <w:sz w:val="20"/>
          <w:szCs w:val="20"/>
          <w:color w:val="auto"/>
        </w:rPr>
      </w:pPr>
      <w:r>
        <w:rPr>
          <w:rFonts w:ascii="Courier New" w:cs="Courier New" w:eastAsia="Courier New" w:hAnsi="Courier New"/>
          <w:sz w:val="16"/>
          <w:szCs w:val="16"/>
          <w:color w:val="auto"/>
        </w:rPr>
        <w:t>additional net deferred tax assets of up to approximately $87,800,000 could be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recognized in future periods.</w:t>
      </w:r>
    </w:p>
    <w:p>
      <w:pPr>
        <w:spacing w:after="0" w:line="169"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1" w:lineRule="exact"/>
        <w:rPr>
          <w:sz w:val="20"/>
          <w:szCs w:val="20"/>
          <w:color w:val="auto"/>
        </w:rPr>
      </w:pPr>
    </w:p>
    <w:p>
      <w:pPr>
        <w:ind w:right="2199" w:firstLine="316"/>
        <w:spacing w:after="0" w:line="248" w:lineRule="auto"/>
        <w:rPr>
          <w:sz w:val="20"/>
          <w:szCs w:val="20"/>
          <w:color w:val="auto"/>
        </w:rPr>
      </w:pPr>
      <w:r>
        <w:rPr>
          <w:rFonts w:ascii="Courier New" w:cs="Courier New" w:eastAsia="Courier New" w:hAnsi="Courier New"/>
          <w:sz w:val="18"/>
          <w:szCs w:val="18"/>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05" w:lineRule="exact"/>
        <w:rPr>
          <w:sz w:val="20"/>
          <w:szCs w:val="20"/>
          <w:color w:val="auto"/>
        </w:rPr>
      </w:pPr>
    </w:p>
    <w:p>
      <w:pPr>
        <w:ind w:right="2099" w:firstLine="421"/>
        <w:spacing w:after="0" w:line="347" w:lineRule="auto"/>
        <w:rPr>
          <w:sz w:val="20"/>
          <w:szCs w:val="20"/>
          <w:color w:val="auto"/>
        </w:rPr>
      </w:pPr>
      <w:r>
        <w:rPr>
          <w:rFonts w:ascii="Courier New" w:cs="Courier New" w:eastAsia="Courier New" w:hAnsi="Courier New"/>
          <w:sz w:val="18"/>
          <w:szCs w:val="18"/>
          <w:color w:val="auto"/>
        </w:rPr>
        <w:t>Legal matters -- See Part II, Item 1, of this Form 10-Q for discussion of legal matters.</w:t>
      </w:r>
    </w:p>
    <w:p>
      <w:pPr>
        <w:spacing w:after="0" w:line="18" w:lineRule="exact"/>
        <w:rPr>
          <w:sz w:val="20"/>
          <w:szCs w:val="20"/>
          <w:color w:val="auto"/>
        </w:rPr>
      </w:pPr>
    </w:p>
    <w:p>
      <w:pPr>
        <w:ind w:right="1999" w:firstLine="316"/>
        <w:spacing w:after="0" w:line="298" w:lineRule="auto"/>
        <w:rPr>
          <w:sz w:val="20"/>
          <w:szCs w:val="20"/>
          <w:color w:val="auto"/>
        </w:rPr>
      </w:pPr>
      <w:r>
        <w:rPr>
          <w:rFonts w:ascii="Courier New" w:cs="Courier New" w:eastAsia="Courier New" w:hAnsi="Courier New"/>
          <w:sz w:val="16"/>
          <w:szCs w:val="16"/>
          <w:color w:val="auto"/>
        </w:rPr>
        <w:t>Insurance -- The Company self-insures certain of its comprehensive general liability and workers' compensation risks, while maintaining third-party coverage to protect against catastrophic loss. The Company has not incurred significant fines, penalties, or liabilities for pollution or environmental liabilities at any of its facilities; however, the Company's operating results could be adversely affected in the future in the event of uninsured losses.</w:t>
      </w:r>
    </w:p>
    <w:p>
      <w:pPr>
        <w:spacing w:after="0" w:line="68"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Employment agreements -- The Company has entered into employment agreements with certain of its executives and officers. These employment agreements include provisions governing compensation and benefits to be paid upon termination of employment with the Company or certain changes in control of the Company. Under certain conditions, the agreements can be terminated by the Company or the employee. Upon termination of an agreement, the employee's compensation would continue at approximately 75% of the employee's prior compensation for periods ranging from three to five years. During the three to five year period, the employee would be available to the Company on a part-time basis for consulting and also would not be permitted to engage in any activities in direct competition with the Company. If these executives were to be terminated without cause during 1996 or if certain executives elected to terminate their agreements, the aggregate annual compensation on a part-time basis would be approximately $1,250,000. If a change in control were to occur in 1996 and the executives were to elect to take the change in control payments, they would receive approximately $6,473,000. As of March 31, 1996, the Company has not recorded any accruals in the financial statements related to these employment agreements.</w:t>
      </w:r>
    </w:p>
    <w:p>
      <w:pPr>
        <w:spacing w:after="0" w:line="117"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Other commitments and contingencies -- The Company is a party to certain other litigation arising in the normal course of business. In addition, contingencies of an environmental nature currently exist at certain of its disposal sites. Management believes that the ultimate outcome of these matters will not have a material adverse effect on the Company's financial position and results of operations.</w:t>
      </w:r>
    </w:p>
    <w:p>
      <w:pPr>
        <w:sectPr>
          <w:pgSz w:w="11900" w:h="16838" w:orient="portrait"/>
          <w:cols w:equalWidth="0" w:num="1">
            <w:col w:w="10219"/>
          </w:cols>
          <w:pgMar w:left="240" w:top="285" w:right="1440" w:bottom="6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85" w:right="1440" w:bottom="613"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MERGER WITH WESTERN WASTE INDUSTRIES:</w:t>
      </w:r>
    </w:p>
    <w:p>
      <w:pPr>
        <w:spacing w:after="0" w:line="201" w:lineRule="exact"/>
        <w:rPr>
          <w:sz w:val="20"/>
          <w:szCs w:val="20"/>
          <w:color w:val="auto"/>
        </w:rPr>
      </w:pPr>
    </w:p>
    <w:p>
      <w:pPr>
        <w:ind w:right="1779" w:firstLine="316"/>
        <w:spacing w:after="0" w:line="245" w:lineRule="auto"/>
        <w:rPr>
          <w:sz w:val="20"/>
          <w:szCs w:val="20"/>
          <w:color w:val="auto"/>
        </w:rPr>
      </w:pPr>
      <w:r>
        <w:rPr>
          <w:rFonts w:ascii="Courier New" w:cs="Courier New" w:eastAsia="Courier New" w:hAnsi="Courier New"/>
          <w:sz w:val="18"/>
          <w:szCs w:val="18"/>
          <w:color w:val="auto"/>
        </w:rPr>
        <w:t>On May 7, 1996, the Company consummated an Agreement and Plan of Merger (the "Merger Agreement") to acquire Western through a merger transaction ("Western Merger") accounted for as a pooling of interests. Under the terms of the Merger Agreement, the Company issued 1.50 shares of its Common Stock for each share of Western outstanding common stock. Prior to the Western Merger, the Company owned approximately 4.1% of Western's outstanding shares (634,900 common shares of Western were recorded at cost of $12,596,000 in other assets in the condensed consolidated balance sheets at March 31, 1996 and December 31, 1995), which were canceled on the Western Merger's effective date. The Western Merger increased the Company's outstanding shares of Common Stock by approximately 23.1 million shares and the Company assumed options under Western's stock option plans equivalent to approximately 5.2 million underlying USA Waste shares of Common Stock. Following the Western Merger, the Company's Board of Directors was expanded from 9 to 11 members, with approval to appoint a twelfth member at a later date. See Part II, Item 5, of this Form 10-Q for USA Waste supplemental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right="2619"/>
        <w:spacing w:after="0" w:line="309"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51"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The following discussion reviews the Company's operations for the three months ended March 31, 1996 and 1995, and should be read in conjunction with the Company's condensed consolidated financial statements and related notes thereto included elsewhere herein, as well as the Company's consolidated financial statements and related notes thereto included in the Company's Annual Report on Form 10-K for the year ended December 31, 1995 and the Company's Joint Proxy Statement and Prospectus dated April 2, 1996, included in the Company's Registration Statement on Form S-4 filed in connection with the acquisition of Western.</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right="1879" w:firstLine="421"/>
        <w:spacing w:after="0" w:line="253" w:lineRule="auto"/>
        <w:rPr>
          <w:sz w:val="20"/>
          <w:szCs w:val="20"/>
          <w:color w:val="auto"/>
        </w:rPr>
      </w:pPr>
      <w:r>
        <w:rPr>
          <w:rFonts w:ascii="Courier New" w:cs="Courier New" w:eastAsia="Courier New" w:hAnsi="Courier New"/>
          <w:sz w:val="18"/>
          <w:szCs w:val="18"/>
          <w:color w:val="auto"/>
        </w:rPr>
        <w:t>The Company provides non-hazardous solid waste management services, consisting of collection, transfer, disposal, soil remediation, and recycling services in 21 states. Since August 1990, the Company has experienced significant growth principally through the acquisition and integration of solid waste businesses and is now the fourth largest non- hazardous solid waste company in North America. The company owns or operates 29 landfills, 22 transfer stations, and 45 collection companies serving more than 500,000 customers.</w:t>
      </w:r>
    </w:p>
    <w:p>
      <w:pPr>
        <w:spacing w:after="0" w:line="104" w:lineRule="exact"/>
        <w:rPr>
          <w:sz w:val="20"/>
          <w:szCs w:val="20"/>
          <w:color w:val="auto"/>
        </w:rPr>
      </w:pPr>
    </w:p>
    <w:p>
      <w:pPr>
        <w:ind w:right="1879" w:firstLine="421"/>
        <w:spacing w:after="0" w:line="252" w:lineRule="auto"/>
        <w:rPr>
          <w:sz w:val="20"/>
          <w:szCs w:val="20"/>
          <w:color w:val="auto"/>
        </w:rPr>
      </w:pPr>
      <w:r>
        <w:rPr>
          <w:rFonts w:ascii="Courier New" w:cs="Courier New" w:eastAsia="Courier New" w:hAnsi="Courier New"/>
          <w:sz w:val="18"/>
          <w:szCs w:val="18"/>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99" w:lineRule="exact"/>
        <w:rPr>
          <w:sz w:val="20"/>
          <w:szCs w:val="20"/>
          <w:color w:val="auto"/>
        </w:rPr>
      </w:pPr>
    </w:p>
    <w:p>
      <w:pPr>
        <w:ind w:right="1999" w:firstLine="421"/>
        <w:spacing w:after="0" w:line="289" w:lineRule="auto"/>
        <w:rPr>
          <w:sz w:val="20"/>
          <w:szCs w:val="20"/>
          <w:color w:val="auto"/>
        </w:rPr>
      </w:pPr>
      <w:r>
        <w:rPr>
          <w:rFonts w:ascii="Courier New" w:cs="Courier New" w:eastAsia="Courier New" w:hAnsi="Courier New"/>
          <w:sz w:val="16"/>
          <w:szCs w:val="16"/>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of solid waste deposited, taking into account the Company's cost of loading, transporting, and disposing of the solid waste at a landfill. Intercompany revenues between the Company's landfill and collection operations have been eliminated in the financial statements presented herein.</w:t>
      </w:r>
    </w:p>
    <w:p>
      <w:pPr>
        <w:spacing w:after="0" w:line="77" w:lineRule="exact"/>
        <w:rPr>
          <w:sz w:val="20"/>
          <w:szCs w:val="20"/>
          <w:color w:val="auto"/>
        </w:rPr>
      </w:pPr>
    </w:p>
    <w:p>
      <w:pPr>
        <w:ind w:right="1999" w:firstLine="421"/>
        <w:spacing w:after="0" w:line="252" w:lineRule="auto"/>
        <w:rPr>
          <w:sz w:val="20"/>
          <w:szCs w:val="20"/>
          <w:color w:val="auto"/>
        </w:rPr>
      </w:pPr>
      <w:r>
        <w:rPr>
          <w:rFonts w:ascii="Courier New" w:cs="Courier New" w:eastAsia="Courier New" w:hAnsi="Courier New"/>
          <w:sz w:val="18"/>
          <w:szCs w:val="18"/>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expenses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99"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169" w:lineRule="exact"/>
        <w:rPr>
          <w:sz w:val="20"/>
          <w:szCs w:val="20"/>
          <w:color w:val="auto"/>
        </w:rPr>
      </w:pPr>
    </w:p>
    <w:p>
      <w:pPr>
        <w:ind w:right="2099" w:firstLine="421"/>
        <w:spacing w:after="0" w:line="292"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thousands) and percent for the various Condensed Consolidated Statements of Operations items:</w:t>
      </w:r>
    </w:p>
    <w:p>
      <w:pPr>
        <w:spacing w:after="0" w:line="200" w:lineRule="exact"/>
        <w:rPr>
          <w:sz w:val="20"/>
          <w:szCs w:val="20"/>
          <w:color w:val="auto"/>
        </w:rPr>
      </w:pPr>
    </w:p>
    <w:p>
      <w:pPr>
        <w:spacing w:after="0" w:line="270"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3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Period to Period</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3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 for the</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3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33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3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1996 and 1995</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4"/>
                <w:szCs w:val="24"/>
                <w:color w:val="auto"/>
              </w:rPr>
            </w:pPr>
          </w:p>
        </w:tc>
        <w:tc>
          <w:tcPr>
            <w:tcW w:w="2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522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$23,387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23.1%</w:t>
            </w: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11,319</w:t>
            </w:r>
          </w:p>
        </w:tc>
        <w:tc>
          <w:tcPr>
            <w:tcW w:w="1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19.4</w:t>
            </w:r>
          </w:p>
        </w:tc>
        <w:tc>
          <w:tcPr>
            <w:tcW w:w="0" w:type="dxa"/>
            <w:vAlign w:val="bottom"/>
          </w:tcPr>
          <w:p>
            <w:pPr>
              <w:spacing w:after="0"/>
              <w:rPr>
                <w:sz w:val="1"/>
                <w:szCs w:val="1"/>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w:t>
            </w:r>
          </w:p>
        </w:tc>
        <w:tc>
          <w:tcPr>
            <w:tcW w:w="21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(2,348)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c>
          <w:tcPr>
            <w:tcW w:w="0" w:type="dxa"/>
            <w:vAlign w:val="bottom"/>
          </w:tcPr>
          <w:p>
            <w:pPr>
              <w:spacing w:after="0"/>
              <w:rPr>
                <w:sz w:val="1"/>
                <w:szCs w:val="1"/>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1,895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c>
          <w:tcPr>
            <w:tcW w:w="0" w:type="dxa"/>
            <w:vAlign w:val="bottom"/>
          </w:tcPr>
          <w:p>
            <w:pPr>
              <w:spacing w:after="0"/>
              <w:rPr>
                <w:sz w:val="1"/>
                <w:szCs w:val="1"/>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Unusual items</w:t>
            </w: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11.5</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10,173</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13,214</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106.6</w:t>
            </w: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3,512</w:t>
            </w:r>
          </w:p>
        </w:tc>
        <w:tc>
          <w:tcPr>
            <w:tcW w:w="12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Nonrecurring interest</w:t>
            </w:r>
          </w:p>
        </w:tc>
        <w:tc>
          <w:tcPr>
            <w:tcW w:w="21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20" w:type="dxa"/>
            <w:vAlign w:val="bottom"/>
          </w:tcPr>
          <w:p>
            <w:pPr>
              <w:ind w:left="420"/>
              <w:spacing w:after="0"/>
              <w:rPr>
                <w:sz w:val="20"/>
                <w:szCs w:val="20"/>
                <w:color w:val="auto"/>
              </w:rPr>
            </w:pPr>
            <w:r>
              <w:rPr>
                <w:rFonts w:ascii="Courier New" w:cs="Courier New" w:eastAsia="Courier New" w:hAnsi="Courier New"/>
                <w:sz w:val="18"/>
                <w:szCs w:val="18"/>
                <w:color w:val="auto"/>
              </w:rPr>
              <w:t>Other</w:t>
            </w:r>
          </w:p>
        </w:tc>
        <w:tc>
          <w:tcPr>
            <w:tcW w:w="2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2,445</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29.8</w:t>
            </w:r>
          </w:p>
        </w:tc>
        <w:tc>
          <w:tcPr>
            <w:tcW w:w="0" w:type="dxa"/>
            <w:vAlign w:val="bottom"/>
          </w:tcPr>
          <w:p>
            <w:pPr>
              <w:spacing w:after="0"/>
              <w:rPr>
                <w:sz w:val="1"/>
                <w:szCs w:val="1"/>
                <w:color w:val="auto"/>
              </w:rPr>
            </w:pPr>
          </w:p>
        </w:tc>
      </w:tr>
      <w:tr>
        <w:trPr>
          <w:trHeight w:val="311"/>
        </w:trPr>
        <w:tc>
          <w:tcPr>
            <w:tcW w:w="5220" w:type="dxa"/>
            <w:vAlign w:val="bottom"/>
          </w:tcPr>
          <w:p>
            <w:pPr>
              <w:ind w:left="420"/>
              <w:spacing w:after="0"/>
              <w:rPr>
                <w:sz w:val="20"/>
                <w:szCs w:val="20"/>
                <w:color w:val="auto"/>
              </w:rPr>
            </w:pPr>
            <w:r>
              <w:rPr>
                <w:rFonts w:ascii="Courier New" w:cs="Courier New" w:eastAsia="Courier New" w:hAnsi="Courier New"/>
                <w:sz w:val="18"/>
                <w:szCs w:val="18"/>
                <w:color w:val="auto"/>
              </w:rPr>
              <w:t>Interest and other income, net</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188</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62.2</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6,145</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19,359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767.9</w:t>
            </w:r>
          </w:p>
        </w:tc>
        <w:tc>
          <w:tcPr>
            <w:tcW w:w="0" w:type="dxa"/>
            <w:vAlign w:val="bottom"/>
          </w:tcPr>
          <w:p>
            <w:pPr>
              <w:spacing w:after="0"/>
              <w:rPr>
                <w:sz w:val="1"/>
                <w:szCs w:val="1"/>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w:t>
            </w:r>
          </w:p>
        </w:tc>
        <w:tc>
          <w:tcPr>
            <w:tcW w:w="0" w:type="dxa"/>
            <w:vAlign w:val="bottom"/>
          </w:tcPr>
          <w:p>
            <w:pPr>
              <w:spacing w:after="0"/>
              <w:rPr>
                <w:sz w:val="1"/>
                <w:szCs w:val="1"/>
                <w:color w:val="auto"/>
              </w:rPr>
            </w:pPr>
          </w:p>
        </w:tc>
      </w:tr>
      <w:tr>
        <w:trPr>
          <w:trHeight w:val="203"/>
        </w:trPr>
        <w:tc>
          <w:tcPr>
            <w:tcW w:w="522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11,050.0%</w:t>
            </w:r>
          </w:p>
        </w:tc>
        <w:tc>
          <w:tcPr>
            <w:tcW w:w="0" w:type="dxa"/>
            <w:vAlign w:val="bottom"/>
          </w:tcPr>
          <w:p>
            <w:pPr>
              <w:spacing w:after="0"/>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$20,332</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2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220" w:type="dxa"/>
            <w:vAlign w:val="bottom"/>
          </w:tcPr>
          <w:p>
            <w:pPr>
              <w:ind w:left="3380"/>
              <w:spacing w:after="0"/>
              <w:rPr>
                <w:sz w:val="20"/>
                <w:szCs w:val="20"/>
                <w:color w:val="auto"/>
              </w:rPr>
            </w:pPr>
            <w:r>
              <w:rPr>
                <w:rFonts w:ascii="Courier New" w:cs="Courier New" w:eastAsia="Courier New" w:hAnsi="Courier New"/>
                <w:sz w:val="18"/>
                <w:szCs w:val="18"/>
                <w:color w:val="auto"/>
              </w:rPr>
              <w:t>10</w:t>
            </w: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right="2319" w:firstLine="421"/>
        <w:spacing w:after="0" w:line="273" w:lineRule="auto"/>
        <w:rPr>
          <w:sz w:val="20"/>
          <w:szCs w:val="20"/>
          <w:color w:val="auto"/>
        </w:rPr>
      </w:pPr>
      <w:r>
        <w:rPr>
          <w:rFonts w:ascii="Courier New" w:cs="Courier New" w:eastAsia="Courier New" w:hAnsi="Courier New"/>
          <w:sz w:val="18"/>
          <w:szCs w:val="18"/>
          <w:color w:val="auto"/>
        </w:rPr>
        <w:t>The following table presents, for the periods indicated, the percentage relationship that the various components of the Condensed Consolidated Statements of Operations bear to operating revenues:</w:t>
      </w:r>
    </w:p>
    <w:p>
      <w:pPr>
        <w:spacing w:after="0" w:line="200" w:lineRule="exact"/>
        <w:rPr>
          <w:sz w:val="20"/>
          <w:szCs w:val="20"/>
          <w:color w:val="auto"/>
        </w:rPr>
      </w:pPr>
    </w:p>
    <w:p>
      <w:pPr>
        <w:spacing w:after="0" w:line="28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342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34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3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2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2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30.6%</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31.9%</w:t>
            </w: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Disposal</w:t>
            </w:r>
          </w:p>
        </w:tc>
        <w:tc>
          <w:tcPr>
            <w:tcW w:w="2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Waste collection</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w:t>
            </w: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Transfer stations</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96"/>
        </w:trPr>
        <w:tc>
          <w:tcPr>
            <w:tcW w:w="54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2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440" w:type="dxa"/>
            <w:vAlign w:val="bottom"/>
            <w:vMerge w:val="continue"/>
          </w:tcPr>
          <w:p>
            <w:pPr>
              <w:spacing w:after="0"/>
              <w:rPr>
                <w:sz w:val="9"/>
                <w:szCs w:val="9"/>
                <w:color w:val="auto"/>
              </w:rPr>
            </w:pPr>
          </w:p>
        </w:tc>
        <w:tc>
          <w:tcPr>
            <w:tcW w:w="2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55.8</w:t>
            </w:r>
          </w:p>
        </w:tc>
        <w:tc>
          <w:tcPr>
            <w:tcW w:w="1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57.6</w:t>
            </w: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w:t>
            </w:r>
          </w:p>
        </w:tc>
        <w:tc>
          <w:tcPr>
            <w:tcW w:w="2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w:t>
            </w: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Unusual items</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87.8</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2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12.2</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2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5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Nonrecurring interest</w:t>
            </w:r>
          </w:p>
        </w:tc>
        <w:tc>
          <w:tcPr>
            <w:tcW w:w="2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w:t>
            </w:r>
          </w:p>
        </w:tc>
        <w:tc>
          <w:tcPr>
            <w:tcW w:w="2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c>
          <w:tcPr>
            <w:tcW w:w="0" w:type="dxa"/>
            <w:vAlign w:val="bottom"/>
          </w:tcPr>
          <w:p>
            <w:pPr>
              <w:spacing w:after="0"/>
              <w:rPr>
                <w:sz w:val="1"/>
                <w:szCs w:val="1"/>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and other income, net</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2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17.6</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54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2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2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MARCH 31, 1996 AND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Revenues</w:t>
      </w:r>
    </w:p>
    <w:p>
      <w:pPr>
        <w:spacing w:after="0" w:line="201" w:lineRule="exact"/>
        <w:rPr>
          <w:sz w:val="20"/>
          <w:szCs w:val="20"/>
          <w:color w:val="auto"/>
        </w:rPr>
      </w:pPr>
    </w:p>
    <w:p>
      <w:pPr>
        <w:ind w:right="1879" w:firstLine="421"/>
        <w:spacing w:after="0" w:line="246" w:lineRule="auto"/>
        <w:rPr>
          <w:sz w:val="20"/>
          <w:szCs w:val="20"/>
          <w:color w:val="auto"/>
        </w:rPr>
      </w:pPr>
      <w:r>
        <w:rPr>
          <w:rFonts w:ascii="Courier New" w:cs="Courier New" w:eastAsia="Courier New" w:hAnsi="Courier New"/>
          <w:sz w:val="18"/>
          <w:szCs w:val="18"/>
          <w:color w:val="auto"/>
        </w:rPr>
        <w:t>Operating revenues were $124,629,000 for the three months ended March 31, 1996, an increase of $23,387,000, or 23.1%, as compared to the corresponding period of 1995. The increase in operating revenues is attributable to the effect of acquisitions, less dispositions, and the growth in operating revenues from comparable operations, excluding the negative impact of severe weather conditions in certain market areas, and the decline in certain non-core businesses which do not provide a significant contribution to earnings. Acquisitions during 1996 and the effect of acquisitions made during 1995 accounted for an approximate 20% increase in operating revenues. Operating revenues from comparable disposal and collection operations increased approximately 1% due to price increases and approximately 9.1% due to volume increases, with the negative impact of the harsh weather conditions in 1996 and declines in other non-core revenues accounting for the remaining decrease of approximately 7%.</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Costs and Expenses</w:t>
      </w:r>
    </w:p>
    <w:p>
      <w:pPr>
        <w:spacing w:after="0" w:line="201" w:lineRule="exact"/>
        <w:rPr>
          <w:sz w:val="20"/>
          <w:szCs w:val="20"/>
          <w:color w:val="auto"/>
        </w:rPr>
      </w:pPr>
    </w:p>
    <w:p>
      <w:pPr>
        <w:ind w:right="1879" w:firstLine="421"/>
        <w:spacing w:after="0" w:line="289" w:lineRule="auto"/>
        <w:rPr>
          <w:sz w:val="20"/>
          <w:szCs w:val="20"/>
          <w:color w:val="auto"/>
        </w:rPr>
      </w:pPr>
      <w:r>
        <w:rPr>
          <w:rFonts w:ascii="Courier New" w:cs="Courier New" w:eastAsia="Courier New" w:hAnsi="Courier New"/>
          <w:sz w:val="16"/>
          <w:szCs w:val="16"/>
          <w:color w:val="auto"/>
        </w:rPr>
        <w:t>Operating costs and expenses increased $11,319,000, or 19.4%, for the three months ended March 31, 1996, as compared to the first quarter of 1995. The increase in operating costs and expenses in 1996 is primarily attributable to the impact of new business acquisitions, net of dispositions, made in 1995 and 1996 of $16,183,000. Offsetting the increase due to acquisitions is the effect of reduced operating costs and expenses of approximately $2,800,000 for the existing Chambers operations since the Company's merger with Chambers in June 1995, and the increased utilization of internal disposal from 50% in the first</w:t>
      </w:r>
    </w:p>
    <w:p>
      <w:pPr>
        <w:sectPr>
          <w:pgSz w:w="11900" w:h="16838" w:orient="portrait"/>
          <w:cols w:equalWidth="0" w:num="1">
            <w:col w:w="10219"/>
          </w:cols>
          <w:pgMar w:left="240" w:top="285" w:right="1440" w:bottom="0" w:gutter="0" w:footer="0" w:header="0"/>
        </w:sectPr>
      </w:pPr>
    </w:p>
    <w:bookmarkStart w:id="12" w:name="page13"/>
    <w:bookmarkEnd w:id="12"/>
    <w:p>
      <w:pPr>
        <w:ind w:right="1999"/>
        <w:spacing w:after="0" w:line="347" w:lineRule="auto"/>
        <w:rPr>
          <w:sz w:val="20"/>
          <w:szCs w:val="20"/>
          <w:color w:val="auto"/>
        </w:rPr>
      </w:pPr>
      <w:r>
        <w:rPr>
          <w:rFonts w:ascii="Courier New" w:cs="Courier New" w:eastAsia="Courier New" w:hAnsi="Courier New"/>
          <w:sz w:val="18"/>
          <w:szCs w:val="18"/>
          <w:color w:val="auto"/>
        </w:rPr>
        <w:t>quarter of 1995 to 53%, which equates to approximately $1,000,000 in decreased costs, for the corresponding period of 1996.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0"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8"/>
          <w:szCs w:val="18"/>
          <w:color w:val="auto"/>
        </w:rPr>
        <w:t>costs and expenses for other comparable operations decreased $1,064,000 due to the Company's ability to service internal growth without a proportionate increase in costs.</w:t>
      </w:r>
    </w:p>
    <w:p>
      <w:pPr>
        <w:spacing w:after="0" w:line="82" w:lineRule="exact"/>
        <w:rPr>
          <w:sz w:val="20"/>
          <w:szCs w:val="20"/>
          <w:color w:val="auto"/>
        </w:rPr>
      </w:pPr>
    </w:p>
    <w:p>
      <w:pPr>
        <w:ind w:right="1879" w:firstLine="421"/>
        <w:spacing w:after="0" w:line="285" w:lineRule="auto"/>
        <w:rPr>
          <w:sz w:val="20"/>
          <w:szCs w:val="20"/>
          <w:color w:val="auto"/>
        </w:rPr>
      </w:pPr>
      <w:r>
        <w:rPr>
          <w:rFonts w:ascii="Courier New" w:cs="Courier New" w:eastAsia="Courier New" w:hAnsi="Courier New"/>
          <w:sz w:val="16"/>
          <w:szCs w:val="16"/>
          <w:color w:val="auto"/>
        </w:rPr>
        <w:t>As a percentage of operating revenues, operating costs and expenses decreased from 57.6% in the first quarter of 1995 to 55.8% for the corresponding period in 1996. This decrease occurred for the reasons described above despite the effect of the change in the mix of operating revenues for services provided, which would generally result in an increase in the percentage of operating costs to operating revenues. Operating revenues for disposal operations decreased from 31.9% in the first quarter of 1995 to 30.6% for the corresponding period of 1996, which increases operating costs as a percentage of operating revenues since disposal operations generally have lower operating cost margins than collection and transfer station operations.</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and Administrative</w:t>
      </w:r>
    </w:p>
    <w:p>
      <w:pPr>
        <w:spacing w:after="0" w:line="201" w:lineRule="exact"/>
        <w:rPr>
          <w:sz w:val="20"/>
          <w:szCs w:val="20"/>
          <w:color w:val="auto"/>
        </w:rPr>
      </w:pPr>
    </w:p>
    <w:p>
      <w:pPr>
        <w:ind w:right="2199" w:firstLine="421"/>
        <w:spacing w:after="0" w:line="298" w:lineRule="auto"/>
        <w:rPr>
          <w:sz w:val="20"/>
          <w:szCs w:val="20"/>
          <w:color w:val="auto"/>
        </w:rPr>
      </w:pPr>
      <w:r>
        <w:rPr>
          <w:rFonts w:ascii="Courier New" w:cs="Courier New" w:eastAsia="Courier New" w:hAnsi="Courier New"/>
          <w:sz w:val="16"/>
          <w:szCs w:val="16"/>
          <w:color w:val="auto"/>
        </w:rPr>
        <w:t>General and administrative expenses decreased $2,348,000 for the three months ended March 31, 1996, compared to the first quarter of 1995, and were down as a percent of operating revenues. This is the result of the Company's ability to integrate new business acquisitions without a proportionate increase in general and administrative expenses and cost reductions as a result of the merger with Chambers consummated in June 1995.</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1" w:lineRule="exact"/>
        <w:rPr>
          <w:sz w:val="20"/>
          <w:szCs w:val="20"/>
          <w:color w:val="auto"/>
        </w:rPr>
      </w:pPr>
    </w:p>
    <w:p>
      <w:pPr>
        <w:ind w:right="2199" w:firstLine="421"/>
        <w:spacing w:after="0" w:line="298" w:lineRule="auto"/>
        <w:rPr>
          <w:sz w:val="20"/>
          <w:szCs w:val="20"/>
          <w:color w:val="auto"/>
        </w:rPr>
      </w:pPr>
      <w:r>
        <w:rPr>
          <w:rFonts w:ascii="Courier New" w:cs="Courier New" w:eastAsia="Courier New" w:hAnsi="Courier New"/>
          <w:sz w:val="16"/>
          <w:szCs w:val="16"/>
          <w:color w:val="auto"/>
        </w:rPr>
        <w:t>Depreciation and amortization increased $1,895,000 for the three months ended March 31, 1996, compared to the first quarter of 1995 due primarily to the acquisition of new businesses. As a percentage of operating revenues, depreciation and amortization decreased due to improved utilization of equipment through the internal volume growth in the collection and disposal operations without a corresponding increase in equipment and facilities.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Unusual Items</w:t>
      </w:r>
    </w:p>
    <w:p>
      <w:pPr>
        <w:spacing w:after="0" w:line="201" w:lineRule="exact"/>
        <w:rPr>
          <w:sz w:val="20"/>
          <w:szCs w:val="20"/>
          <w:color w:val="auto"/>
        </w:rPr>
      </w:pPr>
    </w:p>
    <w:p>
      <w:pPr>
        <w:ind w:right="2519" w:firstLine="421"/>
        <w:spacing w:after="0" w:line="292" w:lineRule="auto"/>
        <w:rPr>
          <w:sz w:val="20"/>
          <w:szCs w:val="20"/>
          <w:color w:val="auto"/>
        </w:rPr>
      </w:pPr>
      <w:r>
        <w:rPr>
          <w:rFonts w:ascii="Courier New" w:cs="Courier New" w:eastAsia="Courier New" w:hAnsi="Courier New"/>
          <w:sz w:val="18"/>
          <w:szCs w:val="18"/>
          <w:color w:val="auto"/>
        </w:rPr>
        <w:t>In 1995, the unusual items include $693,000 of severance and other termination benefits paid to former Chambers employees in connection with its pre-merger reorganization.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from Operations</w:t>
      </w:r>
    </w:p>
    <w:p>
      <w:pPr>
        <w:spacing w:after="0" w:line="201" w:lineRule="exact"/>
        <w:rPr>
          <w:sz w:val="20"/>
          <w:szCs w:val="20"/>
          <w:color w:val="auto"/>
        </w:rPr>
      </w:pPr>
    </w:p>
    <w:p>
      <w:pPr>
        <w:ind w:right="1879" w:firstLine="421"/>
        <w:spacing w:after="0" w:line="265" w:lineRule="auto"/>
        <w:rPr>
          <w:sz w:val="20"/>
          <w:szCs w:val="20"/>
          <w:color w:val="auto"/>
        </w:rPr>
      </w:pPr>
      <w:r>
        <w:rPr>
          <w:rFonts w:ascii="Courier New" w:cs="Courier New" w:eastAsia="Courier New" w:hAnsi="Courier New"/>
          <w:sz w:val="18"/>
          <w:szCs w:val="18"/>
          <w:color w:val="auto"/>
        </w:rPr>
        <w:t>For reasons discussed above, income from operations as a percent of operating revenues in the first quarter of 1996 was 20.6% as compared to 12.2% as in the first quarter of 1995. The improvement in recurring operations is the result of economies of scale realized by the Company with respect to recent acquisitions and improvements in comparative operations.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and Expense</w:t>
      </w:r>
    </w:p>
    <w:p>
      <w:pPr>
        <w:spacing w:after="0" w:line="201" w:lineRule="exact"/>
        <w:rPr>
          <w:sz w:val="20"/>
          <w:szCs w:val="20"/>
          <w:color w:val="auto"/>
        </w:rPr>
      </w:pPr>
    </w:p>
    <w:p>
      <w:pPr>
        <w:ind w:right="1879" w:firstLine="421"/>
        <w:spacing w:after="0" w:line="287" w:lineRule="auto"/>
        <w:rPr>
          <w:sz w:val="20"/>
          <w:szCs w:val="20"/>
          <w:color w:val="auto"/>
        </w:rPr>
      </w:pPr>
      <w:r>
        <w:rPr>
          <w:rFonts w:ascii="Courier New" w:cs="Courier New" w:eastAsia="Courier New" w:hAnsi="Courier New"/>
          <w:sz w:val="16"/>
          <w:szCs w:val="16"/>
          <w:color w:val="auto"/>
        </w:rPr>
        <w:t>Other income and expense consists of interest expense, interest income, and other income. Interest expense, gross of amounts capitalized, decreased as a result of an overall reduction in indebtedness and the refinancing of Chambers pre-merger indebtedness and the Company's existing indebtedness to lower rates at June 30, 1995. In addition, $3,512,000 of nonrecurring interest was incurred during the three months ended March 31, 1995, relating to extension fees and other charges associated with the aforementioned debt refinancing by Chambers. Capitalized interest for the first quarter of 1996 was approximately $1,573,000 as compared to $1,258,000 in the first quarter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 for Income Taxes</w:t>
      </w:r>
    </w:p>
    <w:p>
      <w:pPr>
        <w:spacing w:after="0" w:line="169" w:lineRule="exact"/>
        <w:rPr>
          <w:sz w:val="20"/>
          <w:szCs w:val="20"/>
          <w:color w:val="auto"/>
        </w:rPr>
      </w:pPr>
    </w:p>
    <w:p>
      <w:pPr>
        <w:ind w:right="2199" w:firstLine="421"/>
        <w:spacing w:after="0" w:line="256" w:lineRule="auto"/>
        <w:rPr>
          <w:sz w:val="20"/>
          <w:szCs w:val="20"/>
          <w:color w:val="auto"/>
        </w:rPr>
      </w:pPr>
      <w:r>
        <w:rPr>
          <w:rFonts w:ascii="Courier New" w:cs="Courier New" w:eastAsia="Courier New" w:hAnsi="Courier New"/>
          <w:sz w:val="18"/>
          <w:szCs w:val="18"/>
          <w:color w:val="auto"/>
        </w:rPr>
        <w:t>The provision for income taxes decreased $973,000 for the three months ended March 31, 1996, as compared to the corresponding period of 1995. The 1995 provision for income taxes represents current income taxes of USA Waste and Chambers on a separate basis. The decrease in the provision for income taxes in 1996 is the result of the change in the valuation allowance and corresponding recognition of the benefit for a portion of the Company's net deferred tax asset.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w:t>
      </w:r>
    </w:p>
    <w:p>
      <w:pPr>
        <w:spacing w:after="0" w:line="201" w:lineRule="exact"/>
        <w:rPr>
          <w:sz w:val="20"/>
          <w:szCs w:val="20"/>
          <w:color w:val="auto"/>
        </w:rPr>
      </w:pPr>
    </w:p>
    <w:p>
      <w:pPr>
        <w:jc w:val="both"/>
        <w:ind w:right="2099" w:firstLine="421"/>
        <w:spacing w:after="0" w:line="292" w:lineRule="auto"/>
        <w:rPr>
          <w:sz w:val="20"/>
          <w:szCs w:val="20"/>
          <w:color w:val="auto"/>
        </w:rPr>
      </w:pPr>
      <w:r>
        <w:rPr>
          <w:rFonts w:ascii="Courier New" w:cs="Courier New" w:eastAsia="Courier New" w:hAnsi="Courier New"/>
          <w:sz w:val="18"/>
          <w:szCs w:val="18"/>
          <w:color w:val="auto"/>
        </w:rPr>
        <w:t>For the reasons discussed above, net income increased $20,332,000 during the three months ended March 31, 1996 as compared to the corresponding period of 1995.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879" w:firstLine="421"/>
        <w:spacing w:after="0" w:line="249" w:lineRule="auto"/>
        <w:rPr>
          <w:sz w:val="20"/>
          <w:szCs w:val="20"/>
          <w:color w:val="auto"/>
        </w:rPr>
      </w:pPr>
      <w:r>
        <w:rPr>
          <w:rFonts w:ascii="Courier New" w:cs="Courier New" w:eastAsia="Courier New" w:hAnsi="Courier New"/>
          <w:sz w:val="18"/>
          <w:szCs w:val="18"/>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and hauling operations, and (iii) business acquisitions. The Company's strategy is to meet these capital needs first from internally generated funds and secondly from various financing sources available to the Company, including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As of March 31, 1996, the Company had working capital of $31,381,000 (a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current assets to current liabilities of 1.31:1) and a cash balance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$16,591,000, which compares to working capital of $14,879,000 (a ratio of</w:t>
      </w:r>
    </w:p>
    <w:p>
      <w:pPr>
        <w:spacing w:after="0" w:line="238" w:lineRule="auto"/>
        <w:rPr>
          <w:sz w:val="20"/>
          <w:szCs w:val="20"/>
          <w:color w:val="auto"/>
        </w:rPr>
      </w:pPr>
      <w:r>
        <w:rPr>
          <w:rFonts w:ascii="Courier New" w:cs="Courier New" w:eastAsia="Courier New" w:hAnsi="Courier New"/>
          <w:sz w:val="18"/>
          <w:szCs w:val="18"/>
          <w:color w:val="auto"/>
        </w:rPr>
        <w:t>current assets to current liabilities of 1.14:1) and a cash balance of</w:t>
      </w:r>
    </w:p>
    <w:p>
      <w:pPr>
        <w:spacing w:after="0"/>
        <w:tabs>
          <w:tab w:leader="none" w:pos="4000" w:val="left"/>
        </w:tabs>
        <w:rPr>
          <w:sz w:val="20"/>
          <w:szCs w:val="20"/>
          <w:color w:val="auto"/>
        </w:rPr>
      </w:pPr>
      <w:r>
        <w:rPr>
          <w:rFonts w:ascii="Courier New" w:cs="Courier New" w:eastAsia="Courier New" w:hAnsi="Courier New"/>
          <w:sz w:val="18"/>
          <w:szCs w:val="18"/>
          <w:color w:val="auto"/>
        </w:rPr>
        <w:t>$13,164,000 as of December 31, 1995.</w:t>
      </w:r>
      <w:r>
        <w:rPr>
          <w:sz w:val="20"/>
          <w:szCs w:val="20"/>
          <w:color w:val="auto"/>
        </w:rPr>
        <w:tab/>
      </w:r>
      <w:r>
        <w:rPr>
          <w:rFonts w:ascii="Courier New" w:cs="Courier New" w:eastAsia="Courier New" w:hAnsi="Courier New"/>
          <w:sz w:val="16"/>
          <w:szCs w:val="16"/>
          <w:color w:val="auto"/>
        </w:rPr>
        <w:t>During the first three months of 1996,</w:t>
      </w:r>
    </w:p>
    <w:p>
      <w:pPr>
        <w:spacing w:after="0"/>
        <w:rPr>
          <w:sz w:val="20"/>
          <w:szCs w:val="20"/>
          <w:color w:val="auto"/>
        </w:rPr>
      </w:pPr>
      <w:r>
        <w:rPr>
          <w:rFonts w:ascii="Courier New" w:cs="Courier New" w:eastAsia="Courier New" w:hAnsi="Courier New"/>
          <w:sz w:val="16"/>
          <w:szCs w:val="16"/>
          <w:color w:val="auto"/>
        </w:rPr>
        <w:t>the Company received net cash from operations of $14,431,000, and received net</w:t>
      </w:r>
    </w:p>
    <w:p>
      <w:pPr>
        <w:spacing w:after="0" w:line="20"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cash from financing activities of $22,289,000.</w:t>
      </w:r>
      <w:r>
        <w:rPr>
          <w:sz w:val="20"/>
          <w:szCs w:val="20"/>
          <w:color w:val="auto"/>
        </w:rPr>
        <w:tab/>
      </w:r>
      <w:r>
        <w:rPr>
          <w:rFonts w:ascii="Courier New" w:cs="Courier New" w:eastAsia="Courier New" w:hAnsi="Courier New"/>
          <w:sz w:val="16"/>
          <w:szCs w:val="16"/>
          <w:color w:val="auto"/>
        </w:rPr>
        <w:t>These funds were used primarily</w:t>
      </w:r>
    </w:p>
    <w:p>
      <w:pPr>
        <w:spacing w:after="0" w:line="238" w:lineRule="auto"/>
        <w:rPr>
          <w:sz w:val="20"/>
          <w:szCs w:val="20"/>
          <w:color w:val="auto"/>
        </w:rPr>
      </w:pPr>
      <w:r>
        <w:rPr>
          <w:rFonts w:ascii="Courier New" w:cs="Courier New" w:eastAsia="Courier New" w:hAnsi="Courier New"/>
          <w:sz w:val="18"/>
          <w:szCs w:val="18"/>
          <w:color w:val="auto"/>
        </w:rPr>
        <w:t>to fund investments in other businesses of $12,246,000 and for capital</w:t>
      </w:r>
    </w:p>
    <w:p>
      <w:pPr>
        <w:spacing w:after="0"/>
        <w:rPr>
          <w:sz w:val="20"/>
          <w:szCs w:val="20"/>
          <w:color w:val="auto"/>
        </w:rPr>
      </w:pPr>
      <w:r>
        <w:rPr>
          <w:rFonts w:ascii="Courier New" w:cs="Courier New" w:eastAsia="Courier New" w:hAnsi="Courier New"/>
          <w:sz w:val="18"/>
          <w:szCs w:val="18"/>
          <w:color w:val="auto"/>
        </w:rPr>
        <w:t>expenditures of approximately $14,680,000.</w:t>
      </w:r>
    </w:p>
    <w:p>
      <w:pPr>
        <w:spacing w:after="0" w:line="169" w:lineRule="exact"/>
        <w:rPr>
          <w:sz w:val="20"/>
          <w:szCs w:val="20"/>
          <w:color w:val="auto"/>
        </w:rPr>
      </w:pPr>
    </w:p>
    <w:p>
      <w:pPr>
        <w:ind w:right="1999" w:firstLine="421"/>
        <w:spacing w:after="0" w:line="291" w:lineRule="auto"/>
        <w:rPr>
          <w:sz w:val="20"/>
          <w:szCs w:val="20"/>
          <w:color w:val="auto"/>
        </w:rPr>
      </w:pPr>
      <w:r>
        <w:rPr>
          <w:rFonts w:ascii="Courier New" w:cs="Courier New" w:eastAsia="Courier New" w:hAnsi="Courier New"/>
          <w:sz w:val="16"/>
          <w:szCs w:val="16"/>
          <w:color w:val="auto"/>
        </w:rPr>
        <w:t>The Company's capital expenditure and working capital requirements have increased reflecting the Company's business strategy of growth through acquisitions and development projects. The Company's budgeted cash requirements for the remainder of 1996 include estimated capital expenditures of approximately $75,000,000. The Company intends to finance the remainder of its 1996 capital requirements through internally generated cash flow and amounts available under its revolving credit facility. At March 31, 1996, the available line of credit for cash borrowings was $93,875,000.</w:t>
      </w:r>
    </w:p>
    <w:p>
      <w:pPr>
        <w:spacing w:after="0" w:line="285" w:lineRule="exact"/>
        <w:rPr>
          <w:sz w:val="20"/>
          <w:szCs w:val="20"/>
          <w:color w:val="auto"/>
        </w:rPr>
      </w:pPr>
    </w:p>
    <w:p>
      <w:pPr>
        <w:ind w:right="1999" w:firstLine="421"/>
        <w:spacing w:after="0" w:line="247" w:lineRule="auto"/>
        <w:rPr>
          <w:sz w:val="20"/>
          <w:szCs w:val="20"/>
          <w:color w:val="auto"/>
        </w:rPr>
      </w:pPr>
      <w:r>
        <w:rPr>
          <w:rFonts w:ascii="Courier New" w:cs="Courier New" w:eastAsia="Courier New" w:hAnsi="Courier New"/>
          <w:sz w:val="18"/>
          <w:szCs w:val="18"/>
          <w:color w:val="auto"/>
        </w:rPr>
        <w:t>On May 7, 1996, in connection with the acquisition of Western, the Company replaced its existing credit facility with a $750,000,000 senior revolving credit facility ("Credit Facility"). The Credit Facility will be used to refinance existing bank loans and letters of credit as well as fund additional acquisitions and working capital. The Credit Facility will be available for standby letters of credit up to $300,000,000. Loans under the Credit Facility bear interest at a rate based on the Eurodollar rate plus a spread not to exceed 0.75% per annum (spread initially set at 0.405% per annum). The Credit Facility requires a facility fee not to exceed 0.38% per annum on the entire available credit facility (facility fee initially set at 0.22% per annum). The Company's liquidity will be enhanced by the Credit Facility as the financial covenants are less restrictive and principal reductions are not required for a three year period.</w:t>
      </w:r>
    </w:p>
    <w:p>
      <w:pPr>
        <w:spacing w:after="0" w:line="108" w:lineRule="exact"/>
        <w:rPr>
          <w:sz w:val="20"/>
          <w:szCs w:val="20"/>
          <w:color w:val="auto"/>
        </w:rPr>
      </w:pPr>
    </w:p>
    <w:p>
      <w:pPr>
        <w:ind w:right="2099" w:firstLine="421"/>
        <w:spacing w:after="0" w:line="253" w:lineRule="auto"/>
        <w:rPr>
          <w:sz w:val="20"/>
          <w:szCs w:val="20"/>
          <w:color w:val="auto"/>
        </w:rPr>
      </w:pPr>
      <w:r>
        <w:rPr>
          <w:rFonts w:ascii="Courier New" w:cs="Courier New" w:eastAsia="Courier New" w:hAnsi="Courier New"/>
          <w:sz w:val="18"/>
          <w:szCs w:val="18"/>
          <w:color w:val="auto"/>
        </w:rPr>
        <w:t>The Company's business plan is to grow through acquisitions as well as development projects. The Company has issued equity securities in business acquisitions where appropriate and expects to do so in the future. Furthermore, the Company's future growth will depend greatly upon its ability to raise additional capital. Management believes that it can arrange the necessary financing required to accomplish its business plan; however, to the extent the Company is not successful in its future financing strategies the Company's growth could be limited.</w:t>
      </w:r>
    </w:p>
    <w:p>
      <w:pPr>
        <w:sectPr>
          <w:pgSz w:w="11900" w:h="16838" w:orient="portrait"/>
          <w:cols w:equalWidth="0" w:num="1">
            <w:col w:w="10219"/>
          </w:cols>
          <w:pgMar w:left="240" w:top="285" w:right="14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85" w:right="1440" w:bottom="6"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ind w:right="1879" w:firstLine="421"/>
        <w:spacing w:after="0" w:line="246" w:lineRule="auto"/>
        <w:rPr>
          <w:sz w:val="20"/>
          <w:szCs w:val="20"/>
          <w:color w:val="auto"/>
        </w:rPr>
      </w:pPr>
      <w:r>
        <w:rPr>
          <w:rFonts w:ascii="Courier New" w:cs="Courier New" w:eastAsia="Courier New" w:hAnsi="Courier New"/>
          <w:sz w:val="18"/>
          <w:szCs w:val="18"/>
          <w:color w:val="auto"/>
        </w:rPr>
        <w:t>The Company recently entered the New York City solid waste market on April 17, 1996, upon acquiring certain collection and paper processing operations of Barretti Carting Corp. and related entities for approximately $15,000,000 in cash. The Company has not yet closed on a related New York City transfer station pending the receipt of proper permits and government approvals. Upon receipt of such approvals the Company would be obligated to acquire these assets for approximately $16,000,000 in cash. The Company regularly engages in discussions relating to potential acquisitions and has identified several possible acquisition opportunities. The Company may announce acquisition transactions at any time.</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1" w:lineRule="exact"/>
        <w:rPr>
          <w:sz w:val="20"/>
          <w:szCs w:val="20"/>
          <w:color w:val="auto"/>
        </w:rPr>
      </w:pPr>
    </w:p>
    <w:p>
      <w:pPr>
        <w:ind w:right="1999" w:firstLine="421"/>
        <w:spacing w:after="0" w:line="285" w:lineRule="auto"/>
        <w:rPr>
          <w:sz w:val="20"/>
          <w:szCs w:val="20"/>
          <w:color w:val="auto"/>
        </w:rPr>
      </w:pPr>
      <w:r>
        <w:rPr>
          <w:rFonts w:ascii="Courier New" w:cs="Courier New" w:eastAsia="Courier New" w:hAnsi="Courier New"/>
          <w:sz w:val="16"/>
          <w:szCs w:val="16"/>
          <w:color w:val="auto"/>
        </w:rPr>
        <w:t>Because the volumes of certain types of waste, such as yard clippings and construction debris, tend to be higher in the spring and summer, the Company experiences seasonal variations in its revenues. As a result, during spring and summer, the Company's revenues tend to be higher than its revenues in fall and winter. In addition, during the winter, harsh weather conditions often temporarily affect the Company's ability to collect, transport, and dispose of waste, as experienced by certain operating locations in the first quarter of 1996. The seasonal impact is often offset by revenues added through acquisitions such that the Company's reported revenues have historically reflected increases in period to period comparisons.</w:t>
      </w:r>
    </w:p>
    <w:p>
      <w:pPr>
        <w:spacing w:after="0" w:line="76" w:lineRule="exact"/>
        <w:rPr>
          <w:sz w:val="20"/>
          <w:szCs w:val="20"/>
          <w:color w:val="auto"/>
        </w:rPr>
      </w:pPr>
    </w:p>
    <w:p>
      <w:pPr>
        <w:ind w:right="2099" w:firstLine="421"/>
        <w:spacing w:after="0" w:line="292" w:lineRule="auto"/>
        <w:rPr>
          <w:sz w:val="20"/>
          <w:szCs w:val="20"/>
          <w:color w:val="auto"/>
        </w:rPr>
      </w:pPr>
      <w:r>
        <w:rPr>
          <w:rFonts w:ascii="Courier New" w:cs="Courier New" w:eastAsia="Courier New" w:hAnsi="Courier New"/>
          <w:sz w:val="18"/>
          <w:szCs w:val="18"/>
          <w:color w:val="auto"/>
        </w:rPr>
        <w:t>The Company believes that inflation and changing prices have not had, and are not expected to have, any material adverse effect on the results of operations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15</w:t>
      </w:r>
    </w:p>
    <w:p>
      <w:pPr>
        <w:spacing w:after="0" w:line="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right="2099" w:firstLine="421"/>
        <w:spacing w:after="0" w:line="246" w:lineRule="auto"/>
        <w:rPr>
          <w:sz w:val="20"/>
          <w:szCs w:val="20"/>
          <w:color w:val="auto"/>
        </w:rPr>
      </w:pPr>
      <w:r>
        <w:rPr>
          <w:rFonts w:ascii="Courier New" w:cs="Courier New" w:eastAsia="Courier New" w:hAnsi="Courier New"/>
          <w:sz w:val="18"/>
          <w:szCs w:val="18"/>
          <w:color w:val="auto"/>
        </w:rPr>
        <w:t>The Company is a party to various litigation matters arising in the ordinary course of business. Management believes that the ultimate resolution of these matters will not have a material adverse impact on the Company's financial condition.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The Company also may be subject to claims for personal injury or property damage arising out of accidents involving its vehicles.</w:t>
      </w:r>
    </w:p>
    <w:p>
      <w:pPr>
        <w:spacing w:after="0" w:line="113"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Discovery has been completed and a pretrial conference is scheduled for May 17, 1996. Plaintiffs filed a motion for summary judgment which is untimely under the court's case management. The court has stayed responses to the motion for summary judgment. In response to discovery on damages, the plaintiffs reduced their damages claim to $433,000 in alleged losses, plus interest and attorneys' fees, for a total damage claim of $658,000, as of August 21, 1995. The Company intends to continue to vigorously defend against this action. Management of the Company believes the ultimate resolution of such complaint will not have a material adverse effect on the Company's financial position or results of operations.</w:t>
      </w:r>
    </w:p>
    <w:p>
      <w:pPr>
        <w:spacing w:after="0" w:line="200" w:lineRule="exact"/>
        <w:rPr>
          <w:sz w:val="20"/>
          <w:szCs w:val="20"/>
          <w:color w:val="auto"/>
        </w:rPr>
      </w:pPr>
    </w:p>
    <w:p>
      <w:pPr>
        <w:spacing w:after="0" w:line="295" w:lineRule="exact"/>
        <w:rPr>
          <w:sz w:val="20"/>
          <w:szCs w:val="20"/>
          <w:color w:val="auto"/>
        </w:rPr>
      </w:pPr>
    </w:p>
    <w:p>
      <w:pPr>
        <w:ind w:right="1879" w:firstLine="421"/>
        <w:spacing w:after="0" w:line="244" w:lineRule="auto"/>
        <w:rPr>
          <w:sz w:val="20"/>
          <w:szCs w:val="20"/>
          <w:color w:val="auto"/>
        </w:rPr>
      </w:pPr>
      <w:r>
        <w:rPr>
          <w:rFonts w:ascii="Courier New" w:cs="Courier New" w:eastAsia="Courier New" w:hAnsi="Courier New"/>
          <w:sz w:val="18"/>
          <w:szCs w:val="18"/>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1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or about February 1, 1996, an action was filed in the Circuit Court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Cook County, Illinois, captioned Allabastro v. USA Waste Services, Inc., Action</w:t>
      </w:r>
    </w:p>
    <w:p>
      <w:pPr>
        <w:spacing w:after="0" w:line="2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No. 96L01165.</w:t>
      </w:r>
      <w:r>
        <w:rPr>
          <w:sz w:val="20"/>
          <w:szCs w:val="20"/>
          <w:color w:val="auto"/>
        </w:rPr>
        <w:tab/>
      </w:r>
      <w:r>
        <w:rPr>
          <w:rFonts w:ascii="Courier New" w:cs="Courier New" w:eastAsia="Courier New" w:hAnsi="Courier New"/>
          <w:sz w:val="16"/>
          <w:szCs w:val="16"/>
          <w:color w:val="auto"/>
        </w:rPr>
        <w:t>The case was subsequently removed to the United States District</w:t>
      </w:r>
    </w:p>
    <w:p>
      <w:pPr>
        <w:spacing w:after="0"/>
        <w:tabs>
          <w:tab w:leader="none" w:pos="7260" w:val="left"/>
        </w:tabs>
        <w:rPr>
          <w:sz w:val="20"/>
          <w:szCs w:val="20"/>
          <w:color w:val="auto"/>
        </w:rPr>
      </w:pPr>
      <w:r>
        <w:rPr>
          <w:rFonts w:ascii="Courier New" w:cs="Courier New" w:eastAsia="Courier New" w:hAnsi="Courier New"/>
          <w:sz w:val="18"/>
          <w:szCs w:val="18"/>
          <w:color w:val="auto"/>
        </w:rPr>
        <w:t>Court for the Northern District of Illinois, Action No. 96-CV-1336.</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plaintiff alleges to have entered into an oral agreement with the Company for</w:t>
      </w:r>
    </w:p>
    <w:p>
      <w:pPr>
        <w:spacing w:after="0" w:line="238" w:lineRule="auto"/>
        <w:rPr>
          <w:sz w:val="20"/>
          <w:szCs w:val="20"/>
          <w:color w:val="auto"/>
        </w:rPr>
      </w:pPr>
      <w:r>
        <w:rPr>
          <w:rFonts w:ascii="Courier New" w:cs="Courier New" w:eastAsia="Courier New" w:hAnsi="Courier New"/>
          <w:sz w:val="18"/>
          <w:szCs w:val="18"/>
          <w:color w:val="auto"/>
        </w:rPr>
        <w:t>brokerage services and is demanding a fee of $950,000 based on the alleged</w:t>
      </w:r>
    </w:p>
    <w:p>
      <w:pPr>
        <w:spacing w:after="0"/>
        <w:rPr>
          <w:sz w:val="20"/>
          <w:szCs w:val="20"/>
          <w:color w:val="auto"/>
        </w:rPr>
      </w:pPr>
      <w:r>
        <w:rPr>
          <w:rFonts w:ascii="Courier New" w:cs="Courier New" w:eastAsia="Courier New" w:hAnsi="Courier New"/>
          <w:sz w:val="16"/>
          <w:szCs w:val="16"/>
          <w:color w:val="auto"/>
        </w:rPr>
        <w:t>contract and on common law for acting as a broker/advisor to the Company in its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1993 purchase of an Indiana landfill and hauling operation from Chambers.</w:t>
      </w:r>
    </w:p>
    <w:p>
      <w:pPr>
        <w:spacing w:after="0" w:line="238" w:lineRule="auto"/>
        <w:rPr>
          <w:sz w:val="20"/>
          <w:szCs w:val="20"/>
          <w:color w:val="auto"/>
        </w:rPr>
      </w:pPr>
      <w:r>
        <w:rPr>
          <w:rFonts w:ascii="Courier New" w:cs="Courier New" w:eastAsia="Courier New" w:hAnsi="Courier New"/>
          <w:sz w:val="18"/>
          <w:szCs w:val="18"/>
          <w:color w:val="auto"/>
        </w:rPr>
        <w:t>Based on the same facts, the plaintiff is also demanding an additional</w:t>
      </w:r>
    </w:p>
    <w:p>
      <w:pPr>
        <w:spacing w:after="0"/>
        <w:rPr>
          <w:sz w:val="20"/>
          <w:szCs w:val="20"/>
          <w:color w:val="auto"/>
        </w:rPr>
      </w:pPr>
      <w:r>
        <w:rPr>
          <w:rFonts w:ascii="Courier New" w:cs="Courier New" w:eastAsia="Courier New" w:hAnsi="Courier New"/>
          <w:sz w:val="18"/>
          <w:szCs w:val="18"/>
          <w:color w:val="auto"/>
        </w:rPr>
        <w:t>$36,250,000 fee in connection with the June 1995 merger of Chambers with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The plaintiff is also seeking unspecified damages for acting as a</w:t>
      </w:r>
    </w:p>
    <w:p>
      <w:pPr>
        <w:spacing w:after="0"/>
        <w:rPr>
          <w:sz w:val="20"/>
          <w:szCs w:val="20"/>
          <w:color w:val="auto"/>
        </w:rPr>
      </w:pPr>
      <w:r>
        <w:rPr>
          <w:rFonts w:ascii="Courier New" w:cs="Courier New" w:eastAsia="Courier New" w:hAnsi="Courier New"/>
          <w:sz w:val="18"/>
          <w:szCs w:val="18"/>
          <w:color w:val="auto"/>
        </w:rPr>
        <w:t>management advisor to the Company in its procurement of a landfill</w:t>
      </w:r>
    </w:p>
    <w:p>
      <w:pPr>
        <w:spacing w:after="0"/>
        <w:tabs>
          <w:tab w:leader="none" w:pos="6420" w:val="left"/>
        </w:tabs>
        <w:rPr>
          <w:sz w:val="20"/>
          <w:szCs w:val="20"/>
          <w:color w:val="auto"/>
        </w:rPr>
      </w:pPr>
      <w:r>
        <w:rPr>
          <w:rFonts w:ascii="Courier New" w:cs="Courier New" w:eastAsia="Courier New" w:hAnsi="Courier New"/>
          <w:sz w:val="18"/>
          <w:szCs w:val="18"/>
          <w:color w:val="auto"/>
        </w:rPr>
        <w:t>renovation/operation contract in Charleston, West Virginia.</w:t>
      </w:r>
      <w:r>
        <w:rPr>
          <w:sz w:val="20"/>
          <w:szCs w:val="20"/>
          <w:color w:val="auto"/>
        </w:rPr>
        <w:tab/>
      </w:r>
      <w:r>
        <w:rPr>
          <w:rFonts w:ascii="Courier New" w:cs="Courier New" w:eastAsia="Courier New" w:hAnsi="Courier New"/>
          <w:sz w:val="16"/>
          <w:szCs w:val="16"/>
          <w:color w:val="auto"/>
        </w:rPr>
        <w:t>Interest and other</w:t>
      </w:r>
    </w:p>
    <w:p>
      <w:pPr>
        <w:spacing w:after="0"/>
        <w:tabs>
          <w:tab w:leader="none" w:pos="2720" w:val="left"/>
          <w:tab w:leader="none" w:pos="7680" w:val="left"/>
        </w:tabs>
        <w:rPr>
          <w:sz w:val="20"/>
          <w:szCs w:val="20"/>
          <w:color w:val="auto"/>
        </w:rPr>
      </w:pPr>
      <w:r>
        <w:rPr>
          <w:rFonts w:ascii="Courier New" w:cs="Courier New" w:eastAsia="Courier New" w:hAnsi="Courier New"/>
          <w:sz w:val="18"/>
          <w:szCs w:val="18"/>
          <w:color w:val="auto"/>
        </w:rPr>
        <w:t>costs are also demanded.</w:t>
        <w:tab/>
        <w:t>The case is in the early stages of discovery.</w:t>
      </w:r>
      <w:r>
        <w:rPr>
          <w:sz w:val="20"/>
          <w:szCs w:val="20"/>
          <w:color w:val="auto"/>
        </w:rPr>
        <w:tab/>
      </w:r>
      <w:r>
        <w:rPr>
          <w:rFonts w:ascii="Courier New" w:cs="Courier New" w:eastAsia="Courier New" w:hAnsi="Courier New"/>
          <w:sz w:val="16"/>
          <w:szCs w:val="16"/>
          <w:color w:val="auto"/>
        </w:rPr>
        <w:t>The</w:t>
      </w:r>
    </w:p>
    <w:p>
      <w:pPr>
        <w:sectPr>
          <w:pgSz w:w="11900" w:h="16838" w:orient="portrait"/>
          <w:cols w:equalWidth="0" w:num="1">
            <w:col w:w="10219"/>
          </w:cols>
          <w:pgMar w:left="240" w:top="285" w:right="1440" w:bottom="154" w:gutter="0" w:footer="0" w:header="0"/>
        </w:sectPr>
      </w:pPr>
    </w:p>
    <w:bookmarkStart w:id="17" w:name="page18"/>
    <w:bookmarkEnd w:id="17"/>
    <w:p>
      <w:pPr>
        <w:ind w:left="2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718"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16</w:t>
      </w:r>
    </w:p>
    <w:p>
      <w:pPr>
        <w:spacing w:after="0" w:line="31" w:lineRule="exact"/>
        <w:rPr>
          <w:sz w:val="20"/>
          <w:szCs w:val="20"/>
          <w:color w:val="auto"/>
        </w:rPr>
      </w:pPr>
    </w:p>
    <w:p>
      <w:pPr>
        <w:ind w:right="2099"/>
        <w:spacing w:after="0" w:line="262" w:lineRule="auto"/>
        <w:rPr>
          <w:sz w:val="20"/>
          <w:szCs w:val="20"/>
          <w:color w:val="auto"/>
        </w:rPr>
      </w:pPr>
      <w:r>
        <w:rPr>
          <w:rFonts w:ascii="Courier New" w:cs="Courier New" w:eastAsia="Courier New" w:hAnsi="Courier New"/>
          <w:sz w:val="18"/>
          <w:szCs w:val="18"/>
          <w:color w:val="auto"/>
        </w:rPr>
        <w:t>Company has filed its answer and intends to vigorously defend against this action, and management believes the ultimate resolution of this suit will not have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spacing w:after="0" w:line="204" w:lineRule="exact"/>
        <w:rPr>
          <w:sz w:val="20"/>
          <w:szCs w:val="20"/>
          <w:color w:val="auto"/>
        </w:rPr>
      </w:pPr>
    </w:p>
    <w:p>
      <w:pPr>
        <w:ind w:right="2199" w:firstLine="421"/>
        <w:spacing w:after="0" w:line="347" w:lineRule="auto"/>
        <w:rPr>
          <w:sz w:val="20"/>
          <w:szCs w:val="20"/>
          <w:color w:val="auto"/>
        </w:rPr>
      </w:pPr>
      <w:r>
        <w:rPr>
          <w:rFonts w:ascii="Courier New" w:cs="Courier New" w:eastAsia="Courier New" w:hAnsi="Courier New"/>
          <w:sz w:val="18"/>
          <w:szCs w:val="18"/>
          <w:color w:val="auto"/>
        </w:rPr>
        <w:t>No matters were submitted to a vote of the Company's stockholders during the first quarter of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18</w:t>
      </w:r>
    </w:p>
    <w:p>
      <w:pPr>
        <w:spacing w:after="0" w:line="3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372" w:lineRule="exact"/>
        <w:rPr>
          <w:sz w:val="20"/>
          <w:szCs w:val="20"/>
          <w:color w:val="auto"/>
        </w:rPr>
      </w:pPr>
    </w:p>
    <w:p>
      <w:pPr>
        <w:ind w:right="2960" w:firstLine="421"/>
        <w:spacing w:after="0" w:line="252" w:lineRule="auto"/>
        <w:rPr>
          <w:sz w:val="20"/>
          <w:szCs w:val="20"/>
          <w:color w:val="auto"/>
        </w:rPr>
      </w:pPr>
      <w:r>
        <w:rPr>
          <w:rFonts w:ascii="Courier New" w:cs="Courier New" w:eastAsia="Courier New" w:hAnsi="Courier New"/>
          <w:sz w:val="18"/>
          <w:szCs w:val="18"/>
          <w:color w:val="auto"/>
        </w:rPr>
        <w:t>The following supplemental condensed consolidated balance sheets of USA Waste as of March 31, 1996 and December 31, 1995, and the related supplemental condensed consolidated statements of operations for the three months ended March 31, 1996 and 1995 are presented for informational purposes. These financial statements are in effect a restatement of the historical financial statements as if the Western Merger was consummated as of the beginning of the periods presented. These financial statements do not include the impact of certain cost and expense savings and other economic benefits that are expected to be realized as a result of the Western Merger.</w:t>
      </w:r>
    </w:p>
    <w:p>
      <w:pPr>
        <w:spacing w:after="0" w:line="99"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USA WASTE SERVICES, INC. SUPPLEMENTAL</w:t>
      </w:r>
    </w:p>
    <w:p>
      <w:pPr>
        <w:spacing w:after="0" w:line="29"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2840"/>
        <w:spacing w:after="0" w:line="238" w:lineRule="auto"/>
        <w:rPr>
          <w:sz w:val="20"/>
          <w:szCs w:val="20"/>
          <w:color w:val="auto"/>
        </w:rPr>
      </w:pPr>
      <w:r>
        <w:rPr>
          <w:rFonts w:ascii="Courier New" w:cs="Courier New" w:eastAsia="Courier New" w:hAnsi="Courier New"/>
          <w:sz w:val="18"/>
          <w:szCs w:val="18"/>
          <w:color w:val="auto"/>
        </w:rPr>
        <w:t>(In Thousands, Except Share and Par Value Amounts )</w:t>
      </w:r>
    </w:p>
    <w:p>
      <w:pPr>
        <w:jc w:val="center"/>
        <w:ind w:right="284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248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March 31,</w:t>
            </w:r>
          </w:p>
        </w:tc>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w w:val="92"/>
              </w:rPr>
              <w:t>1996</w:t>
            </w:r>
          </w:p>
        </w:tc>
        <w:tc>
          <w:tcPr>
            <w:tcW w:w="100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1995</w:t>
            </w: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26,309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18,223</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9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89,143</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90,427</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and other receivables</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13,133</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13,802</w:t>
            </w:r>
          </w:p>
        </w:tc>
        <w:tc>
          <w:tcPr>
            <w:tcW w:w="0" w:type="dxa"/>
            <w:vAlign w:val="bottom"/>
          </w:tcPr>
          <w:p>
            <w:pPr>
              <w:spacing w:after="0"/>
              <w:rPr>
                <w:sz w:val="1"/>
                <w:szCs w:val="1"/>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20,101</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20,101</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34,258</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26,110</w:t>
            </w:r>
          </w:p>
        </w:tc>
        <w:tc>
          <w:tcPr>
            <w:tcW w:w="0" w:type="dxa"/>
            <w:vAlign w:val="bottom"/>
          </w:tcPr>
          <w:p>
            <w:pPr>
              <w:spacing w:after="0"/>
              <w:rPr>
                <w:sz w:val="1"/>
                <w:szCs w:val="1"/>
                <w:color w:val="auto"/>
              </w:rPr>
            </w:pPr>
          </w:p>
        </w:tc>
      </w:tr>
      <w:tr>
        <w:trPr>
          <w:trHeight w:val="203"/>
        </w:trPr>
        <w:tc>
          <w:tcPr>
            <w:tcW w:w="67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Total current assets</w:t>
            </w: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182,944</w:t>
            </w:r>
          </w:p>
        </w:tc>
        <w:tc>
          <w:tcPr>
            <w:tcW w:w="10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168,663</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Notes and other receivables</w:t>
            </w:r>
          </w:p>
        </w:tc>
        <w:tc>
          <w:tcPr>
            <w:tcW w:w="96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17,208</w:t>
            </w:r>
          </w:p>
        </w:tc>
        <w:tc>
          <w:tcPr>
            <w:tcW w:w="10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11,704</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810,059</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799,512</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 of acquired businesses, net</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112,908</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108,664</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 assets, net</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33,737</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34,127</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75,040</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67,694</w:t>
            </w:r>
          </w:p>
        </w:tc>
        <w:tc>
          <w:tcPr>
            <w:tcW w:w="0" w:type="dxa"/>
            <w:vAlign w:val="bottom"/>
          </w:tcPr>
          <w:p>
            <w:pPr>
              <w:spacing w:after="0"/>
              <w:rPr>
                <w:sz w:val="1"/>
                <w:szCs w:val="1"/>
                <w:color w:val="auto"/>
              </w:rPr>
            </w:pPr>
          </w:p>
        </w:tc>
      </w:tr>
      <w:tr>
        <w:trPr>
          <w:trHeight w:val="203"/>
        </w:trPr>
        <w:tc>
          <w:tcPr>
            <w:tcW w:w="67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Total assets</w:t>
            </w: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$1,231,896</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$1,190,364</w:t>
            </w: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4"/>
                <w:szCs w:val="24"/>
                <w:color w:val="auto"/>
              </w:rPr>
            </w:pPr>
          </w:p>
        </w:tc>
        <w:tc>
          <w:tcPr>
            <w:tcW w:w="248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41,187</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40,333</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38,637</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48,618</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revenues</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6,007</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6,030</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42,854</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40,157</w:t>
            </w:r>
          </w:p>
        </w:tc>
        <w:tc>
          <w:tcPr>
            <w:tcW w:w="0" w:type="dxa"/>
            <w:vAlign w:val="bottom"/>
          </w:tcPr>
          <w:p>
            <w:pPr>
              <w:spacing w:after="0"/>
              <w:rPr>
                <w:sz w:val="1"/>
                <w:szCs w:val="1"/>
                <w:color w:val="auto"/>
              </w:rPr>
            </w:pPr>
          </w:p>
        </w:tc>
      </w:tr>
      <w:tr>
        <w:trPr>
          <w:trHeight w:val="203"/>
        </w:trPr>
        <w:tc>
          <w:tcPr>
            <w:tcW w:w="67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current liabilities</w:t>
            </w: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128,685</w:t>
            </w:r>
          </w:p>
        </w:tc>
        <w:tc>
          <w:tcPr>
            <w:tcW w:w="10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135,138</w:t>
            </w: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96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430,117</w:t>
            </w:r>
          </w:p>
        </w:tc>
        <w:tc>
          <w:tcPr>
            <w:tcW w:w="10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410,683</w:t>
            </w: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Closure, post-closure, and other liabilities</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84,078</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87,156</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642,880</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632,977</w:t>
            </w:r>
          </w:p>
        </w:tc>
        <w:tc>
          <w:tcPr>
            <w:tcW w:w="0" w:type="dxa"/>
            <w:vAlign w:val="bottom"/>
          </w:tcPr>
          <w:p>
            <w:pPr>
              <w:spacing w:after="0"/>
              <w:rPr>
                <w:sz w:val="1"/>
                <w:szCs w:val="1"/>
                <w:color w:val="auto"/>
              </w:rPr>
            </w:pPr>
          </w:p>
        </w:tc>
      </w:tr>
      <w:tr>
        <w:trPr>
          <w:trHeight w:val="296"/>
        </w:trPr>
        <w:tc>
          <w:tcPr>
            <w:tcW w:w="6740" w:type="dxa"/>
            <w:vAlign w:val="bottom"/>
            <w:vMerge w:val="restart"/>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48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960" w:type="dxa"/>
            <w:vAlign w:val="bottom"/>
          </w:tcPr>
          <w:p>
            <w:pPr>
              <w:spacing w:after="0"/>
              <w:rPr>
                <w:sz w:val="17"/>
                <w:szCs w:val="17"/>
                <w:color w:val="auto"/>
              </w:rPr>
            </w:pPr>
          </w:p>
        </w:tc>
        <w:tc>
          <w:tcPr>
            <w:tcW w:w="15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10,000,000 shares authorized; none issued</w:t>
            </w:r>
          </w:p>
        </w:tc>
        <w:tc>
          <w:tcPr>
            <w:tcW w:w="9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 150,000,000 shares</w:t>
            </w: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87,529,268 and 87,030,697 shares</w:t>
            </w:r>
          </w:p>
        </w:tc>
        <w:tc>
          <w:tcPr>
            <w:tcW w:w="960" w:type="dxa"/>
            <w:vAlign w:val="bottom"/>
          </w:tcPr>
          <w:p>
            <w:pPr>
              <w:spacing w:after="0"/>
              <w:rPr>
                <w:sz w:val="17"/>
                <w:szCs w:val="17"/>
                <w:color w:val="auto"/>
              </w:rPr>
            </w:pPr>
          </w:p>
        </w:tc>
        <w:tc>
          <w:tcPr>
            <w:tcW w:w="15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875</w:t>
            </w:r>
          </w:p>
        </w:tc>
        <w:tc>
          <w:tcPr>
            <w:tcW w:w="1000" w:type="dxa"/>
            <w:vAlign w:val="bottom"/>
          </w:tcPr>
          <w:p>
            <w:pPr>
              <w:spacing w:after="0"/>
              <w:rPr>
                <w:sz w:val="17"/>
                <w:szCs w:val="17"/>
                <w:color w:val="auto"/>
              </w:rPr>
            </w:pP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870</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respectively</w:t>
            </w:r>
          </w:p>
        </w:tc>
        <w:tc>
          <w:tcPr>
            <w:tcW w:w="9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802,960</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796,235</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96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(212,665)</w:t>
            </w:r>
          </w:p>
        </w:tc>
        <w:tc>
          <w:tcPr>
            <w:tcW w:w="10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(237,899)</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Less treasury stock at cost, 144,975 and</w:t>
            </w:r>
          </w:p>
        </w:tc>
        <w:tc>
          <w:tcPr>
            <w:tcW w:w="960" w:type="dxa"/>
            <w:vAlign w:val="bottom"/>
          </w:tcPr>
          <w:p>
            <w:pPr>
              <w:spacing w:after="0"/>
              <w:rPr>
                <w:sz w:val="17"/>
                <w:szCs w:val="17"/>
                <w:color w:val="auto"/>
              </w:rPr>
            </w:pPr>
          </w:p>
        </w:tc>
        <w:tc>
          <w:tcPr>
            <w:tcW w:w="15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(2,154)</w:t>
            </w:r>
          </w:p>
        </w:tc>
        <w:tc>
          <w:tcPr>
            <w:tcW w:w="10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(1,819)</w:t>
            </w:r>
          </w:p>
        </w:tc>
        <w:tc>
          <w:tcPr>
            <w:tcW w:w="0" w:type="dxa"/>
            <w:vAlign w:val="bottom"/>
          </w:tcPr>
          <w:p>
            <w:pPr>
              <w:spacing w:after="0"/>
              <w:rPr>
                <w:sz w:val="1"/>
                <w:szCs w:val="1"/>
                <w:color w:val="auto"/>
              </w:rPr>
            </w:pPr>
          </w:p>
        </w:tc>
      </w:tr>
      <w:tr>
        <w:trPr>
          <w:trHeight w:val="203"/>
        </w:trPr>
        <w:tc>
          <w:tcPr>
            <w:tcW w:w="6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138,810 shares, respectively</w:t>
            </w:r>
          </w:p>
        </w:tc>
        <w:tc>
          <w:tcPr>
            <w:tcW w:w="9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stockholders' equity</w:t>
            </w: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589,016</w:t>
            </w:r>
          </w:p>
        </w:tc>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557,387</w:t>
            </w:r>
          </w:p>
        </w:tc>
        <w:tc>
          <w:tcPr>
            <w:tcW w:w="0" w:type="dxa"/>
            <w:vAlign w:val="bottom"/>
          </w:tcPr>
          <w:p>
            <w:pPr>
              <w:spacing w:after="0"/>
              <w:rPr>
                <w:sz w:val="1"/>
                <w:szCs w:val="1"/>
                <w:color w:val="auto"/>
              </w:rPr>
            </w:pPr>
          </w:p>
        </w:tc>
      </w:tr>
      <w:tr>
        <w:trPr>
          <w:trHeight w:val="203"/>
        </w:trPr>
        <w:tc>
          <w:tcPr>
            <w:tcW w:w="67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$1,231,896</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$1,190,364</w:t>
            </w:r>
          </w:p>
        </w:tc>
        <w:tc>
          <w:tcPr>
            <w:tcW w:w="0" w:type="dxa"/>
            <w:vAlign w:val="bottom"/>
          </w:tcPr>
          <w:p>
            <w:pPr>
              <w:spacing w:after="0"/>
              <w:rPr>
                <w:sz w:val="1"/>
                <w:szCs w:val="1"/>
                <w:color w:val="auto"/>
              </w:rPr>
            </w:pPr>
          </w:p>
        </w:tc>
      </w:tr>
      <w:tr>
        <w:trPr>
          <w:trHeight w:val="296"/>
        </w:trPr>
        <w:tc>
          <w:tcPr>
            <w:tcW w:w="6740" w:type="dxa"/>
            <w:vAlign w:val="bottom"/>
          </w:tcPr>
          <w:p>
            <w:pPr>
              <w:spacing w:after="0"/>
              <w:rPr>
                <w:sz w:val="24"/>
                <w:szCs w:val="24"/>
                <w:color w:val="auto"/>
              </w:rPr>
            </w:pPr>
          </w:p>
        </w:tc>
        <w:tc>
          <w:tcPr>
            <w:tcW w:w="248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285" w:right="479" w:bottom="0" w:gutter="0" w:footer="0" w:header="0"/>
        </w:sectPr>
      </w:pPr>
    </w:p>
    <w:p>
      <w:pPr>
        <w:spacing w:after="0" w:line="200" w:lineRule="exact"/>
        <w:rPr>
          <w:sz w:val="20"/>
          <w:szCs w:val="20"/>
          <w:color w:val="auto"/>
        </w:rPr>
      </w:pPr>
    </w:p>
    <w:p>
      <w:pPr>
        <w:spacing w:after="0" w:line="31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1180"/>
          </w:cols>
          <w:pgMar w:left="240" w:top="285" w:right="479" w:bottom="0" w:gutter="0" w:footer="0" w:header="0"/>
          <w:type w:val="continuous"/>
        </w:sectPr>
      </w:pPr>
    </w:p>
    <w:bookmarkStart w:id="21" w:name="page22"/>
    <w:bookmarkEnd w:id="21"/>
    <w:p>
      <w:pPr>
        <w:ind w:left="2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1123"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19</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USA WASTE SERVICES, INC. SUPPLEMENTAL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jc w:val="center"/>
        <w:ind w:right="1779"/>
        <w:spacing w:after="0"/>
        <w:rPr>
          <w:sz w:val="20"/>
          <w:szCs w:val="20"/>
          <w:color w:val="auto"/>
        </w:rPr>
      </w:pPr>
      <w:r>
        <w:rPr>
          <w:rFonts w:ascii="Courier New" w:cs="Courier New" w:eastAsia="Courier New" w:hAnsi="Courier New"/>
          <w:sz w:val="18"/>
          <w:szCs w:val="18"/>
          <w:color w:val="auto"/>
        </w:rPr>
        <w:t>(In Thousands, Except Per Share Amounts)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44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4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54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564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$193,070</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$168,880</w:t>
            </w:r>
          </w:p>
        </w:tc>
        <w:tc>
          <w:tcPr>
            <w:tcW w:w="0" w:type="dxa"/>
            <w:vAlign w:val="bottom"/>
          </w:tcPr>
          <w:p>
            <w:pPr>
              <w:spacing w:after="0"/>
              <w:rPr>
                <w:sz w:val="1"/>
                <w:szCs w:val="1"/>
                <w:color w:val="auto"/>
              </w:rPr>
            </w:pPr>
          </w:p>
        </w:tc>
      </w:tr>
      <w:tr>
        <w:trPr>
          <w:trHeight w:val="296"/>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5"/>
              </w:rPr>
              <w:t>113,977</w:t>
            </w:r>
          </w:p>
        </w:tc>
        <w:tc>
          <w:tcPr>
            <w:tcW w:w="540" w:type="dxa"/>
            <w:vAlign w:val="bottom"/>
          </w:tcPr>
          <w:p>
            <w:pPr>
              <w:spacing w:after="0"/>
              <w:rPr>
                <w:sz w:val="9"/>
                <w:szCs w:val="9"/>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101,450</w:t>
            </w:r>
          </w:p>
        </w:tc>
        <w:tc>
          <w:tcPr>
            <w:tcW w:w="0" w:type="dxa"/>
            <w:vAlign w:val="bottom"/>
          </w:tcPr>
          <w:p>
            <w:pPr>
              <w:spacing w:after="0"/>
              <w:rPr>
                <w:sz w:val="1"/>
                <w:szCs w:val="1"/>
                <w:color w:val="auto"/>
              </w:rPr>
            </w:pPr>
          </w:p>
        </w:tc>
      </w:tr>
      <w:tr>
        <w:trPr>
          <w:trHeight w:val="296"/>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Operating</w:t>
            </w:r>
          </w:p>
        </w:tc>
        <w:tc>
          <w:tcPr>
            <w:tcW w:w="17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40" w:type="dxa"/>
            <w:vAlign w:val="bottom"/>
          </w:tcPr>
          <w:p>
            <w:pPr>
              <w:ind w:left="420"/>
              <w:spacing w:after="0"/>
              <w:rPr>
                <w:sz w:val="20"/>
                <w:szCs w:val="20"/>
                <w:color w:val="auto"/>
              </w:rPr>
            </w:pPr>
            <w:r>
              <w:rPr>
                <w:rFonts w:ascii="Courier New" w:cs="Courier New" w:eastAsia="Courier New" w:hAnsi="Courier New"/>
                <w:sz w:val="18"/>
                <w:szCs w:val="18"/>
                <w:color w:val="auto"/>
              </w:rPr>
              <w:t>General and administrative</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24,034</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26,163</w:t>
            </w:r>
          </w:p>
        </w:tc>
        <w:tc>
          <w:tcPr>
            <w:tcW w:w="0" w:type="dxa"/>
            <w:vAlign w:val="bottom"/>
          </w:tcPr>
          <w:p>
            <w:pPr>
              <w:spacing w:after="0"/>
              <w:rPr>
                <w:sz w:val="1"/>
                <w:szCs w:val="1"/>
                <w:color w:val="auto"/>
              </w:rPr>
            </w:pPr>
          </w:p>
        </w:tc>
      </w:tr>
      <w:tr>
        <w:trPr>
          <w:trHeight w:val="405"/>
        </w:trPr>
        <w:tc>
          <w:tcPr>
            <w:tcW w:w="5640" w:type="dxa"/>
            <w:vAlign w:val="bottom"/>
          </w:tcPr>
          <w:p>
            <w:pPr>
              <w:ind w:left="420"/>
              <w:spacing w:after="0"/>
              <w:rPr>
                <w:sz w:val="20"/>
                <w:szCs w:val="20"/>
                <w:color w:val="auto"/>
              </w:rPr>
            </w:pPr>
            <w:r>
              <w:rPr>
                <w:rFonts w:ascii="Courier New" w:cs="Courier New" w:eastAsia="Courier New" w:hAnsi="Courier New"/>
                <w:sz w:val="18"/>
                <w:szCs w:val="18"/>
                <w:color w:val="auto"/>
              </w:rPr>
              <w:t>Depreciation and amortization</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20,914</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19,343</w:t>
            </w:r>
          </w:p>
        </w:tc>
        <w:tc>
          <w:tcPr>
            <w:tcW w:w="0" w:type="dxa"/>
            <w:vAlign w:val="bottom"/>
          </w:tcPr>
          <w:p>
            <w:pPr>
              <w:spacing w:after="0"/>
              <w:rPr>
                <w:sz w:val="1"/>
                <w:szCs w:val="1"/>
                <w:color w:val="auto"/>
              </w:rPr>
            </w:pPr>
          </w:p>
        </w:tc>
      </w:tr>
      <w:tr>
        <w:trPr>
          <w:trHeight w:val="311"/>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Unusual items</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693</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158,925</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147,649</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34,145</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21,231</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740" w:type="dxa"/>
            <w:vAlign w:val="bottom"/>
          </w:tcPr>
          <w:p>
            <w:pPr>
              <w:spacing w:after="0"/>
              <w:rPr>
                <w:sz w:val="17"/>
                <w:szCs w:val="17"/>
                <w:color w:val="auto"/>
              </w:rPr>
            </w:pPr>
          </w:p>
        </w:tc>
        <w:tc>
          <w:tcPr>
            <w:tcW w:w="1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(3,512)</w:t>
            </w:r>
          </w:p>
        </w:tc>
        <w:tc>
          <w:tcPr>
            <w:tcW w:w="0" w:type="dxa"/>
            <w:vAlign w:val="bottom"/>
          </w:tcPr>
          <w:p>
            <w:pPr>
              <w:spacing w:after="0"/>
              <w:rPr>
                <w:sz w:val="1"/>
                <w:szCs w:val="1"/>
                <w:color w:val="auto"/>
              </w:rPr>
            </w:pP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Nonrecurring interest</w:t>
            </w:r>
          </w:p>
        </w:tc>
        <w:tc>
          <w:tcPr>
            <w:tcW w:w="17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640" w:type="dxa"/>
            <w:vAlign w:val="bottom"/>
          </w:tcPr>
          <w:p>
            <w:pPr>
              <w:ind w:left="640"/>
              <w:spacing w:after="0"/>
              <w:rPr>
                <w:sz w:val="20"/>
                <w:szCs w:val="20"/>
                <w:color w:val="auto"/>
              </w:rPr>
            </w:pPr>
            <w:r>
              <w:rPr>
                <w:rFonts w:ascii="Courier New" w:cs="Courier New" w:eastAsia="Courier New" w:hAnsi="Courier New"/>
                <w:sz w:val="18"/>
                <w:szCs w:val="18"/>
                <w:color w:val="auto"/>
              </w:rPr>
              <w:t>Other</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(6,580)</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(9,687)</w:t>
            </w:r>
          </w:p>
        </w:tc>
        <w:tc>
          <w:tcPr>
            <w:tcW w:w="0" w:type="dxa"/>
            <w:vAlign w:val="bottom"/>
          </w:tcPr>
          <w:p>
            <w:pPr>
              <w:spacing w:after="0"/>
              <w:rPr>
                <w:sz w:val="1"/>
                <w:szCs w:val="1"/>
                <w:color w:val="auto"/>
              </w:rPr>
            </w:pPr>
          </w:p>
        </w:tc>
      </w:tr>
      <w:tr>
        <w:trPr>
          <w:trHeight w:val="311"/>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Interest and other income, net</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2,202</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2,322</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3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(4,378)</w:t>
            </w:r>
          </w:p>
        </w:tc>
        <w:tc>
          <w:tcPr>
            <w:tcW w:w="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(10,877)</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29,767</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10,354</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7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4,533</w:t>
            </w:r>
          </w:p>
        </w:tc>
        <w:tc>
          <w:tcPr>
            <w:tcW w:w="5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5,816</w:t>
            </w: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3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25,234</w:t>
            </w:r>
          </w:p>
        </w:tc>
        <w:tc>
          <w:tcPr>
            <w:tcW w:w="540" w:type="dxa"/>
            <w:vAlign w:val="bottom"/>
            <w:vMerge w:val="continue"/>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4,538</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0.28</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0.06</w:t>
            </w:r>
          </w:p>
        </w:tc>
        <w:tc>
          <w:tcPr>
            <w:tcW w:w="0" w:type="dxa"/>
            <w:vAlign w:val="bottom"/>
          </w:tcPr>
          <w:p>
            <w:pPr>
              <w:spacing w:after="0"/>
              <w:rPr>
                <w:sz w:val="1"/>
                <w:szCs w:val="1"/>
                <w:color w:val="auto"/>
              </w:rPr>
            </w:pPr>
          </w:p>
        </w:tc>
      </w:tr>
      <w:tr>
        <w:trPr>
          <w:trHeight w:val="296"/>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 common and</w:t>
            </w: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91,213</w:t>
            </w:r>
          </w:p>
        </w:tc>
        <w:tc>
          <w:tcPr>
            <w:tcW w:w="5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74,305</w:t>
            </w:r>
          </w:p>
        </w:tc>
        <w:tc>
          <w:tcPr>
            <w:tcW w:w="0" w:type="dxa"/>
            <w:vAlign w:val="bottom"/>
          </w:tcPr>
          <w:p>
            <w:pPr>
              <w:spacing w:after="0"/>
              <w:rPr>
                <w:sz w:val="1"/>
                <w:szCs w:val="1"/>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17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85" w:right="1440" w:bottom="144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20</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USA WASTE SERVICES, INC.</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NOTES TO SUPPLEMENTAL CONDENSED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ind w:right="1879" w:firstLine="211"/>
        <w:spacing w:after="0" w:line="250" w:lineRule="auto"/>
        <w:rPr>
          <w:sz w:val="20"/>
          <w:szCs w:val="20"/>
          <w:color w:val="auto"/>
        </w:rPr>
      </w:pPr>
      <w:r>
        <w:rPr>
          <w:rFonts w:ascii="Courier New" w:cs="Courier New" w:eastAsia="Courier New" w:hAnsi="Courier New"/>
          <w:sz w:val="18"/>
          <w:szCs w:val="18"/>
          <w:color w:val="auto"/>
        </w:rPr>
        <w:t>The supplemental condensed consolidated financial statements assume the issuance of USA Waste Common Stock in exchange for all outstanding Western Common Stock, excluding 634,900 shares of Western Common Stock held by USA Waste. Such financial statements also assume that the Western Merger is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have been combined from their inception.</w:t>
      </w:r>
    </w:p>
    <w:p>
      <w:pPr>
        <w:spacing w:after="0" w:line="104" w:lineRule="exact"/>
        <w:rPr>
          <w:sz w:val="20"/>
          <w:szCs w:val="20"/>
          <w:color w:val="auto"/>
        </w:rPr>
      </w:pPr>
    </w:p>
    <w:p>
      <w:pPr>
        <w:ind w:right="1779" w:firstLine="211"/>
        <w:spacing w:after="0" w:line="250" w:lineRule="auto"/>
        <w:rPr>
          <w:sz w:val="20"/>
          <w:szCs w:val="20"/>
          <w:color w:val="auto"/>
        </w:rPr>
      </w:pPr>
      <w:r>
        <w:rPr>
          <w:rFonts w:ascii="Courier New" w:cs="Courier New" w:eastAsia="Courier New" w:hAnsi="Courier New"/>
          <w:sz w:val="18"/>
          <w:szCs w:val="18"/>
          <w:color w:val="auto"/>
        </w:rPr>
        <w:t>The supplemental condensed consolidated financial statements do not include any adjustment for estimated nonrecurring costs directly related to the Merger which are expected to be included in operations of the Company within the twelve months succeeding the consummation of the Merger. Such costs (which are currently estimated for purposes of this presentation to be approximately $27.0 million) include the severance benefits to be paid to certain officers of Western of approximately $1.2 million and an additional $2.0 million to be funded by USA Waste in connection with charitable contributions to be made at the direction of an affiliate of USA Waste. Actual merger costs may vary from such estimate.</w:t>
      </w:r>
    </w:p>
    <w:p>
      <w:pPr>
        <w:spacing w:after="0" w:line="104" w:lineRule="exact"/>
        <w:rPr>
          <w:sz w:val="20"/>
          <w:szCs w:val="20"/>
          <w:color w:val="auto"/>
        </w:rPr>
      </w:pPr>
    </w:p>
    <w:p>
      <w:pPr>
        <w:ind w:right="2419" w:firstLine="211"/>
        <w:spacing w:after="0" w:line="274" w:lineRule="auto"/>
        <w:rPr>
          <w:sz w:val="20"/>
          <w:szCs w:val="20"/>
          <w:color w:val="auto"/>
        </w:rPr>
      </w:pPr>
      <w:r>
        <w:rPr>
          <w:rFonts w:ascii="Courier New" w:cs="Courier New" w:eastAsia="Courier New" w:hAnsi="Courier New"/>
          <w:sz w:val="18"/>
          <w:szCs w:val="18"/>
          <w:color w:val="auto"/>
        </w:rPr>
        <w:t>Certain reclassifications have been made to the historical financial statements of USA Waste and Western to conform to the supplemental presentation. Such reclassifications are not material to the supplemental condensed consolidated financial statements.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ADJUSTMENTS</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Adjustments to the supplemental condensed consolidated financial statements were as follows:</w:t>
      </w:r>
    </w:p>
    <w:p>
      <w:pPr>
        <w:spacing w:after="0" w:line="18" w:lineRule="exact"/>
        <w:rPr>
          <w:sz w:val="20"/>
          <w:szCs w:val="20"/>
          <w:color w:val="auto"/>
        </w:rPr>
      </w:pPr>
    </w:p>
    <w:p>
      <w:pPr>
        <w:ind w:right="1779" w:firstLine="219"/>
        <w:spacing w:after="0" w:line="249"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intercompany balance sheet and statement of operations items between USA Waste and Western have been eliminated in the supplemental condensed consolidated financial statements. In February 1992, USA Waste acquired a 55% interest in a hauling company from a third party where Western owned the remaining 45%. In March 1993, USA Waste acquired the remaining 45% from Western. The supplemental condensed financial statements reflect the combined company's 100% ownership of the acquired hauling company as of February 1992. Western's earnings in minority interest from February 1992 through March 1993 and the gain on sale to USA Waste of $2,829,000 have been eliminated. The excess cost over net assets of acquired businesses, net of accumulated amortization reported by USA Waste has also been eliminated.</w:t>
      </w:r>
    </w:p>
    <w:p>
      <w:pPr>
        <w:spacing w:after="0" w:line="103" w:lineRule="exact"/>
        <w:rPr>
          <w:rFonts w:ascii="Courier New" w:cs="Courier New" w:eastAsia="Courier New" w:hAnsi="Courier New"/>
          <w:sz w:val="18"/>
          <w:szCs w:val="18"/>
          <w:color w:val="auto"/>
        </w:rPr>
      </w:pPr>
    </w:p>
    <w:p>
      <w:pPr>
        <w:ind w:right="2419" w:firstLine="219"/>
        <w:spacing w:after="0" w:line="292"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additional paid-in capital, and other assets have been adjusted to eliminate USA Waste's investment of 634,900 shares of Western Common Stock.</w:t>
      </w:r>
    </w:p>
    <w:p>
      <w:pPr>
        <w:spacing w:after="0" w:line="66" w:lineRule="exact"/>
        <w:rPr>
          <w:rFonts w:ascii="Courier New" w:cs="Courier New" w:eastAsia="Courier New" w:hAnsi="Courier New"/>
          <w:sz w:val="18"/>
          <w:szCs w:val="18"/>
          <w:color w:val="auto"/>
        </w:rPr>
      </w:pPr>
    </w:p>
    <w:p>
      <w:pPr>
        <w:ind w:right="1879" w:firstLine="219"/>
        <w:spacing w:after="0" w:line="274"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Western's depreciation and amortization from operating expenses and general and administrative expenses to a separate line item to conform to the presentation of USA Waste as if the companies had been combined since their inception.</w:t>
      </w:r>
    </w:p>
    <w:p>
      <w:pPr>
        <w:spacing w:after="0" w:line="81" w:lineRule="exact"/>
        <w:rPr>
          <w:rFonts w:ascii="Courier New" w:cs="Courier New" w:eastAsia="Courier New" w:hAnsi="Courier New"/>
          <w:sz w:val="18"/>
          <w:szCs w:val="18"/>
          <w:color w:val="auto"/>
        </w:rPr>
      </w:pPr>
    </w:p>
    <w:p>
      <w:pPr>
        <w:ind w:right="1999" w:firstLine="219"/>
        <w:spacing w:after="0" w:line="250"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equity accounts have been adjusted to reflect the assumed issuance of 21,446,418 shares as of March 31, 1996 and 21,055,649 shares as of December 31, 1995 of USA Waste Common Stock for all issued and outstanding share of Western Common Stock (based on the exchange ratio of 1.50 shares of USA Waste Common Stock for each share of Western Common Stock outstanding). The actual number of shares of USA Waste Common Stock to be issued pursuant to the Merger will be based upon the number of shares of Western issued and outstanding immediately prior to the consummation of the merger, excluding USA Waste's ownership in Western consisting of 634,900 shares.</w:t>
      </w:r>
    </w:p>
    <w:p>
      <w:pPr>
        <w:spacing w:after="0" w:line="104" w:lineRule="exact"/>
        <w:rPr>
          <w:rFonts w:ascii="Courier New" w:cs="Courier New" w:eastAsia="Courier New" w:hAnsi="Courier New"/>
          <w:sz w:val="18"/>
          <w:szCs w:val="18"/>
          <w:color w:val="auto"/>
        </w:rPr>
      </w:pPr>
    </w:p>
    <w:p>
      <w:pPr>
        <w:ind w:right="2099" w:firstLine="219"/>
        <w:spacing w:after="0" w:line="293"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continuing operations available to common shareholders per share for each period is based on the combined weighted average number of shares outstanding, after giving effect to the issuance of 1.5 shares of USA Waste Common Stock for each share of Western Common Stock outstanding. Fully diluted earnings per share are considered equal to primary earnings per share for all periods presented because the addition of potentially dilutive securities that are not common stock equivalents would have been either</w:t>
      </w:r>
    </w:p>
    <w:p>
      <w:pPr>
        <w:sectPr>
          <w:pgSz w:w="11900" w:h="16838" w:orient="portrait"/>
          <w:cols w:equalWidth="0" w:num="1">
            <w:col w:w="10219"/>
          </w:cols>
          <w:pgMar w:left="240" w:top="285"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antidilutive or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10"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37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Exhibits:</w:t>
      </w:r>
    </w:p>
    <w:p>
      <w:pPr>
        <w:spacing w:after="0" w:line="200" w:lineRule="exact"/>
        <w:rPr>
          <w:sz w:val="20"/>
          <w:szCs w:val="20"/>
          <w:color w:val="auto"/>
        </w:rPr>
      </w:pP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4"/>
              </w:rPr>
              <w:t>3.1(a) -</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w w:val="97"/>
              </w:rPr>
              <w:t>Amendment to Registrant's Restated Certificate of Incorporation.</w:t>
            </w:r>
          </w:p>
        </w:tc>
      </w:tr>
      <w:tr>
        <w:trPr>
          <w:trHeight w:val="311"/>
        </w:trPr>
        <w:tc>
          <w:tcPr>
            <w:tcW w:w="1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4"/>
              </w:rPr>
              <w:t>3.1(b) -</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Conformed Copy of Registrant's Restated Certificate of</w:t>
            </w:r>
          </w:p>
        </w:tc>
      </w:tr>
      <w:tr>
        <w:trPr>
          <w:trHeight w:val="296"/>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Incorporation.</w:t>
            </w:r>
          </w:p>
        </w:tc>
      </w:tr>
      <w:tr>
        <w:trPr>
          <w:trHeight w:val="311"/>
        </w:trPr>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3.2</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Bylaws [Incorporated by Reference to Exhibit 3.2 of the</w:t>
            </w:r>
          </w:p>
        </w:tc>
      </w:tr>
      <w:tr>
        <w:trPr>
          <w:trHeight w:val="203"/>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Registrant's Registration Statement on Form S-4, File No.</w:t>
            </w:r>
          </w:p>
        </w:tc>
      </w:tr>
      <w:tr>
        <w:trPr>
          <w:trHeight w:val="296"/>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33-60103].</w:t>
            </w:r>
          </w:p>
        </w:tc>
      </w:tr>
      <w:tr>
        <w:trPr>
          <w:trHeight w:val="311"/>
        </w:trPr>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4.1</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w w:val="97"/>
              </w:rPr>
              <w:t>Specimen Stock Certificate [Incorporated by reference to Exhibit</w:t>
            </w:r>
          </w:p>
        </w:tc>
      </w:tr>
      <w:tr>
        <w:trPr>
          <w:trHeight w:val="203"/>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4.3 of the Registrant's Registration Statement on Form S-3, File</w:t>
            </w:r>
          </w:p>
        </w:tc>
      </w:tr>
      <w:tr>
        <w:trPr>
          <w:trHeight w:val="296"/>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No. 33-76224].</w:t>
            </w:r>
          </w:p>
        </w:tc>
      </w:tr>
      <w:tr>
        <w:trPr>
          <w:trHeight w:val="311"/>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10.1</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1990 Stock Option Plan [Incorporated by reference to Exhibit</w:t>
            </w:r>
          </w:p>
        </w:tc>
      </w:tr>
      <w:tr>
        <w:trPr>
          <w:trHeight w:val="203"/>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10.1 of the Registrant's Annual Report on Form 10-K for the year</w:t>
            </w:r>
          </w:p>
        </w:tc>
      </w:tr>
      <w:tr>
        <w:trPr>
          <w:trHeight w:val="296"/>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ended December 31, 1990].</w:t>
            </w:r>
          </w:p>
        </w:tc>
      </w:tr>
      <w:tr>
        <w:trPr>
          <w:trHeight w:val="311"/>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10.2</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w w:val="99"/>
              </w:rPr>
              <w:t>1993 Stock Incentive Plan [Incorporated by reference to Exhibit</w:t>
            </w:r>
          </w:p>
        </w:tc>
      </w:tr>
      <w:tr>
        <w:trPr>
          <w:trHeight w:val="203"/>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4.4 of the Registrant's Registration Statement on Form S-8, File</w:t>
            </w:r>
          </w:p>
        </w:tc>
      </w:tr>
      <w:tr>
        <w:trPr>
          <w:trHeight w:val="296"/>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No. 33-72436].</w:t>
            </w:r>
          </w:p>
        </w:tc>
      </w:tr>
      <w:tr>
        <w:trPr>
          <w:trHeight w:val="311"/>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10.3</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Envirofil, Inc. 1993 Stock Incentive Plan [Incorporated by</w:t>
            </w:r>
          </w:p>
        </w:tc>
      </w:tr>
      <w:tr>
        <w:trPr>
          <w:trHeight w:val="203"/>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reference to Exhibit 10.3 of the Registrant's Annual Report on</w:t>
            </w:r>
          </w:p>
        </w:tc>
      </w:tr>
      <w:tr>
        <w:trPr>
          <w:trHeight w:val="296"/>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Form 10-K for the year ended December 31, 1994].</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22</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00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Form of Employment Agreement between the Registrant and each of</w:t>
            </w:r>
          </w:p>
        </w:tc>
        <w:tc>
          <w:tcPr>
            <w:tcW w:w="0" w:type="dxa"/>
            <w:vAlign w:val="bottom"/>
          </w:tcPr>
          <w:p>
            <w:pPr>
              <w:spacing w:after="0"/>
              <w:rPr>
                <w:sz w:val="1"/>
                <w:szCs w:val="1"/>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10.4</w:t>
            </w:r>
          </w:p>
        </w:tc>
        <w:tc>
          <w:tcPr>
            <w:tcW w:w="580" w:type="dxa"/>
            <w:vAlign w:val="bottom"/>
            <w:vMerge w:val="continue"/>
          </w:tcPr>
          <w:p>
            <w:pPr>
              <w:spacing w:after="0"/>
              <w:rPr>
                <w:sz w:val="17"/>
                <w:szCs w:val="17"/>
                <w:color w:val="auto"/>
              </w:rPr>
            </w:pPr>
          </w:p>
        </w:tc>
        <w:tc>
          <w:tcPr>
            <w:tcW w:w="7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John E. Drury, Donald F. Moorehead, Jr., David Sutherland-Yoest,</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and Charles A. Wilcox [Incorporated by reference to Exhibit</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10.18 of the Registrant's Annual Report on Form 10-K for the</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year ended December 31, 1994].</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w w:val="98"/>
              </w:rPr>
              <w:t>Employment Agreement between the Registrant and Earl E. DeFrates</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 by reference to Exhibit 10.19 of the Registrant's</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Annual Report on Form 10-K for the year ended December 31,</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Employment Agreement between the Registrant and Gregory T.</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Sangalis [Incorporated by reference to Exhibit 10.17 to the</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Registrant's Registration Statement on Form S-4, File No.</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33-59259].</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Revolving Credit and Term Loan Agreement dated as of June 27,</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1995, among the Registrant, its subsidiaries, The First National</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Bank of Boston, Bank of America Illinois, J.P. Morgan Securities</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 an Morgan Guaranty Trust Company of New York</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 by reference to Exhibit 10.19 to the Registrant's</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Quarterly Report on Form 10-Q dated June 30, 1995, as amended by</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Form 10-Q/A].</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Shareholders Agreement dated December 18, 1995, among USA Waste</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Services, Inc., Donald F.  Moorehead, Jr., John E. Drury, John</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w w:val="97"/>
              </w:rPr>
              <w:t>G. Rangos, Sr., John G. Rangos Jr., Alexander W. Rangos, and John</w:t>
            </w:r>
          </w:p>
        </w:tc>
        <w:tc>
          <w:tcPr>
            <w:tcW w:w="0" w:type="dxa"/>
            <w:vAlign w:val="bottom"/>
          </w:tcPr>
          <w:p>
            <w:pPr>
              <w:spacing w:after="0"/>
              <w:rPr>
                <w:sz w:val="1"/>
                <w:szCs w:val="1"/>
                <w:color w:val="auto"/>
              </w:rPr>
            </w:pPr>
          </w:p>
        </w:tc>
      </w:tr>
    </w:tbl>
    <w:p>
      <w:pPr>
        <w:ind w:left="1260" w:right="1879"/>
        <w:spacing w:after="0" w:line="273" w:lineRule="auto"/>
        <w:rPr>
          <w:sz w:val="20"/>
          <w:szCs w:val="20"/>
          <w:color w:val="auto"/>
        </w:rPr>
      </w:pPr>
      <w:r>
        <w:rPr>
          <w:rFonts w:ascii="Courier New" w:cs="Courier New" w:eastAsia="Courier New" w:hAnsi="Courier New"/>
          <w:sz w:val="18"/>
          <w:szCs w:val="18"/>
          <w:color w:val="auto"/>
        </w:rPr>
        <w:t>Rangos Development Corporation, Inc. [Incorporated by reference to Exhibit 1 to Schedule 13D dated December 17, 1995 relating to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28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23</w:t>
      </w:r>
    </w:p>
    <w:p>
      <w:pPr>
        <w:spacing w:after="0" w:line="31" w:lineRule="exact"/>
        <w:rPr>
          <w:sz w:val="20"/>
          <w:szCs w:val="20"/>
          <w:color w:val="auto"/>
        </w:rPr>
      </w:pPr>
    </w:p>
    <w:p>
      <w:pPr>
        <w:ind w:left="640" w:right="1999" w:hanging="1263"/>
        <w:spacing w:after="0" w:line="262" w:lineRule="auto"/>
        <w:tabs>
          <w:tab w:leader="none" w:pos="620" w:val="left"/>
        </w:tabs>
        <w:rPr>
          <w:sz w:val="20"/>
          <w:szCs w:val="20"/>
          <w:color w:val="auto"/>
        </w:rPr>
      </w:pPr>
      <w:r>
        <w:rPr>
          <w:rFonts w:ascii="Courier New" w:cs="Courier New" w:eastAsia="Courier New" w:hAnsi="Courier New"/>
          <w:sz w:val="18"/>
          <w:szCs w:val="18"/>
          <w:color w:val="auto"/>
        </w:rPr>
        <w:t>10.9</w:t>
        <w:tab/>
        <w:t>- Consulting and Non-Compete Agreement dated June 25, 1995, between the Registrant John G. Rangos, Sr. [Incorporated by reference to Exhibit 10.21 to the Registrant's Quarterly Report on Form 10-Q/A dated June 30, 1995].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140"/>
              <w:spacing w:after="0"/>
              <w:rPr>
                <w:sz w:val="20"/>
                <w:szCs w:val="20"/>
                <w:color w:val="auto"/>
              </w:rPr>
            </w:pPr>
            <w:r>
              <w:rPr>
                <w:rFonts w:ascii="Courier New" w:cs="Courier New" w:eastAsia="Courier New" w:hAnsi="Courier New"/>
                <w:sz w:val="18"/>
                <w:szCs w:val="18"/>
                <w:color w:val="auto"/>
                <w:w w:val="99"/>
              </w:rPr>
              <w:t>Employment Agreement</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w w:val="97"/>
              </w:rPr>
              <w:t>dated June 25, 1995, between the Registrant</w:t>
            </w:r>
          </w:p>
        </w:tc>
      </w:tr>
      <w:tr>
        <w:trPr>
          <w:trHeight w:val="203"/>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Alexander W. Rangos  [Incorporated by reference to Exhibit</w:t>
            </w:r>
          </w:p>
        </w:tc>
      </w:tr>
      <w:tr>
        <w:trPr>
          <w:trHeight w:val="203"/>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10.22 to the Registrant's Quarterly Report on Form 10-Q/A dated</w:t>
            </w:r>
          </w:p>
        </w:tc>
      </w:tr>
      <w:tr>
        <w:trPr>
          <w:trHeight w:val="296"/>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Courier New" w:cs="Courier New" w:eastAsia="Courier New" w:hAnsi="Courier New"/>
                <w:sz w:val="18"/>
                <w:szCs w:val="18"/>
                <w:color w:val="auto"/>
              </w:rPr>
              <w:t>June 30, 1995].</w:t>
            </w:r>
          </w:p>
        </w:tc>
        <w:tc>
          <w:tcPr>
            <w:tcW w:w="46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140"/>
              <w:spacing w:after="0"/>
              <w:rPr>
                <w:sz w:val="20"/>
                <w:szCs w:val="20"/>
                <w:color w:val="auto"/>
              </w:rPr>
            </w:pPr>
            <w:r>
              <w:rPr>
                <w:rFonts w:ascii="Courier New" w:cs="Courier New" w:eastAsia="Courier New" w:hAnsi="Courier New"/>
                <w:sz w:val="18"/>
                <w:szCs w:val="18"/>
                <w:color w:val="auto"/>
                <w:w w:val="99"/>
              </w:rPr>
              <w:t>Employment Agreement</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dated December 18, 1995, between the</w:t>
            </w:r>
          </w:p>
        </w:tc>
      </w:tr>
      <w:tr>
        <w:trPr>
          <w:trHeight w:val="203"/>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Registrant and Kosti</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Shirvanian [Incorporated by reference to</w:t>
            </w:r>
          </w:p>
        </w:tc>
      </w:tr>
      <w:tr>
        <w:trPr>
          <w:trHeight w:val="203"/>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Exhibit 10.18 to the</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Registrant's Annual Report on Form 10-K for</w:t>
            </w:r>
          </w:p>
        </w:tc>
      </w:tr>
      <w:tr>
        <w:trPr>
          <w:trHeight w:val="296"/>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the year ended December 31, 1995].</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11.1</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9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Computation of Earnings Per Common Share.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27.1</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9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Financial Data Schedule.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28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24</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374"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USA WASTE SERVICES, INC.</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May 14, 1996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Earl E. DeFrates</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Earl E. DeFrates,</w:t>
      </w:r>
    </w:p>
    <w:p>
      <w:pPr>
        <w:ind w:left="22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22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3">
            <w:col w:w="2760" w:space="720"/>
            <w:col w:w="440" w:space="720"/>
            <w:col w:w="5579"/>
          </w:cols>
          <w:pgMar w:left="240" w:top="285" w:right="1440" w:bottom="1440" w:gutter="0" w:footer="0" w:header="0"/>
          <w:type w:val="continuous"/>
        </w:sectPr>
      </w:pPr>
    </w:p>
    <w:p>
      <w:pPr>
        <w:spacing w:after="0" w:line="1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May 14, 1996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Bruce E. Snyder</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Bruce E. Snyder,</w:t>
      </w:r>
    </w:p>
    <w:p>
      <w:pPr>
        <w:ind w:left="220"/>
        <w:spacing w:after="0"/>
        <w:rPr>
          <w:sz w:val="20"/>
          <w:szCs w:val="20"/>
          <w:color w:val="auto"/>
        </w:rPr>
      </w:pPr>
      <w:r>
        <w:rPr>
          <w:rFonts w:ascii="Courier New" w:cs="Courier New" w:eastAsia="Courier New" w:hAnsi="Courier New"/>
          <w:sz w:val="16"/>
          <w:szCs w:val="16"/>
          <w:color w:val="auto"/>
        </w:rPr>
        <w:t>Vice President - Controller,</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3">
            <w:col w:w="2760" w:space="720"/>
            <w:col w:w="440" w:space="720"/>
            <w:col w:w="557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85"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940" w:type="dxa"/>
            <w:vAlign w:val="bottom"/>
          </w:tcPr>
          <w:p>
            <w:pPr>
              <w:spacing w:after="0"/>
              <w:rPr>
                <w:sz w:val="17"/>
                <w:szCs w:val="17"/>
                <w:color w:val="auto"/>
              </w:rPr>
            </w:pPr>
          </w:p>
        </w:tc>
        <w:tc>
          <w:tcPr>
            <w:tcW w:w="52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940" w:type="dxa"/>
            <w:vAlign w:val="bottom"/>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94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3.1(a)</w:t>
            </w:r>
          </w:p>
        </w:tc>
        <w:tc>
          <w:tcPr>
            <w:tcW w:w="7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Amendment to Registrant's Restated Certificate of Incorporation.</w:t>
            </w: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0"/>
                <w:szCs w:val="20"/>
                <w:color w:val="auto"/>
              </w:rPr>
            </w:pPr>
            <w:r>
              <w:rPr>
                <w:rFonts w:ascii="Courier New" w:cs="Courier New" w:eastAsia="Courier New" w:hAnsi="Courier New"/>
                <w:sz w:val="18"/>
                <w:szCs w:val="18"/>
                <w:color w:val="auto"/>
              </w:rPr>
              <w:t>3.1(b)</w:t>
            </w:r>
          </w:p>
        </w:tc>
        <w:tc>
          <w:tcPr>
            <w:tcW w:w="1940" w:type="dxa"/>
            <w:vAlign w:val="bottom"/>
          </w:tcPr>
          <w:p>
            <w:pPr>
              <w:ind w:left="420"/>
              <w:spacing w:after="0"/>
              <w:rPr>
                <w:sz w:val="20"/>
                <w:szCs w:val="20"/>
                <w:color w:val="auto"/>
              </w:rPr>
            </w:pPr>
            <w:r>
              <w:rPr>
                <w:rFonts w:ascii="Courier New" w:cs="Courier New" w:eastAsia="Courier New" w:hAnsi="Courier New"/>
                <w:sz w:val="18"/>
                <w:szCs w:val="18"/>
                <w:color w:val="auto"/>
                <w:w w:val="99"/>
              </w:rPr>
              <w:t>Conformed Copy</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of Registrant's Restated Certificate of</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8"/>
                <w:szCs w:val="18"/>
                <w:color w:val="auto"/>
                <w:w w:val="99"/>
              </w:rPr>
              <w:t>Incorporation.</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11.1</w:t>
            </w:r>
          </w:p>
        </w:tc>
        <w:tc>
          <w:tcPr>
            <w:tcW w:w="1940" w:type="dxa"/>
            <w:vAlign w:val="bottom"/>
          </w:tcPr>
          <w:p>
            <w:pPr>
              <w:ind w:left="420"/>
              <w:spacing w:after="0"/>
              <w:rPr>
                <w:sz w:val="20"/>
                <w:szCs w:val="20"/>
                <w:color w:val="auto"/>
              </w:rPr>
            </w:pPr>
            <w:r>
              <w:rPr>
                <w:rFonts w:ascii="Courier New" w:cs="Courier New" w:eastAsia="Courier New" w:hAnsi="Courier New"/>
                <w:sz w:val="18"/>
                <w:szCs w:val="18"/>
                <w:color w:val="auto"/>
                <w:w w:val="99"/>
              </w:rPr>
              <w:t>Computation of</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Earnings per common share.</w:t>
            </w: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27.1</w:t>
            </w:r>
          </w:p>
        </w:tc>
        <w:tc>
          <w:tcPr>
            <w:tcW w:w="1940" w:type="dxa"/>
            <w:vAlign w:val="bottom"/>
          </w:tcPr>
          <w:p>
            <w:pPr>
              <w:ind w:left="420"/>
              <w:spacing w:after="0"/>
              <w:rPr>
                <w:sz w:val="20"/>
                <w:szCs w:val="20"/>
                <w:color w:val="auto"/>
              </w:rPr>
            </w:pPr>
            <w:r>
              <w:rPr>
                <w:rFonts w:ascii="Courier New" w:cs="Courier New" w:eastAsia="Courier New" w:hAnsi="Courier New"/>
                <w:sz w:val="18"/>
                <w:szCs w:val="18"/>
                <w:color w:val="auto"/>
                <w:w w:val="99"/>
              </w:rPr>
              <w:t>Financial Data</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Schedule.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3.1(a)</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RESTATED CERTIFICATE OF INCORPORATION</w:t>
      </w:r>
    </w:p>
    <w:p>
      <w:pPr>
        <w:jc w:val="center"/>
        <w:ind w:right="1779"/>
        <w:spacing w:after="0"/>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372" w:lineRule="exact"/>
        <w:rPr>
          <w:sz w:val="20"/>
          <w:szCs w:val="20"/>
          <w:color w:val="auto"/>
        </w:rPr>
      </w:pPr>
    </w:p>
    <w:p>
      <w:pPr>
        <w:ind w:right="1879" w:firstLine="737"/>
        <w:spacing w:after="0" w:line="292" w:lineRule="auto"/>
        <w:rPr>
          <w:sz w:val="20"/>
          <w:szCs w:val="20"/>
          <w:color w:val="auto"/>
        </w:rPr>
      </w:pPr>
      <w:r>
        <w:rPr>
          <w:rFonts w:ascii="Courier New" w:cs="Courier New" w:eastAsia="Courier New" w:hAnsi="Courier New"/>
          <w:sz w:val="18"/>
          <w:szCs w:val="18"/>
          <w:color w:val="auto"/>
        </w:rPr>
        <w:t>USA WASTE SERVICES, INC., a corporation organized and existing under and by virtue of the General Corporation Law of the State of Delaware, DOES HEREBY CERTIFY:</w:t>
      </w:r>
    </w:p>
    <w:p>
      <w:pPr>
        <w:spacing w:after="0" w:line="66" w:lineRule="exact"/>
        <w:rPr>
          <w:sz w:val="20"/>
          <w:szCs w:val="20"/>
          <w:color w:val="auto"/>
        </w:rPr>
      </w:pPr>
    </w:p>
    <w:p>
      <w:pPr>
        <w:ind w:right="1999" w:firstLine="737"/>
        <w:spacing w:after="0" w:line="265" w:lineRule="auto"/>
        <w:rPr>
          <w:sz w:val="20"/>
          <w:szCs w:val="20"/>
          <w:color w:val="auto"/>
        </w:rPr>
      </w:pPr>
      <w:r>
        <w:rPr>
          <w:rFonts w:ascii="Courier New" w:cs="Courier New" w:eastAsia="Courier New" w:hAnsi="Courier New"/>
          <w:sz w:val="18"/>
          <w:szCs w:val="18"/>
          <w:color w:val="auto"/>
        </w:rPr>
        <w:t>FIRST: That at a meeting of the Board of Directors of the corporation a resolution was adopted proposing and declaring advisable the following amendment to the Restated Certificate of Incorporation of the corporation and directing that the amendment be considered at the annual meeting of stockholders:</w:t>
      </w:r>
    </w:p>
    <w:p>
      <w:pPr>
        <w:spacing w:after="0" w:line="90" w:lineRule="exact"/>
        <w:rPr>
          <w:sz w:val="20"/>
          <w:szCs w:val="20"/>
          <w:color w:val="auto"/>
        </w:rPr>
      </w:pPr>
    </w:p>
    <w:p>
      <w:pPr>
        <w:ind w:left="740" w:right="1999" w:firstLine="843"/>
        <w:spacing w:after="0" w:line="274" w:lineRule="auto"/>
        <w:rPr>
          <w:sz w:val="20"/>
          <w:szCs w:val="20"/>
          <w:color w:val="auto"/>
        </w:rPr>
      </w:pPr>
      <w:r>
        <w:rPr>
          <w:rFonts w:ascii="Courier New" w:cs="Courier New" w:eastAsia="Courier New" w:hAnsi="Courier New"/>
          <w:sz w:val="18"/>
          <w:szCs w:val="18"/>
          <w:color w:val="auto"/>
        </w:rPr>
        <w:t>RESOLVED, that the Restated Certificate of Incorporation of USA Waste Services, Inc. be amended by deleting Article Eleventh in its entirety and that Article Twelfth shall be renumbered and known as Article Eleventh.</w:t>
      </w:r>
    </w:p>
    <w:p>
      <w:pPr>
        <w:spacing w:after="0" w:line="82" w:lineRule="exact"/>
        <w:rPr>
          <w:sz w:val="20"/>
          <w:szCs w:val="20"/>
          <w:color w:val="auto"/>
        </w:rPr>
      </w:pPr>
    </w:p>
    <w:p>
      <w:pPr>
        <w:ind w:right="1879" w:firstLine="737"/>
        <w:spacing w:after="0" w:line="306" w:lineRule="auto"/>
        <w:rPr>
          <w:sz w:val="20"/>
          <w:szCs w:val="20"/>
          <w:color w:val="auto"/>
        </w:rPr>
      </w:pPr>
      <w:r>
        <w:rPr>
          <w:rFonts w:ascii="Courier New" w:cs="Courier New" w:eastAsia="Courier New" w:hAnsi="Courier New"/>
          <w:sz w:val="16"/>
          <w:szCs w:val="16"/>
          <w:color w:val="auto"/>
        </w:rPr>
        <w:t>SECOND: That thereafter, pursuant to resolution of its Board of Directors, a meeting of the stockholders of the corporation was duly called and held on May 7, 1996, upon notice in accordance with Section 222 of the General Corporation Law of the State of Delaware at which meeting the necessary number of shares as required by statute were voted in favor of the amendment.</w:t>
      </w:r>
    </w:p>
    <w:p>
      <w:pPr>
        <w:spacing w:after="0" w:line="60" w:lineRule="exact"/>
        <w:rPr>
          <w:sz w:val="20"/>
          <w:szCs w:val="20"/>
          <w:color w:val="auto"/>
        </w:rPr>
      </w:pPr>
    </w:p>
    <w:p>
      <w:pPr>
        <w:ind w:right="2419" w:firstLine="737"/>
        <w:spacing w:after="0" w:line="292" w:lineRule="auto"/>
        <w:rPr>
          <w:sz w:val="20"/>
          <w:szCs w:val="20"/>
          <w:color w:val="auto"/>
        </w:rPr>
      </w:pPr>
      <w:r>
        <w:rPr>
          <w:rFonts w:ascii="Courier New" w:cs="Courier New" w:eastAsia="Courier New" w:hAnsi="Courier New"/>
          <w:sz w:val="18"/>
          <w:szCs w:val="18"/>
          <w:color w:val="auto"/>
        </w:rPr>
        <w:t>THIRD: That the amendment was duly adopted in accordance with the applicable provisions in Section 242 of the General Corporation Law of the State of Delaware.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IN WITNESS WHEREOF, USA</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9"/>
              </w:rPr>
              <w:t>Waste Services, Inc.</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w w:val="97"/>
              </w:rPr>
              <w:t>has caused this certificate</w:t>
            </w:r>
          </w:p>
        </w:tc>
      </w:tr>
      <w:tr>
        <w:trPr>
          <w:trHeight w:val="296"/>
        </w:trPr>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w w:val="96"/>
              </w:rPr>
              <w:t>to be signed by its authorized</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9"/>
              </w:rPr>
              <w:t>officer this 7th day</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of May, 1996.</w:t>
            </w:r>
          </w:p>
        </w:tc>
      </w:tr>
      <w:tr>
        <w:trPr>
          <w:trHeight w:val="405"/>
        </w:trPr>
        <w:tc>
          <w:tcPr>
            <w:tcW w:w="32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USA WASTE</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SERVICES, INC.</w:t>
            </w:r>
          </w:p>
        </w:tc>
      </w:tr>
    </w:tbl>
    <w:p>
      <w:pPr>
        <w:spacing w:after="0" w:line="200" w:lineRule="exact"/>
        <w:rPr>
          <w:sz w:val="20"/>
          <w:szCs w:val="20"/>
          <w:color w:val="auto"/>
        </w:rPr>
      </w:pPr>
    </w:p>
    <w:p>
      <w:pPr>
        <w:sectPr>
          <w:pgSz w:w="11900" w:h="16838" w:orient="portrait"/>
          <w:cols w:equalWidth="0" w:num="1">
            <w:col w:w="10219"/>
          </w:cols>
          <w:pgMar w:left="240" w:top="110" w:right="1440" w:bottom="1440" w:gutter="0" w:footer="0" w:header="0"/>
        </w:sectPr>
      </w:pPr>
    </w:p>
    <w:p>
      <w:pPr>
        <w:spacing w:after="0" w:line="31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 Earl E. DeFrates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Name: Earl E. DeFrates</w:t>
      </w:r>
    </w:p>
    <w:p>
      <w:pPr>
        <w:ind w:left="8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 Executive Vice President</w:t>
      </w:r>
    </w:p>
    <w:p>
      <w:pPr>
        <w:ind w:left="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40" w:space="0"/>
            <w:col w:w="5579"/>
          </w:cols>
          <w:pgMar w:left="240" w:top="11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110" w:right="1440" w:bottom="144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3.1(b)</w:t>
      </w:r>
    </w:p>
    <w:p>
      <w:pPr>
        <w:spacing w:after="0" w:line="3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RESTATED CERTIFICATE OF INCORPORATION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(Conformed Copy -- As Amended As Of May 7, 1996)</w:t>
      </w:r>
    </w:p>
    <w:p>
      <w:pPr>
        <w:spacing w:after="0" w:line="169" w:lineRule="exact"/>
        <w:rPr>
          <w:sz w:val="20"/>
          <w:szCs w:val="20"/>
          <w:color w:val="auto"/>
        </w:rPr>
      </w:pPr>
    </w:p>
    <w:p>
      <w:pPr>
        <w:ind w:right="1879" w:firstLine="1580"/>
        <w:spacing w:after="0" w:line="318" w:lineRule="auto"/>
        <w:rPr>
          <w:sz w:val="20"/>
          <w:szCs w:val="20"/>
          <w:color w:val="auto"/>
        </w:rPr>
      </w:pPr>
      <w:r>
        <w:rPr>
          <w:rFonts w:ascii="Courier New" w:cs="Courier New" w:eastAsia="Courier New" w:hAnsi="Courier New"/>
          <w:sz w:val="16"/>
          <w:szCs w:val="16"/>
          <w:color w:val="auto"/>
        </w:rPr>
        <w:t>The original Certificate of Incorporation of USA Waste Services, Inc. was filed with the Secretary of State of the State of Delaware on April 28, 1995. The original Certificate of Incorporation is hereby amended and restated pursuant to 8 Del. C. Section 245 to read in its entirety as follows:</w:t>
      </w:r>
    </w:p>
    <w:p>
      <w:pPr>
        <w:spacing w:after="0" w:line="52"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First:</w:t>
        <w:tab/>
        <w:t>The name of the Corporation is USA Waste Services, Inc.</w:t>
      </w:r>
    </w:p>
    <w:p>
      <w:pPr>
        <w:spacing w:after="0" w:line="201" w:lineRule="exact"/>
        <w:rPr>
          <w:sz w:val="20"/>
          <w:szCs w:val="20"/>
          <w:color w:val="auto"/>
        </w:rPr>
      </w:pPr>
    </w:p>
    <w:p>
      <w:pPr>
        <w:ind w:right="1879" w:firstLine="737"/>
        <w:spacing w:after="0" w:line="265" w:lineRule="auto"/>
        <w:rPr>
          <w:sz w:val="20"/>
          <w:szCs w:val="20"/>
          <w:color w:val="auto"/>
        </w:rPr>
      </w:pPr>
      <w:r>
        <w:rPr>
          <w:rFonts w:ascii="Courier New" w:cs="Courier New" w:eastAsia="Courier New" w:hAnsi="Courier New"/>
          <w:sz w:val="18"/>
          <w:szCs w:val="18"/>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90" w:lineRule="exact"/>
        <w:rPr>
          <w:sz w:val="20"/>
          <w:szCs w:val="20"/>
          <w:color w:val="auto"/>
        </w:rPr>
      </w:pPr>
    </w:p>
    <w:p>
      <w:pPr>
        <w:ind w:right="2939" w:firstLine="737"/>
        <w:spacing w:after="0" w:line="347" w:lineRule="auto"/>
        <w:rPr>
          <w:sz w:val="20"/>
          <w:szCs w:val="20"/>
          <w:color w:val="auto"/>
        </w:rPr>
      </w:pPr>
      <w:r>
        <w:rPr>
          <w:rFonts w:ascii="Courier New" w:cs="Courier New" w:eastAsia="Courier New" w:hAnsi="Courier New"/>
          <w:sz w:val="18"/>
          <w:szCs w:val="18"/>
          <w:color w:val="auto"/>
        </w:rPr>
        <w:t>Third: The nature of the business, objects and purposes to be transacted, promoted or carried on by the Corporation is:</w:t>
      </w:r>
    </w:p>
    <w:p>
      <w:pPr>
        <w:spacing w:after="0" w:line="18" w:lineRule="exact"/>
        <w:rPr>
          <w:sz w:val="20"/>
          <w:szCs w:val="20"/>
          <w:color w:val="auto"/>
        </w:rPr>
      </w:pPr>
    </w:p>
    <w:p>
      <w:pPr>
        <w:ind w:left="740" w:right="2099" w:firstLine="843"/>
        <w:spacing w:after="0" w:line="347" w:lineRule="auto"/>
        <w:rPr>
          <w:sz w:val="20"/>
          <w:szCs w:val="20"/>
          <w:color w:val="auto"/>
        </w:rPr>
      </w:pPr>
      <w:r>
        <w:rPr>
          <w:rFonts w:ascii="Courier New" w:cs="Courier New" w:eastAsia="Courier New" w:hAnsi="Courier New"/>
          <w:sz w:val="18"/>
          <w:szCs w:val="18"/>
          <w:color w:val="auto"/>
        </w:rPr>
        <w:t>To engage in any lawful activity for which corporations may be organized under the General Corporation Law of Delaware.</w:t>
      </w:r>
    </w:p>
    <w:p>
      <w:pPr>
        <w:spacing w:after="0" w:line="18" w:lineRule="exact"/>
        <w:rPr>
          <w:sz w:val="20"/>
          <w:szCs w:val="20"/>
          <w:color w:val="auto"/>
        </w:rPr>
      </w:pPr>
    </w:p>
    <w:p>
      <w:pPr>
        <w:ind w:right="1879" w:firstLine="737"/>
        <w:spacing w:after="0" w:line="260" w:lineRule="auto"/>
        <w:rPr>
          <w:sz w:val="20"/>
          <w:szCs w:val="20"/>
          <w:color w:val="auto"/>
        </w:rPr>
      </w:pPr>
      <w:r>
        <w:rPr>
          <w:rFonts w:ascii="Courier New" w:cs="Courier New" w:eastAsia="Courier New" w:hAnsi="Courier New"/>
          <w:sz w:val="18"/>
          <w:szCs w:val="18"/>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93" w:lineRule="exact"/>
        <w:rPr>
          <w:sz w:val="20"/>
          <w:szCs w:val="20"/>
          <w:color w:val="auto"/>
        </w:rPr>
      </w:pPr>
    </w:p>
    <w:p>
      <w:pPr>
        <w:ind w:right="1879" w:firstLine="1588"/>
        <w:spacing w:after="0" w:line="246" w:lineRule="auto"/>
        <w:tabs>
          <w:tab w:leader="none" w:pos="210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112" w:lineRule="exact"/>
        <w:rPr>
          <w:rFonts w:ascii="Courier New" w:cs="Courier New" w:eastAsia="Courier New" w:hAnsi="Courier New"/>
          <w:sz w:val="18"/>
          <w:szCs w:val="18"/>
          <w:color w:val="auto"/>
        </w:rPr>
      </w:pPr>
    </w:p>
    <w:p>
      <w:pPr>
        <w:ind w:right="1879" w:firstLine="1588"/>
        <w:spacing w:after="0" w:line="265" w:lineRule="auto"/>
        <w:tabs>
          <w:tab w:leader="none" w:pos="20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110"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right="1879" w:firstLine="1580"/>
        <w:spacing w:after="0" w:line="252" w:lineRule="auto"/>
        <w:rPr>
          <w:sz w:val="20"/>
          <w:szCs w:val="20"/>
          <w:color w:val="auto"/>
        </w:rPr>
      </w:pPr>
      <w:r>
        <w:rPr>
          <w:rFonts w:ascii="Courier New" w:cs="Courier New" w:eastAsia="Courier New" w:hAnsi="Courier New"/>
          <w:sz w:val="18"/>
          <w:szCs w:val="18"/>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99" w:lineRule="exact"/>
        <w:rPr>
          <w:sz w:val="20"/>
          <w:szCs w:val="20"/>
          <w:color w:val="auto"/>
        </w:rPr>
      </w:pPr>
    </w:p>
    <w:p>
      <w:pPr>
        <w:ind w:left="2120" w:right="2519" w:hanging="532"/>
        <w:spacing w:after="0" w:line="347"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constituting that series and the distinctive designation of that series;</w:t>
      </w:r>
    </w:p>
    <w:p>
      <w:pPr>
        <w:spacing w:after="0" w:line="18" w:lineRule="exact"/>
        <w:rPr>
          <w:rFonts w:ascii="Courier New" w:cs="Courier New" w:eastAsia="Courier New" w:hAnsi="Courier New"/>
          <w:sz w:val="18"/>
          <w:szCs w:val="18"/>
          <w:color w:val="auto"/>
        </w:rPr>
      </w:pPr>
    </w:p>
    <w:p>
      <w:pPr>
        <w:ind w:left="740" w:right="1879" w:firstLine="848"/>
        <w:spacing w:after="0" w:line="274" w:lineRule="auto"/>
        <w:tabs>
          <w:tab w:leader="none" w:pos="21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81" w:lineRule="exact"/>
        <w:rPr>
          <w:rFonts w:ascii="Courier New" w:cs="Courier New" w:eastAsia="Courier New" w:hAnsi="Courier New"/>
          <w:sz w:val="18"/>
          <w:szCs w:val="18"/>
          <w:color w:val="auto"/>
        </w:rPr>
      </w:pPr>
    </w:p>
    <w:p>
      <w:pPr>
        <w:ind w:left="740" w:right="2099" w:firstLine="848"/>
        <w:spacing w:after="0" w:line="292" w:lineRule="auto"/>
        <w:tabs>
          <w:tab w:leader="none" w:pos="21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voting rights, in addition to the voting rights provided by law, and, if so, the terms of such voting rights;</w:t>
      </w:r>
    </w:p>
    <w:p>
      <w:pPr>
        <w:spacing w:after="0" w:line="66" w:lineRule="exact"/>
        <w:rPr>
          <w:rFonts w:ascii="Courier New" w:cs="Courier New" w:eastAsia="Courier New" w:hAnsi="Courier New"/>
          <w:sz w:val="18"/>
          <w:szCs w:val="18"/>
          <w:color w:val="auto"/>
        </w:rPr>
      </w:pPr>
    </w:p>
    <w:p>
      <w:pPr>
        <w:ind w:left="740" w:right="1999" w:firstLine="848"/>
        <w:spacing w:after="0" w:line="318" w:lineRule="auto"/>
        <w:tabs>
          <w:tab w:leader="none" w:pos="210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52" w:lineRule="exact"/>
        <w:rPr>
          <w:rFonts w:ascii="Courier New" w:cs="Courier New" w:eastAsia="Courier New" w:hAnsi="Courier New"/>
          <w:sz w:val="16"/>
          <w:szCs w:val="16"/>
          <w:color w:val="auto"/>
        </w:rPr>
      </w:pPr>
    </w:p>
    <w:p>
      <w:pPr>
        <w:ind w:left="740" w:right="2319" w:firstLine="848"/>
        <w:spacing w:after="0" w:line="260" w:lineRule="auto"/>
        <w:tabs>
          <w:tab w:leader="none" w:pos="21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92" w:lineRule="exact"/>
        <w:rPr>
          <w:rFonts w:ascii="Courier New" w:cs="Courier New" w:eastAsia="Courier New" w:hAnsi="Courier New"/>
          <w:sz w:val="18"/>
          <w:szCs w:val="18"/>
          <w:color w:val="auto"/>
        </w:rPr>
      </w:pPr>
    </w:p>
    <w:p>
      <w:pPr>
        <w:ind w:left="740" w:right="2099" w:firstLine="848"/>
        <w:spacing w:after="0" w:line="292" w:lineRule="auto"/>
        <w:tabs>
          <w:tab w:leader="none" w:pos="21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a sinking fund for the redemption or purchase of shares of that series, and, if so, the terms and amount of such sinking fund;</w:t>
      </w:r>
    </w:p>
    <w:p>
      <w:pPr>
        <w:spacing w:after="0" w:line="66" w:lineRule="exact"/>
        <w:rPr>
          <w:rFonts w:ascii="Courier New" w:cs="Courier New" w:eastAsia="Courier New" w:hAnsi="Courier New"/>
          <w:sz w:val="18"/>
          <w:szCs w:val="18"/>
          <w:color w:val="auto"/>
        </w:rPr>
      </w:pPr>
    </w:p>
    <w:p>
      <w:pPr>
        <w:ind w:left="740" w:right="1999" w:firstLine="848"/>
        <w:spacing w:after="0" w:line="274" w:lineRule="auto"/>
        <w:tabs>
          <w:tab w:leader="none" w:pos="21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shares of that series in the event of voluntary or involuntary liquidation, dissolution or winding up of the Corporation, and the relative rights of priority, if any, of payment of shares of that series;</w:t>
      </w:r>
    </w:p>
    <w:p>
      <w:pPr>
        <w:spacing w:after="0" w:line="81" w:lineRule="exact"/>
        <w:rPr>
          <w:rFonts w:ascii="Courier New" w:cs="Courier New" w:eastAsia="Courier New" w:hAnsi="Courier New"/>
          <w:sz w:val="18"/>
          <w:szCs w:val="18"/>
          <w:color w:val="auto"/>
        </w:rPr>
      </w:pPr>
    </w:p>
    <w:p>
      <w:pPr>
        <w:ind w:left="2120" w:right="2099" w:hanging="532"/>
        <w:spacing w:after="0" w:line="347"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relative rights, preferences and limitations of that series; or</w:t>
      </w:r>
    </w:p>
    <w:p>
      <w:pPr>
        <w:spacing w:after="0" w:line="18"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or all of the foregoing terms.</w:t>
      </w:r>
    </w:p>
    <w:p>
      <w:pPr>
        <w:spacing w:after="0" w:line="201" w:lineRule="exact"/>
        <w:rPr>
          <w:sz w:val="20"/>
          <w:szCs w:val="20"/>
          <w:color w:val="auto"/>
        </w:rPr>
      </w:pPr>
    </w:p>
    <w:p>
      <w:pPr>
        <w:ind w:right="1879" w:firstLine="1580"/>
        <w:spacing w:after="0" w:line="252" w:lineRule="auto"/>
        <w:rPr>
          <w:sz w:val="20"/>
          <w:szCs w:val="20"/>
          <w:color w:val="auto"/>
        </w:rPr>
      </w:pPr>
      <w:r>
        <w:rPr>
          <w:rFonts w:ascii="Courier New" w:cs="Courier New" w:eastAsia="Courier New" w:hAnsi="Courier New"/>
          <w:sz w:val="18"/>
          <w:szCs w:val="18"/>
          <w:color w:val="auto"/>
        </w:rPr>
        <w:t>D. 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99" w:lineRule="exact"/>
        <w:rPr>
          <w:sz w:val="20"/>
          <w:szCs w:val="20"/>
          <w:color w:val="auto"/>
        </w:rPr>
      </w:pPr>
    </w:p>
    <w:p>
      <w:pPr>
        <w:ind w:right="1879" w:firstLine="1588"/>
        <w:spacing w:after="0" w:line="253" w:lineRule="auto"/>
        <w:tabs>
          <w:tab w:leader="none" w:pos="200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w:t>
      </w:r>
    </w:p>
    <w:p>
      <w:pPr>
        <w:sectPr>
          <w:pgSz w:w="11900" w:h="16838" w:orient="portrait"/>
          <w:cols w:equalWidth="0" w:num="1">
            <w:col w:w="10219"/>
          </w:cols>
          <w:pgMar w:left="240" w:top="285" w:right="1440" w:bottom="10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85" w:right="1440" w:bottom="1019"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90"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Fifth:</w:t>
        <w:tab/>
        <w:t>The Corporation is to have perpetual existence.</w:t>
      </w:r>
    </w:p>
    <w:p>
      <w:pPr>
        <w:spacing w:after="0" w:line="201" w:lineRule="exact"/>
        <w:rPr>
          <w:sz w:val="20"/>
          <w:szCs w:val="20"/>
          <w:color w:val="auto"/>
        </w:rPr>
      </w:pPr>
    </w:p>
    <w:p>
      <w:pPr>
        <w:ind w:right="1879" w:firstLine="737"/>
        <w:spacing w:after="0" w:line="256" w:lineRule="auto"/>
        <w:rPr>
          <w:sz w:val="20"/>
          <w:szCs w:val="20"/>
          <w:color w:val="auto"/>
        </w:rPr>
      </w:pPr>
      <w:r>
        <w:rPr>
          <w:rFonts w:ascii="Courier New" w:cs="Courier New" w:eastAsia="Courier New" w:hAnsi="Courier New"/>
          <w:sz w:val="18"/>
          <w:szCs w:val="18"/>
          <w:color w:val="auto"/>
        </w:rPr>
        <w:t>Sixth: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98" w:lineRule="exact"/>
        <w:rPr>
          <w:sz w:val="20"/>
          <w:szCs w:val="20"/>
          <w:color w:val="auto"/>
        </w:rPr>
      </w:pPr>
    </w:p>
    <w:p>
      <w:pPr>
        <w:ind w:right="1879" w:firstLine="737"/>
        <w:spacing w:after="0" w:line="274" w:lineRule="auto"/>
        <w:rPr>
          <w:sz w:val="20"/>
          <w:szCs w:val="20"/>
          <w:color w:val="auto"/>
        </w:rPr>
      </w:pPr>
      <w:r>
        <w:rPr>
          <w:rFonts w:ascii="Courier New" w:cs="Courier New" w:eastAsia="Courier New" w:hAnsi="Courier New"/>
          <w:sz w:val="16"/>
          <w:szCs w:val="16"/>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affect,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spacing w:after="0" w:line="299" w:lineRule="exact"/>
        <w:rPr>
          <w:sz w:val="20"/>
          <w:szCs w:val="20"/>
          <w:color w:val="auto"/>
        </w:rPr>
      </w:pPr>
    </w:p>
    <w:p>
      <w:pPr>
        <w:ind w:right="1879" w:firstLine="737"/>
        <w:spacing w:after="0" w:line="243" w:lineRule="auto"/>
        <w:rPr>
          <w:sz w:val="20"/>
          <w:szCs w:val="20"/>
          <w:color w:val="auto"/>
        </w:rPr>
      </w:pPr>
      <w:r>
        <w:rPr>
          <w:rFonts w:ascii="Courier New" w:cs="Courier New" w:eastAsia="Courier New" w:hAnsi="Courier New"/>
          <w:sz w:val="18"/>
          <w:szCs w:val="18"/>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85" w:right="1440" w:bottom="1440"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right="1879"/>
        <w:spacing w:after="0" w:line="309" w:lineRule="auto"/>
        <w:rPr>
          <w:sz w:val="20"/>
          <w:szCs w:val="20"/>
          <w:color w:val="auto"/>
        </w:rPr>
      </w:pPr>
      <w:r>
        <w:rPr>
          <w:rFonts w:ascii="Courier New" w:cs="Courier New" w:eastAsia="Courier New" w:hAnsi="Courier New"/>
          <w:sz w:val="18"/>
          <w:szCs w:val="18"/>
          <w:color w:val="auto"/>
        </w:rPr>
        <w:t>under this Article shall be deemed to have met the standard of conduct required for such indemnification unless the contrary shall be established.</w:t>
      </w:r>
    </w:p>
    <w:p>
      <w:pPr>
        <w:spacing w:after="0" w:line="51" w:lineRule="exact"/>
        <w:rPr>
          <w:sz w:val="20"/>
          <w:szCs w:val="20"/>
          <w:color w:val="auto"/>
        </w:rPr>
      </w:pPr>
    </w:p>
    <w:p>
      <w:pPr>
        <w:ind w:right="1879" w:firstLine="737"/>
        <w:spacing w:after="0" w:line="252" w:lineRule="auto"/>
        <w:rPr>
          <w:sz w:val="20"/>
          <w:szCs w:val="20"/>
          <w:color w:val="auto"/>
        </w:rPr>
      </w:pPr>
      <w:r>
        <w:rPr>
          <w:rFonts w:ascii="Courier New" w:cs="Courier New" w:eastAsia="Courier New" w:hAnsi="Courier New"/>
          <w:sz w:val="18"/>
          <w:szCs w:val="18"/>
          <w:color w:val="auto"/>
        </w:rPr>
        <w:t>Ninth: (A)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99" w:lineRule="exact"/>
        <w:rPr>
          <w:sz w:val="20"/>
          <w:szCs w:val="20"/>
          <w:color w:val="auto"/>
        </w:rPr>
      </w:pPr>
    </w:p>
    <w:p>
      <w:pPr>
        <w:ind w:right="1879" w:firstLine="745"/>
        <w:spacing w:after="0" w:line="244"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08" w:lineRule="exact"/>
        <w:rPr>
          <w:rFonts w:ascii="Courier New" w:cs="Courier New" w:eastAsia="Courier New" w:hAnsi="Courier New"/>
          <w:sz w:val="18"/>
          <w:szCs w:val="18"/>
          <w:color w:val="auto"/>
        </w:rPr>
      </w:pPr>
    </w:p>
    <w:p>
      <w:pPr>
        <w:ind w:right="1879" w:firstLine="745"/>
        <w:spacing w:after="0" w:line="283"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293" w:lineRule="exact"/>
        <w:rPr>
          <w:rFonts w:ascii="Courier New" w:cs="Courier New" w:eastAsia="Courier New" w:hAnsi="Courier New"/>
          <w:sz w:val="16"/>
          <w:szCs w:val="16"/>
          <w:color w:val="auto"/>
        </w:rPr>
      </w:pPr>
    </w:p>
    <w:p>
      <w:pPr>
        <w:ind w:right="1879" w:firstLine="745"/>
        <w:spacing w:after="0" w:line="256"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authorized number of directors constituting the Board of Directors shall shorten the term of any incumbent director.</w:t>
      </w:r>
    </w:p>
    <w:p>
      <w:pPr>
        <w:spacing w:after="0" w:line="98" w:lineRule="exact"/>
        <w:rPr>
          <w:rFonts w:ascii="Courier New" w:cs="Courier New" w:eastAsia="Courier New" w:hAnsi="Courier New"/>
          <w:sz w:val="18"/>
          <w:szCs w:val="18"/>
          <w:color w:val="auto"/>
        </w:rPr>
      </w:pPr>
    </w:p>
    <w:p>
      <w:pPr>
        <w:ind w:left="1580" w:hanging="835"/>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however caused, and</w:t>
      </w:r>
    </w:p>
    <w:p>
      <w:pPr>
        <w:spacing w:after="0" w:line="31"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72" w:lineRule="exact"/>
        <w:rPr>
          <w:sz w:val="20"/>
          <w:szCs w:val="20"/>
          <w:color w:val="auto"/>
        </w:rPr>
      </w:pPr>
    </w:p>
    <w:p>
      <w:pPr>
        <w:ind w:right="1999" w:firstLine="745"/>
        <w:spacing w:after="0" w:line="347"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whenever the holders of any one or more classes or</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85" w:right="1440" w:bottom="1440"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2199"/>
        <w:spacing w:after="0" w:line="250" w:lineRule="auto"/>
        <w:rPr>
          <w:sz w:val="20"/>
          <w:szCs w:val="20"/>
          <w:color w:val="auto"/>
        </w:rPr>
      </w:pPr>
      <w:r>
        <w:rPr>
          <w:rFonts w:ascii="Courier New" w:cs="Courier New" w:eastAsia="Courier New" w:hAnsi="Courier New"/>
          <w:sz w:val="18"/>
          <w:szCs w:val="18"/>
          <w:color w:val="auto"/>
        </w:rPr>
        <w:t>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pacing w:after="0" w:line="102" w:lineRule="exact"/>
        <w:rPr>
          <w:sz w:val="20"/>
          <w:szCs w:val="20"/>
          <w:color w:val="auto"/>
        </w:rPr>
      </w:pPr>
    </w:p>
    <w:p>
      <w:pPr>
        <w:ind w:right="1879" w:firstLine="745"/>
        <w:spacing w:after="0" w:line="249"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104" w:lineRule="exact"/>
        <w:rPr>
          <w:sz w:val="20"/>
          <w:szCs w:val="20"/>
          <w:color w:val="auto"/>
        </w:rPr>
      </w:pPr>
    </w:p>
    <w:p>
      <w:pPr>
        <w:ind w:right="1879" w:firstLine="737"/>
        <w:spacing w:after="0" w:line="289" w:lineRule="auto"/>
        <w:rPr>
          <w:sz w:val="20"/>
          <w:szCs w:val="20"/>
          <w:color w:val="auto"/>
        </w:rPr>
      </w:pPr>
      <w:r>
        <w:rPr>
          <w:rFonts w:ascii="Courier New" w:cs="Courier New" w:eastAsia="Courier New" w:hAnsi="Courier New"/>
          <w:sz w:val="16"/>
          <w:szCs w:val="16"/>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77" w:lineRule="exact"/>
        <w:rPr>
          <w:sz w:val="20"/>
          <w:szCs w:val="20"/>
          <w:color w:val="auto"/>
        </w:rPr>
      </w:pPr>
    </w:p>
    <w:p>
      <w:pPr>
        <w:ind w:right="1879" w:firstLine="737"/>
        <w:spacing w:after="0" w:line="249" w:lineRule="auto"/>
        <w:rPr>
          <w:sz w:val="20"/>
          <w:szCs w:val="20"/>
          <w:color w:val="auto"/>
        </w:rPr>
      </w:pPr>
      <w:r>
        <w:rPr>
          <w:rFonts w:ascii="Courier New" w:cs="Courier New" w:eastAsia="Courier New" w:hAnsi="Courier New"/>
          <w:sz w:val="18"/>
          <w:szCs w:val="18"/>
          <w:color w:val="auto"/>
        </w:rPr>
        <w:t>Eleventh: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285"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ind w:left="1280"/>
        <w:spacing w:after="0" w:line="238" w:lineRule="auto"/>
        <w:rPr>
          <w:sz w:val="20"/>
          <w:szCs w:val="20"/>
          <w:color w:val="auto"/>
        </w:rPr>
      </w:pPr>
      <w:r>
        <w:rPr>
          <w:rFonts w:ascii="Courier New" w:cs="Courier New" w:eastAsia="Courier New" w:hAnsi="Courier New"/>
          <w:sz w:val="18"/>
          <w:szCs w:val="18"/>
          <w:color w:val="auto"/>
        </w:rPr>
        <w:t>EXHIBIT 11.1 COMPUTATION OF EARNINGS PER COMMON SHARE</w:t>
      </w:r>
    </w:p>
    <w:p>
      <w:pPr>
        <w:ind w:left="200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3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QUARTER ENDED MARCH 31,</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54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19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$20,516</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$184</w:t>
            </w:r>
          </w:p>
        </w:tc>
        <w:tc>
          <w:tcPr>
            <w:tcW w:w="0" w:type="dxa"/>
            <w:vAlign w:val="bottom"/>
          </w:tcPr>
          <w:p>
            <w:pPr>
              <w:spacing w:after="0"/>
              <w:rPr>
                <w:sz w:val="1"/>
                <w:szCs w:val="1"/>
                <w:color w:val="auto"/>
              </w:rPr>
            </w:pPr>
          </w:p>
        </w:tc>
      </w:tr>
      <w:tr>
        <w:trPr>
          <w:trHeight w:val="203"/>
        </w:trPr>
        <w:tc>
          <w:tcPr>
            <w:tcW w:w="65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Net income</w:t>
            </w:r>
          </w:p>
        </w:tc>
        <w:tc>
          <w:tcPr>
            <w:tcW w:w="19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160"/>
              <w:spacing w:after="0"/>
              <w:rPr>
                <w:sz w:val="20"/>
                <w:szCs w:val="20"/>
                <w:color w:val="auto"/>
              </w:rPr>
            </w:pPr>
            <w:r>
              <w:rPr>
                <w:rFonts w:ascii="Courier New" w:cs="Courier New" w:eastAsia="Courier New" w:hAnsi="Courier New"/>
                <w:sz w:val="18"/>
                <w:szCs w:val="18"/>
                <w:color w:val="auto"/>
              </w:rPr>
              <w:t>Number of common shares outstanding</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65,938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50,657</w:t>
            </w:r>
          </w:p>
        </w:tc>
        <w:tc>
          <w:tcPr>
            <w:tcW w:w="0" w:type="dxa"/>
            <w:vAlign w:val="bottom"/>
          </w:tcPr>
          <w:p>
            <w:pPr>
              <w:spacing w:after="0"/>
              <w:rPr>
                <w:sz w:val="1"/>
                <w:szCs w:val="1"/>
                <w:color w:val="auto"/>
              </w:rPr>
            </w:pPr>
          </w:p>
        </w:tc>
      </w:tr>
      <w:tr>
        <w:trPr>
          <w:trHeight w:val="203"/>
        </w:trPr>
        <w:tc>
          <w:tcPr>
            <w:tcW w:w="65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Effect of using weighted average common stock</w:t>
            </w:r>
          </w:p>
        </w:tc>
        <w:tc>
          <w:tcPr>
            <w:tcW w:w="19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(44)</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(477)</w:t>
            </w:r>
          </w:p>
        </w:tc>
        <w:tc>
          <w:tcPr>
            <w:tcW w:w="0" w:type="dxa"/>
            <w:vAlign w:val="bottom"/>
          </w:tcPr>
          <w:p>
            <w:pPr>
              <w:spacing w:after="0"/>
              <w:rPr>
                <w:sz w:val="1"/>
                <w:szCs w:val="1"/>
                <w:color w:val="auto"/>
              </w:rPr>
            </w:pPr>
          </w:p>
        </w:tc>
      </w:tr>
      <w:tr>
        <w:trPr>
          <w:trHeight w:val="203"/>
        </w:trPr>
        <w:tc>
          <w:tcPr>
            <w:tcW w:w="65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outstanding</w:t>
            </w:r>
          </w:p>
        </w:tc>
        <w:tc>
          <w:tcPr>
            <w:tcW w:w="19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Common stock equivalents (1)</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908</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700"/>
              <w:spacing w:after="0"/>
              <w:rPr>
                <w:sz w:val="20"/>
                <w:szCs w:val="20"/>
                <w:color w:val="auto"/>
              </w:rPr>
            </w:pPr>
            <w:r>
              <w:rPr>
                <w:rFonts w:ascii="Courier New" w:cs="Courier New" w:eastAsia="Courier New" w:hAnsi="Courier New"/>
                <w:sz w:val="18"/>
                <w:szCs w:val="18"/>
                <w:color w:val="auto"/>
              </w:rPr>
              <w:t>Total</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66,964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51,088</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700"/>
              <w:spacing w:after="0"/>
              <w:rPr>
                <w:sz w:val="20"/>
                <w:szCs w:val="20"/>
                <w:color w:val="auto"/>
              </w:rPr>
            </w:pPr>
            <w:r>
              <w:rPr>
                <w:rFonts w:ascii="Courier New" w:cs="Courier New" w:eastAsia="Courier New" w:hAnsi="Courier New"/>
                <w:sz w:val="18"/>
                <w:szCs w:val="18"/>
                <w:color w:val="auto"/>
              </w:rPr>
              <w:t>Earnings per common share</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$0.31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654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9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$20,516</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$184</w:t>
            </w:r>
          </w:p>
        </w:tc>
        <w:tc>
          <w:tcPr>
            <w:tcW w:w="0" w:type="dxa"/>
            <w:vAlign w:val="bottom"/>
          </w:tcPr>
          <w:p>
            <w:pPr>
              <w:spacing w:after="0"/>
              <w:rPr>
                <w:sz w:val="1"/>
                <w:szCs w:val="1"/>
                <w:color w:val="auto"/>
              </w:rPr>
            </w:pPr>
          </w:p>
        </w:tc>
      </w:tr>
      <w:tr>
        <w:trPr>
          <w:trHeight w:val="203"/>
        </w:trPr>
        <w:tc>
          <w:tcPr>
            <w:tcW w:w="65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Net income</w:t>
            </w:r>
          </w:p>
        </w:tc>
        <w:tc>
          <w:tcPr>
            <w:tcW w:w="19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160"/>
              <w:spacing w:after="0"/>
              <w:rPr>
                <w:sz w:val="20"/>
                <w:szCs w:val="20"/>
                <w:color w:val="auto"/>
              </w:rPr>
            </w:pPr>
            <w:r>
              <w:rPr>
                <w:rFonts w:ascii="Courier New" w:cs="Courier New" w:eastAsia="Courier New" w:hAnsi="Courier New"/>
                <w:sz w:val="18"/>
                <w:szCs w:val="18"/>
                <w:color w:val="auto"/>
              </w:rPr>
              <w:t>Number of common shares outstanding</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65,938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50,657</w:t>
            </w:r>
          </w:p>
        </w:tc>
        <w:tc>
          <w:tcPr>
            <w:tcW w:w="0" w:type="dxa"/>
            <w:vAlign w:val="bottom"/>
          </w:tcPr>
          <w:p>
            <w:pPr>
              <w:spacing w:after="0"/>
              <w:rPr>
                <w:sz w:val="1"/>
                <w:szCs w:val="1"/>
                <w:color w:val="auto"/>
              </w:rPr>
            </w:pPr>
          </w:p>
        </w:tc>
      </w:tr>
      <w:tr>
        <w:trPr>
          <w:trHeight w:val="203"/>
        </w:trPr>
        <w:tc>
          <w:tcPr>
            <w:tcW w:w="65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Effect of using weighted average common stock</w:t>
            </w:r>
          </w:p>
        </w:tc>
        <w:tc>
          <w:tcPr>
            <w:tcW w:w="19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(44)</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(477)</w:t>
            </w:r>
          </w:p>
        </w:tc>
        <w:tc>
          <w:tcPr>
            <w:tcW w:w="0" w:type="dxa"/>
            <w:vAlign w:val="bottom"/>
          </w:tcPr>
          <w:p>
            <w:pPr>
              <w:spacing w:after="0"/>
              <w:rPr>
                <w:sz w:val="1"/>
                <w:szCs w:val="1"/>
                <w:color w:val="auto"/>
              </w:rPr>
            </w:pPr>
          </w:p>
        </w:tc>
      </w:tr>
      <w:tr>
        <w:trPr>
          <w:trHeight w:val="203"/>
        </w:trPr>
        <w:tc>
          <w:tcPr>
            <w:tcW w:w="65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outstanding</w:t>
            </w:r>
          </w:p>
        </w:tc>
        <w:tc>
          <w:tcPr>
            <w:tcW w:w="19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Common stock equivalents (1)</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1,268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974</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700"/>
              <w:spacing w:after="0"/>
              <w:rPr>
                <w:sz w:val="20"/>
                <w:szCs w:val="20"/>
                <w:color w:val="auto"/>
              </w:rPr>
            </w:pPr>
            <w:r>
              <w:rPr>
                <w:rFonts w:ascii="Courier New" w:cs="Courier New" w:eastAsia="Courier New" w:hAnsi="Courier New"/>
                <w:sz w:val="18"/>
                <w:szCs w:val="18"/>
                <w:color w:val="auto"/>
              </w:rPr>
              <w:t>Total</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67,162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51,154</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700"/>
              <w:spacing w:after="0"/>
              <w:rPr>
                <w:sz w:val="20"/>
                <w:szCs w:val="20"/>
                <w:color w:val="auto"/>
              </w:rPr>
            </w:pPr>
            <w:r>
              <w:rPr>
                <w:rFonts w:ascii="Courier New" w:cs="Courier New" w:eastAsia="Courier New" w:hAnsi="Courier New"/>
                <w:sz w:val="18"/>
                <w:szCs w:val="18"/>
                <w:color w:val="auto"/>
              </w:rPr>
              <w:t>Earnings per common share (2)</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$0.31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1280" w:right="2099" w:hanging="1272"/>
        <w:spacing w:after="0" w:line="292"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equivalents were determined based on the "Treasury Stock Method" as set forth in Accounting Principles Board Opinion No. 15.</w:t>
      </w:r>
    </w:p>
    <w:p>
      <w:pPr>
        <w:spacing w:after="0" w:line="66" w:lineRule="exact"/>
        <w:rPr>
          <w:rFonts w:ascii="Courier New" w:cs="Courier New" w:eastAsia="Courier New" w:hAnsi="Courier New"/>
          <w:sz w:val="18"/>
          <w:szCs w:val="18"/>
          <w:color w:val="auto"/>
        </w:rPr>
      </w:pPr>
    </w:p>
    <w:p>
      <w:pPr>
        <w:ind w:left="1280" w:right="2199" w:hanging="1272"/>
        <w:spacing w:after="0" w:line="274"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dilutive effect between primary and fully dilutive earnings (loss) per common share is less than 3% or is anti- dilutive for all periods presented and is therefore not disclosed in the consolidated statements of operations.</w:t>
      </w:r>
    </w:p>
    <w:p>
      <w:pPr>
        <w:sectPr>
          <w:pgSz w:w="11900" w:h="16838" w:orient="portrait"/>
          <w:cols w:equalWidth="0" w:num="1">
            <w:col w:w="10219"/>
          </w:cols>
          <w:pgMar w:left="240" w:top="110" w:right="1440" w:bottom="1440" w:gutter="0" w:footer="0" w:header="0"/>
        </w:sectPr>
      </w:pPr>
    </w:p>
    <w:bookmarkStart w:id="37" w:name="page38"/>
    <w:bookmarkEnd w:id="37"/>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2699"/>
        <w:spacing w:after="0" w:line="274" w:lineRule="auto"/>
        <w:rPr>
          <w:sz w:val="20"/>
          <w:szCs w:val="20"/>
          <w:color w:val="auto"/>
        </w:rPr>
      </w:pPr>
      <w:r>
        <w:rPr>
          <w:rFonts w:ascii="Courier New" w:cs="Courier New" w:eastAsia="Courier New" w:hAnsi="Courier New"/>
          <w:sz w:val="18"/>
          <w:szCs w:val="18"/>
          <w:color w:val="auto"/>
        </w:rPr>
        <w:t>THIS SCHEDULE CONTAINS SUMMARY FINANCIAL INFORMATION EXTRACTED FROM THE FINANCIAL STATEMENTS OF USA WASTE FOR THE THREE MONTHS ENDED MARCH 31, 1996 AND IS QUALIFIED IN ITS ENTIREY BY REFERENCE TO SUCH FINANCIAL STATEMENTS.</w:t>
      </w:r>
    </w:p>
    <w:p>
      <w:pPr>
        <w:spacing w:after="0" w:line="200" w:lineRule="exact"/>
        <w:rPr>
          <w:sz w:val="20"/>
          <w:szCs w:val="20"/>
          <w:color w:val="auto"/>
        </w:rPr>
      </w:pPr>
    </w:p>
    <w:p>
      <w:pPr>
        <w:spacing w:after="0" w:line="287"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DEC-31-1996</w:t>
      </w:r>
    </w:p>
    <w:p>
      <w:pPr>
        <w:ind w:left="3020"/>
        <w:spacing w:after="0" w:line="238" w:lineRule="auto"/>
        <w:rPr>
          <w:sz w:val="20"/>
          <w:szCs w:val="20"/>
          <w:color w:val="auto"/>
        </w:rPr>
      </w:pPr>
      <w:r>
        <w:rPr>
          <w:rFonts w:ascii="Courier New" w:cs="Courier New" w:eastAsia="Courier New" w:hAnsi="Courier New"/>
          <w:sz w:val="18"/>
          <w:szCs w:val="18"/>
          <w:color w:val="auto"/>
        </w:rPr>
        <w:t>JAN-01-1996</w:t>
      </w:r>
    </w:p>
    <w:p>
      <w:pPr>
        <w:ind w:left="3240"/>
        <w:spacing w:after="0"/>
        <w:rPr>
          <w:sz w:val="20"/>
          <w:szCs w:val="20"/>
          <w:color w:val="auto"/>
        </w:rPr>
      </w:pPr>
      <w:r>
        <w:rPr>
          <w:rFonts w:ascii="Courier New" w:cs="Courier New" w:eastAsia="Courier New" w:hAnsi="Courier New"/>
          <w:sz w:val="18"/>
          <w:szCs w:val="18"/>
          <w:color w:val="auto"/>
        </w:rPr>
        <w:t>MAR-31-1996</w:t>
      </w:r>
    </w:p>
    <w:p>
      <w:pPr>
        <w:ind w:left="3980"/>
        <w:spacing w:after="0" w:line="238" w:lineRule="auto"/>
        <w:rPr>
          <w:sz w:val="20"/>
          <w:szCs w:val="20"/>
          <w:color w:val="auto"/>
        </w:rPr>
      </w:pPr>
      <w:r>
        <w:rPr>
          <w:rFonts w:ascii="Courier New" w:cs="Courier New" w:eastAsia="Courier New" w:hAnsi="Courier New"/>
          <w:sz w:val="18"/>
          <w:szCs w:val="18"/>
          <w:color w:val="auto"/>
        </w:rPr>
        <w:t>16,591,000</w:t>
      </w:r>
    </w:p>
    <w:p>
      <w:pPr>
        <w:ind w:left="4280"/>
        <w:spacing w:after="0"/>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78,081,000</w:t>
      </w:r>
    </w:p>
    <w:p>
      <w:pPr>
        <w:ind w:left="3240"/>
        <w:spacing w:after="0"/>
        <w:rPr>
          <w:sz w:val="20"/>
          <w:szCs w:val="20"/>
          <w:color w:val="auto"/>
        </w:rPr>
      </w:pPr>
      <w:r>
        <w:rPr>
          <w:rFonts w:ascii="Courier New" w:cs="Courier New" w:eastAsia="Courier New" w:hAnsi="Courier New"/>
          <w:sz w:val="18"/>
          <w:szCs w:val="18"/>
          <w:color w:val="auto"/>
        </w:rPr>
        <w:t>(3,942,000)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2820"/>
        <w:spacing w:after="0"/>
        <w:rPr>
          <w:sz w:val="20"/>
          <w:szCs w:val="20"/>
          <w:color w:val="auto"/>
        </w:rPr>
      </w:pPr>
      <w:r>
        <w:rPr>
          <w:rFonts w:ascii="Courier New" w:cs="Courier New" w:eastAsia="Courier New" w:hAnsi="Courier New"/>
          <w:sz w:val="18"/>
          <w:szCs w:val="18"/>
          <w:color w:val="auto"/>
        </w:rPr>
        <w:t>131,741,000</w:t>
      </w:r>
    </w:p>
    <w:p>
      <w:pPr>
        <w:ind w:left="3860"/>
        <w:spacing w:after="0" w:line="238" w:lineRule="auto"/>
        <w:rPr>
          <w:sz w:val="20"/>
          <w:szCs w:val="20"/>
          <w:color w:val="auto"/>
        </w:rPr>
      </w:pPr>
      <w:r>
        <w:rPr>
          <w:rFonts w:ascii="Courier New" w:cs="Courier New" w:eastAsia="Courier New" w:hAnsi="Courier New"/>
          <w:sz w:val="18"/>
          <w:szCs w:val="18"/>
          <w:color w:val="auto"/>
        </w:rPr>
        <w:t>846,428,000</w:t>
      </w:r>
    </w:p>
    <w:p>
      <w:pPr>
        <w:ind w:left="2820"/>
        <w:spacing w:after="0"/>
        <w:rPr>
          <w:sz w:val="20"/>
          <w:szCs w:val="20"/>
          <w:color w:val="auto"/>
        </w:rPr>
      </w:pPr>
      <w:r>
        <w:rPr>
          <w:rFonts w:ascii="Courier New" w:cs="Courier New" w:eastAsia="Courier New" w:hAnsi="Courier New"/>
          <w:sz w:val="18"/>
          <w:szCs w:val="18"/>
          <w:color w:val="auto"/>
        </w:rPr>
        <w:t>(246,559,000)</w:t>
      </w:r>
    </w:p>
    <w:p>
      <w:pPr>
        <w:ind w:left="3020"/>
        <w:spacing w:after="0" w:line="238" w:lineRule="auto"/>
        <w:rPr>
          <w:sz w:val="20"/>
          <w:szCs w:val="20"/>
          <w:color w:val="auto"/>
        </w:rPr>
      </w:pPr>
      <w:r>
        <w:rPr>
          <w:rFonts w:ascii="Courier New" w:cs="Courier New" w:eastAsia="Courier New" w:hAnsi="Courier New"/>
          <w:sz w:val="18"/>
          <w:szCs w:val="18"/>
          <w:color w:val="auto"/>
        </w:rPr>
        <w:t>941,209,000</w:t>
      </w:r>
    </w:p>
    <w:p>
      <w:pPr>
        <w:ind w:left="2280"/>
        <w:spacing w:after="0"/>
        <w:rPr>
          <w:sz w:val="20"/>
          <w:szCs w:val="20"/>
          <w:color w:val="auto"/>
        </w:rPr>
      </w:pPr>
      <w:r>
        <w:rPr>
          <w:rFonts w:ascii="Courier New" w:cs="Courier New" w:eastAsia="Courier New" w:hAnsi="Courier New"/>
          <w:sz w:val="18"/>
          <w:szCs w:val="18"/>
          <w:color w:val="auto"/>
        </w:rPr>
        <w:t>100,360,000</w:t>
      </w:r>
    </w:p>
    <w:p>
      <w:pPr>
        <w:ind w:left="3760"/>
        <w:spacing w:after="0" w:line="238" w:lineRule="auto"/>
        <w:rPr>
          <w:sz w:val="20"/>
          <w:szCs w:val="20"/>
          <w:color w:val="auto"/>
        </w:rPr>
      </w:pPr>
      <w:r>
        <w:rPr>
          <w:rFonts w:ascii="Courier New" w:cs="Courier New" w:eastAsia="Courier New" w:hAnsi="Courier New"/>
          <w:sz w:val="18"/>
          <w:szCs w:val="18"/>
          <w:color w:val="auto"/>
        </w:rPr>
        <w:t>354,978,000</w:t>
      </w:r>
    </w:p>
    <w:p>
      <w:pPr>
        <w:ind w:left="4080"/>
        <w:spacing w:after="0"/>
        <w:rPr>
          <w:sz w:val="20"/>
          <w:szCs w:val="20"/>
          <w:color w:val="auto"/>
        </w:rPr>
      </w:pPr>
      <w:r>
        <w:rPr>
          <w:rFonts w:ascii="Courier New" w:cs="Courier New" w:eastAsia="Courier New" w:hAnsi="Courier New"/>
          <w:sz w:val="18"/>
          <w:szCs w:val="18"/>
          <w:color w:val="auto"/>
        </w:rPr>
        <w:t>661,000</w:t>
      </w:r>
    </w:p>
    <w:p>
      <w:pPr>
        <w:ind w:left="3340"/>
        <w:spacing w:after="0" w:line="238"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423,323,000</w:t>
      </w:r>
    </w:p>
    <w:p>
      <w:pPr>
        <w:ind w:left="1540"/>
        <w:spacing w:after="0"/>
        <w:rPr>
          <w:sz w:val="20"/>
          <w:szCs w:val="20"/>
          <w:color w:val="auto"/>
        </w:rPr>
      </w:pPr>
      <w:r>
        <w:rPr>
          <w:rFonts w:ascii="Courier New" w:cs="Courier New" w:eastAsia="Courier New" w:hAnsi="Courier New"/>
          <w:sz w:val="18"/>
          <w:szCs w:val="18"/>
          <w:color w:val="auto"/>
        </w:rPr>
        <w:t>941,209,000</w:t>
      </w:r>
    </w:p>
    <w:p>
      <w:pPr>
        <w:ind w:left="3760"/>
        <w:spacing w:after="0" w:line="238" w:lineRule="auto"/>
        <w:rPr>
          <w:sz w:val="20"/>
          <w:szCs w:val="20"/>
          <w:color w:val="auto"/>
        </w:rPr>
      </w:pPr>
      <w:r>
        <w:rPr>
          <w:rFonts w:ascii="Courier New" w:cs="Courier New" w:eastAsia="Courier New" w:hAnsi="Courier New"/>
          <w:sz w:val="18"/>
          <w:szCs w:val="18"/>
          <w:color w:val="auto"/>
        </w:rPr>
        <w:t>124,629,000</w:t>
      </w:r>
    </w:p>
    <w:p>
      <w:pPr>
        <w:ind w:left="2820"/>
        <w:spacing w:after="0"/>
        <w:rPr>
          <w:sz w:val="20"/>
          <w:szCs w:val="20"/>
          <w:color w:val="auto"/>
        </w:rPr>
      </w:pPr>
      <w:r>
        <w:rPr>
          <w:rFonts w:ascii="Courier New" w:cs="Courier New" w:eastAsia="Courier New" w:hAnsi="Courier New"/>
          <w:sz w:val="18"/>
          <w:szCs w:val="18"/>
          <w:color w:val="auto"/>
        </w:rPr>
        <w:t>124,629,000</w:t>
      </w:r>
    </w:p>
    <w:p>
      <w:pPr>
        <w:ind w:left="4080"/>
        <w:spacing w:after="0" w:line="238" w:lineRule="auto"/>
        <w:rPr>
          <w:sz w:val="20"/>
          <w:szCs w:val="20"/>
          <w:color w:val="auto"/>
        </w:rPr>
      </w:pPr>
      <w:r>
        <w:rPr>
          <w:rFonts w:ascii="Courier New" w:cs="Courier New" w:eastAsia="Courier New" w:hAnsi="Courier New"/>
          <w:sz w:val="18"/>
          <w:szCs w:val="18"/>
          <w:color w:val="auto"/>
        </w:rPr>
        <w:t>69,598,000</w:t>
      </w:r>
    </w:p>
    <w:p>
      <w:pPr>
        <w:ind w:left="3240"/>
        <w:spacing w:after="0"/>
        <w:rPr>
          <w:sz w:val="20"/>
          <w:szCs w:val="20"/>
          <w:color w:val="auto"/>
        </w:rPr>
      </w:pPr>
      <w:r>
        <w:rPr>
          <w:rFonts w:ascii="Courier New" w:cs="Courier New" w:eastAsia="Courier New" w:hAnsi="Courier New"/>
          <w:sz w:val="18"/>
          <w:szCs w:val="18"/>
          <w:color w:val="auto"/>
        </w:rPr>
        <w:t>99,015,000</w:t>
      </w:r>
    </w:p>
    <w:p>
      <w:pPr>
        <w:ind w:left="2820"/>
        <w:spacing w:after="0" w:line="238" w:lineRule="auto"/>
        <w:rPr>
          <w:sz w:val="20"/>
          <w:szCs w:val="20"/>
          <w:color w:val="auto"/>
        </w:rPr>
      </w:pPr>
      <w:r>
        <w:rPr>
          <w:rFonts w:ascii="Courier New" w:cs="Courier New" w:eastAsia="Courier New" w:hAnsi="Courier New"/>
          <w:sz w:val="18"/>
          <w:szCs w:val="18"/>
          <w:color w:val="auto"/>
        </w:rPr>
        <w:t>(2,033,000)</w:t>
      </w:r>
    </w:p>
    <w:p>
      <w:pPr>
        <w:ind w:left="3860"/>
        <w:spacing w:after="0"/>
        <w:rPr>
          <w:sz w:val="20"/>
          <w:szCs w:val="20"/>
          <w:color w:val="auto"/>
        </w:rPr>
      </w:pPr>
      <w:r>
        <w:rPr>
          <w:rFonts w:ascii="Courier New" w:cs="Courier New" w:eastAsia="Courier New" w:hAnsi="Courier New"/>
          <w:sz w:val="18"/>
          <w:szCs w:val="18"/>
          <w:color w:val="auto"/>
        </w:rPr>
        <w:t>0</w:t>
      </w:r>
    </w:p>
    <w:p>
      <w:pPr>
        <w:ind w:left="2820"/>
        <w:spacing w:after="0" w:line="238" w:lineRule="auto"/>
        <w:rPr>
          <w:sz w:val="20"/>
          <w:szCs w:val="20"/>
          <w:color w:val="auto"/>
        </w:rPr>
      </w:pPr>
      <w:r>
        <w:rPr>
          <w:rFonts w:ascii="Courier New" w:cs="Courier New" w:eastAsia="Courier New" w:hAnsi="Courier New"/>
          <w:sz w:val="18"/>
          <w:szCs w:val="18"/>
          <w:color w:val="auto"/>
        </w:rPr>
        <w:t>5,767,000</w:t>
      </w:r>
    </w:p>
    <w:p>
      <w:pPr>
        <w:ind w:left="3020"/>
        <w:spacing w:after="0"/>
        <w:rPr>
          <w:sz w:val="20"/>
          <w:szCs w:val="20"/>
          <w:color w:val="auto"/>
        </w:rPr>
      </w:pPr>
      <w:r>
        <w:rPr>
          <w:rFonts w:ascii="Courier New" w:cs="Courier New" w:eastAsia="Courier New" w:hAnsi="Courier New"/>
          <w:sz w:val="18"/>
          <w:szCs w:val="18"/>
          <w:color w:val="auto"/>
        </w:rPr>
        <w:t>21,880,000</w:t>
      </w:r>
    </w:p>
    <w:p>
      <w:pPr>
        <w:ind w:left="3440"/>
        <w:spacing w:after="0" w:line="238" w:lineRule="auto"/>
        <w:rPr>
          <w:sz w:val="20"/>
          <w:szCs w:val="20"/>
          <w:color w:val="auto"/>
        </w:rPr>
      </w:pPr>
      <w:r>
        <w:rPr>
          <w:rFonts w:ascii="Courier New" w:cs="Courier New" w:eastAsia="Courier New" w:hAnsi="Courier New"/>
          <w:sz w:val="18"/>
          <w:szCs w:val="18"/>
          <w:color w:val="auto"/>
        </w:rPr>
        <w:t>1,264,000</w:t>
      </w:r>
    </w:p>
    <w:p>
      <w:pPr>
        <w:ind w:left="2600"/>
        <w:spacing w:after="0"/>
        <w:rPr>
          <w:sz w:val="20"/>
          <w:szCs w:val="20"/>
          <w:color w:val="auto"/>
        </w:rPr>
      </w:pPr>
      <w:r>
        <w:rPr>
          <w:rFonts w:ascii="Courier New" w:cs="Courier New" w:eastAsia="Courier New" w:hAnsi="Courier New"/>
          <w:sz w:val="18"/>
          <w:szCs w:val="18"/>
          <w:color w:val="auto"/>
        </w:rPr>
        <w:t>20,516,000</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20,516,000</w:t>
      </w:r>
    </w:p>
    <w:p>
      <w:pPr>
        <w:ind w:left="3860"/>
        <w:spacing w:after="0" w:line="238" w:lineRule="auto"/>
        <w:rPr>
          <w:sz w:val="20"/>
          <w:szCs w:val="20"/>
          <w:color w:val="auto"/>
        </w:rPr>
      </w:pPr>
      <w:r>
        <w:rPr>
          <w:rFonts w:ascii="Courier New" w:cs="Courier New" w:eastAsia="Courier New" w:hAnsi="Courier New"/>
          <w:sz w:val="18"/>
          <w:szCs w:val="18"/>
          <w:color w:val="auto"/>
        </w:rPr>
        <w:t>0.31</w:t>
      </w:r>
    </w:p>
    <w:p>
      <w:pPr>
        <w:ind w:left="3860"/>
        <w:spacing w:after="0"/>
        <w:rPr>
          <w:sz w:val="20"/>
          <w:szCs w:val="20"/>
          <w:color w:val="auto"/>
        </w:rPr>
      </w:pPr>
      <w:r>
        <w:rPr>
          <w:rFonts w:ascii="Courier New" w:cs="Courier New" w:eastAsia="Courier New" w:hAnsi="Courier New"/>
          <w:sz w:val="18"/>
          <w:szCs w:val="18"/>
          <w:color w:val="auto"/>
        </w:rPr>
        <w:t>0.31</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upperLetter"/>
      <w:start w:val="1"/>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upperLetter"/>
      <w:start w:val="5"/>
    </w:lvl>
  </w:abstractNum>
  <w:abstractNum w:abstractNumId="11">
    <w:nsid w:val="109CF92E"/>
    <w:multiLevelType w:val="hybridMultilevel"/>
    <w:lvl w:ilvl="0">
      <w:lvlJc w:val="left"/>
      <w:lvlText w:val="(%1)"/>
      <w:numFmt w:val="upperLetter"/>
      <w:start w:val="2"/>
    </w:lvl>
  </w:abstractNum>
  <w:abstractNum w:abstractNumId="12">
    <w:nsid w:val="DED7263"/>
    <w:multiLevelType w:val="hybridMultilevel"/>
    <w:lvl w:ilvl="0">
      <w:lvlJc w:val="left"/>
      <w:lvlText w:val="(%1)"/>
      <w:numFmt w:val="upperLetter"/>
      <w:start w:val="6"/>
    </w:lvl>
  </w:abstractNum>
  <w:abstractNum w:abstractNumId="13">
    <w:nsid w:val="7FDCC233"/>
    <w:multiLevelType w:val="hybridMultilevel"/>
    <w:lvl w:ilvl="0">
      <w:lvlJc w:val="left"/>
      <w:lvlText w:val="(%1)"/>
      <w:numFmt w:val="upperLetter"/>
      <w:start w:val="7"/>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2019-12-20T04:54:51Z</dcterms:created>
  <dcterms:modified xsi:type="dcterms:W3CDTF">2019-12-20T04:54:51Z</dcterms:modified>
</cp:coreProperties>
</file>